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57" w:rsidRPr="00624F70" w:rsidRDefault="00D96057" w:rsidP="00D96057">
      <w:pPr>
        <w:jc w:val="center"/>
        <w:rPr>
          <w:rFonts w:ascii="仿宋_GB2312" w:eastAsia="仿宋_GB2312"/>
          <w:b/>
          <w:sz w:val="32"/>
          <w:szCs w:val="32"/>
        </w:rPr>
      </w:pPr>
      <w:r w:rsidRPr="00624F70">
        <w:rPr>
          <w:rFonts w:ascii="仿宋_GB2312" w:eastAsia="仿宋_GB2312" w:hint="eastAsia"/>
          <w:b/>
          <w:sz w:val="32"/>
          <w:szCs w:val="32"/>
        </w:rPr>
        <w:t>规划说明</w:t>
      </w:r>
    </w:p>
    <w:p w:rsidR="00D96057" w:rsidRPr="00624F70" w:rsidRDefault="00D96057" w:rsidP="00D96057">
      <w:pPr>
        <w:ind w:firstLineChars="151" w:firstLine="485"/>
        <w:rPr>
          <w:rFonts w:ascii="仿宋_GB2312" w:eastAsia="仿宋_GB2312"/>
          <w:sz w:val="32"/>
          <w:szCs w:val="32"/>
        </w:rPr>
      </w:pPr>
      <w:r w:rsidRPr="00624F70">
        <w:rPr>
          <w:rFonts w:ascii="仿宋_GB2312" w:eastAsia="仿宋_GB2312" w:hint="eastAsia"/>
          <w:b/>
          <w:sz w:val="32"/>
          <w:szCs w:val="32"/>
        </w:rPr>
        <w:t>一、项目名称：</w:t>
      </w:r>
      <w:r w:rsidRPr="00624F70">
        <w:rPr>
          <w:rFonts w:ascii="仿宋_GB2312" w:eastAsia="仿宋_GB2312" w:hint="eastAsia"/>
          <w:sz w:val="32"/>
          <w:szCs w:val="32"/>
        </w:rPr>
        <w:t>惠安县黄塘镇西北部片区（大运山国际健康产业园） 二期控制性详细规划及一期控规动态维护</w:t>
      </w:r>
    </w:p>
    <w:p w:rsidR="00D96057" w:rsidRPr="00624F70" w:rsidRDefault="00D96057" w:rsidP="00D96057">
      <w:pPr>
        <w:ind w:firstLineChars="151" w:firstLine="485"/>
        <w:rPr>
          <w:rFonts w:ascii="仿宋_GB2312" w:eastAsia="仿宋_GB2312"/>
          <w:sz w:val="32"/>
          <w:szCs w:val="32"/>
        </w:rPr>
      </w:pPr>
      <w:r w:rsidRPr="00624F70">
        <w:rPr>
          <w:rFonts w:ascii="仿宋_GB2312" w:eastAsia="仿宋_GB2312" w:hint="eastAsia"/>
          <w:b/>
          <w:sz w:val="32"/>
          <w:szCs w:val="32"/>
        </w:rPr>
        <w:t>二、项目类型：</w:t>
      </w:r>
      <w:r w:rsidRPr="00624F70">
        <w:rPr>
          <w:rFonts w:ascii="仿宋_GB2312" w:eastAsia="仿宋_GB2312" w:hint="eastAsia"/>
          <w:sz w:val="32"/>
          <w:szCs w:val="32"/>
        </w:rPr>
        <w:t>规划公示</w:t>
      </w:r>
    </w:p>
    <w:p w:rsidR="00D96057" w:rsidRPr="00624F70" w:rsidRDefault="00D96057" w:rsidP="00D96057">
      <w:pPr>
        <w:ind w:firstLineChars="151" w:firstLine="485"/>
        <w:rPr>
          <w:rFonts w:ascii="仿宋_GB2312" w:eastAsia="仿宋_GB2312"/>
          <w:sz w:val="32"/>
          <w:szCs w:val="32"/>
        </w:rPr>
      </w:pPr>
      <w:r w:rsidRPr="00624F70">
        <w:rPr>
          <w:rFonts w:ascii="仿宋_GB2312" w:eastAsia="仿宋_GB2312" w:hint="eastAsia"/>
          <w:b/>
          <w:sz w:val="32"/>
          <w:szCs w:val="32"/>
        </w:rPr>
        <w:t>三、项目地点：</w:t>
      </w:r>
      <w:r w:rsidRPr="00624F70">
        <w:rPr>
          <w:rFonts w:ascii="仿宋_GB2312" w:eastAsia="仿宋_GB2312" w:hint="eastAsia"/>
          <w:sz w:val="32"/>
          <w:szCs w:val="32"/>
        </w:rPr>
        <w:t>惠安县黄塘镇下坂村、松溪村与红星农场交界区域</w:t>
      </w:r>
    </w:p>
    <w:p w:rsidR="00D96057" w:rsidRPr="00624F70" w:rsidRDefault="00D96057" w:rsidP="00D96057">
      <w:pPr>
        <w:ind w:firstLineChars="151" w:firstLine="485"/>
        <w:rPr>
          <w:rFonts w:ascii="仿宋_GB2312" w:eastAsia="仿宋_GB2312"/>
          <w:b/>
          <w:sz w:val="32"/>
          <w:szCs w:val="32"/>
        </w:rPr>
      </w:pPr>
      <w:r w:rsidRPr="00624F70">
        <w:rPr>
          <w:rFonts w:ascii="仿宋_GB2312" w:eastAsia="仿宋_GB2312" w:hint="eastAsia"/>
          <w:b/>
          <w:sz w:val="32"/>
          <w:szCs w:val="32"/>
        </w:rPr>
        <w:t>四、规划范围</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一期控规动态维护规划范围为：位于惠安县黄塘镇镇西北部、福厦高铁西北侧，总用地面积约57.98公顷。</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二期控规规划范围为：东南至规划安置区二期、东北至聚龙小镇、西南至现状村道、现状水系与基本农田边界、西北至基本农田边界，总用地面积约182.77公顷。</w:t>
      </w:r>
    </w:p>
    <w:p w:rsidR="00D96057" w:rsidRPr="00624F70" w:rsidRDefault="00D96057" w:rsidP="00D96057">
      <w:pPr>
        <w:ind w:firstLineChars="151" w:firstLine="485"/>
        <w:rPr>
          <w:rFonts w:ascii="仿宋_GB2312" w:eastAsia="仿宋_GB2312"/>
          <w:b/>
          <w:sz w:val="32"/>
          <w:szCs w:val="32"/>
        </w:rPr>
      </w:pPr>
      <w:r w:rsidRPr="00624F70">
        <w:rPr>
          <w:rFonts w:ascii="仿宋_GB2312" w:eastAsia="仿宋_GB2312" w:hint="eastAsia"/>
          <w:b/>
          <w:sz w:val="32"/>
          <w:szCs w:val="32"/>
        </w:rPr>
        <w:t>五、功能定位</w:t>
      </w:r>
    </w:p>
    <w:p w:rsidR="00D96057" w:rsidRPr="00624F70" w:rsidRDefault="00D96057" w:rsidP="00D96057">
      <w:pPr>
        <w:widowControl/>
        <w:ind w:firstLineChars="151" w:firstLine="483"/>
        <w:rPr>
          <w:rFonts w:ascii="仿宋_GB2312" w:eastAsia="仿宋_GB2312"/>
          <w:b/>
          <w:sz w:val="32"/>
          <w:szCs w:val="32"/>
        </w:rPr>
      </w:pPr>
      <w:r w:rsidRPr="00624F70">
        <w:rPr>
          <w:rFonts w:ascii="仿宋_GB2312" w:eastAsia="仿宋_GB2312" w:hint="eastAsia"/>
          <w:sz w:val="32"/>
          <w:szCs w:val="32"/>
        </w:rPr>
        <w:t>一期控规动态维护：</w:t>
      </w:r>
      <w:r w:rsidRPr="00624F70">
        <w:rPr>
          <w:rFonts w:ascii="仿宋_GB2312" w:eastAsia="仿宋_GB2312" w:hint="eastAsia"/>
          <w:b/>
          <w:sz w:val="32"/>
          <w:szCs w:val="32"/>
        </w:rPr>
        <w:t>惠安西部休闲度假生活配套区。</w:t>
      </w:r>
    </w:p>
    <w:p w:rsidR="00D96057" w:rsidRPr="00624F70" w:rsidRDefault="00D96057" w:rsidP="00D96057">
      <w:pPr>
        <w:widowControl/>
        <w:ind w:firstLineChars="151" w:firstLine="483"/>
        <w:rPr>
          <w:rFonts w:ascii="仿宋_GB2312" w:eastAsia="仿宋_GB2312"/>
          <w:sz w:val="32"/>
          <w:szCs w:val="32"/>
        </w:rPr>
      </w:pPr>
      <w:r w:rsidRPr="00624F70">
        <w:rPr>
          <w:rFonts w:ascii="仿宋_GB2312" w:eastAsia="仿宋_GB2312" w:hint="eastAsia"/>
          <w:sz w:val="32"/>
          <w:szCs w:val="32"/>
        </w:rPr>
        <w:t>二期控规：</w:t>
      </w:r>
      <w:r w:rsidRPr="00624F70">
        <w:rPr>
          <w:rFonts w:ascii="仿宋_GB2312" w:eastAsia="仿宋_GB2312" w:hint="eastAsia"/>
          <w:b/>
          <w:sz w:val="32"/>
          <w:szCs w:val="32"/>
        </w:rPr>
        <w:t>以健康养老、休闲养生为主导功能，山地休旅贯穿全域的康养休旅综合区。</w:t>
      </w:r>
    </w:p>
    <w:p w:rsidR="00D96057" w:rsidRPr="00624F70" w:rsidRDefault="00D96057" w:rsidP="00D96057">
      <w:pPr>
        <w:ind w:firstLineChars="151" w:firstLine="485"/>
        <w:rPr>
          <w:rFonts w:ascii="仿宋_GB2312" w:eastAsia="仿宋_GB2312"/>
          <w:b/>
          <w:sz w:val="32"/>
          <w:szCs w:val="32"/>
        </w:rPr>
      </w:pPr>
      <w:r w:rsidRPr="00624F70">
        <w:rPr>
          <w:rFonts w:ascii="仿宋_GB2312" w:eastAsia="仿宋_GB2312" w:hint="eastAsia"/>
          <w:b/>
          <w:sz w:val="32"/>
          <w:szCs w:val="32"/>
        </w:rPr>
        <w:t>六、人口规模</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结合产业和规划用地，本次一期控规动态维护人口规模控制为0.8万人；二期控规人口规模控制为1.2万人。</w:t>
      </w:r>
    </w:p>
    <w:p w:rsidR="00D96057" w:rsidRPr="00624F70" w:rsidRDefault="00D96057" w:rsidP="00D96057">
      <w:pPr>
        <w:ind w:firstLineChars="151" w:firstLine="485"/>
        <w:rPr>
          <w:rFonts w:ascii="仿宋_GB2312" w:eastAsia="仿宋_GB2312"/>
          <w:b/>
          <w:sz w:val="32"/>
          <w:szCs w:val="32"/>
        </w:rPr>
      </w:pPr>
      <w:r w:rsidRPr="00624F70">
        <w:rPr>
          <w:rFonts w:ascii="仿宋_GB2312" w:eastAsia="仿宋_GB2312" w:hint="eastAsia"/>
          <w:b/>
          <w:sz w:val="32"/>
          <w:szCs w:val="32"/>
        </w:rPr>
        <w:t>七、规划结构</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一期控规动态维护： “一轴、一核、两区、三组团”的空间构架，其中“一轴”为以水系及两侧绿地形成的滨水生</w:t>
      </w:r>
      <w:r w:rsidRPr="00624F70">
        <w:rPr>
          <w:rFonts w:ascii="仿宋_GB2312" w:eastAsia="仿宋_GB2312" w:hint="eastAsia"/>
          <w:sz w:val="32"/>
          <w:szCs w:val="32"/>
        </w:rPr>
        <w:lastRenderedPageBreak/>
        <w:t>态景观轴；“一核”为商业配套核心区；“两区”为文化休闲商业区和休闲农业体验区；“三组团”为三大生态健康居住组团。</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二期控规：结合资源禀赋及生态格局，围绕山水关系，规划区内打造“一廊串两核，三片共发展”的规划空间结构。</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一廊即山水生态廊，根据自然山脉与水系脉络，结合规划环路形成联系两核三片的生态走廊。</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两核即生活配套核与健康养生核，生活配套核为对接一期控规的功能定位，将其作为全区的综合配套核心。健康养生核为围绕健康中心打造服务片区的康养养老服务核，并构建500米服务半径的8</w:t>
      </w:r>
      <w:r>
        <w:rPr>
          <w:rFonts w:ascii="仿宋_GB2312" w:eastAsia="仿宋_GB2312" w:hint="eastAsia"/>
          <w:sz w:val="32"/>
          <w:szCs w:val="32"/>
        </w:rPr>
        <w:t>分钟生活</w:t>
      </w:r>
      <w:r w:rsidRPr="00624F70">
        <w:rPr>
          <w:rFonts w:ascii="仿宋_GB2312" w:eastAsia="仿宋_GB2312" w:hint="eastAsia"/>
          <w:sz w:val="32"/>
          <w:szCs w:val="32"/>
        </w:rPr>
        <w:t>圈。</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三片即为山居康养片、休闲休旅片与田园休闲片。</w:t>
      </w:r>
    </w:p>
    <w:p w:rsidR="00D96057" w:rsidRPr="00624F70" w:rsidRDefault="00D96057" w:rsidP="00D96057">
      <w:pPr>
        <w:ind w:firstLineChars="151" w:firstLine="485"/>
        <w:rPr>
          <w:rFonts w:ascii="仿宋_GB2312" w:eastAsia="仿宋_GB2312"/>
          <w:b/>
          <w:sz w:val="32"/>
          <w:szCs w:val="32"/>
        </w:rPr>
      </w:pPr>
      <w:r w:rsidRPr="00624F70">
        <w:rPr>
          <w:rFonts w:ascii="仿宋_GB2312" w:eastAsia="仿宋_GB2312" w:hint="eastAsia"/>
          <w:b/>
          <w:sz w:val="32"/>
          <w:szCs w:val="32"/>
        </w:rPr>
        <w:t>八、道路交通系统</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1、一期控规动态维护</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对外交通依托迎宾路与后郭路相连接；内部交通系统形成主干道、次干道、支路三级的自由式道路空间格局。</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2、二期控规</w:t>
      </w:r>
    </w:p>
    <w:p w:rsidR="00D96057" w:rsidRPr="00624F70" w:rsidRDefault="00D96057" w:rsidP="00D96057">
      <w:pPr>
        <w:ind w:firstLineChars="151" w:firstLine="483"/>
        <w:rPr>
          <w:rFonts w:ascii="仿宋_GB2312" w:eastAsia="仿宋_GB2312" w:hAnsi="宋体" w:cs="宋体"/>
          <w:kern w:val="0"/>
          <w:sz w:val="32"/>
          <w:szCs w:val="32"/>
        </w:rPr>
      </w:pPr>
      <w:r w:rsidRPr="00624F70">
        <w:rPr>
          <w:rFonts w:ascii="仿宋_GB2312" w:eastAsia="仿宋_GB2312" w:hint="eastAsia"/>
          <w:sz w:val="32"/>
          <w:szCs w:val="32"/>
        </w:rPr>
        <w:t>对外交通方面，二期结合一期迎宾路打造规划区中部的对外出入口，并于东侧依托现状村道极其福厦高铁下穿涵洞</w:t>
      </w:r>
      <w:r w:rsidRPr="00624F70">
        <w:rPr>
          <w:rFonts w:ascii="仿宋_GB2312" w:eastAsia="仿宋_GB2312" w:hAnsi="宋体" w:cs="宋体" w:hint="eastAsia"/>
          <w:kern w:val="0"/>
          <w:sz w:val="32"/>
          <w:szCs w:val="32"/>
        </w:rPr>
        <w:t>打造规划区的第二通道，该通道可快速与惠安高铁站及黄塘镇区联系。</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Ansi="宋体" w:cs="宋体" w:hint="eastAsia"/>
          <w:kern w:val="0"/>
          <w:sz w:val="32"/>
          <w:szCs w:val="32"/>
        </w:rPr>
        <w:t>内部交通方面，规划范围形成“主次成环、支路补充”</w:t>
      </w:r>
      <w:r w:rsidRPr="00624F70">
        <w:rPr>
          <w:rFonts w:ascii="仿宋_GB2312" w:eastAsia="仿宋_GB2312" w:hAnsi="宋体" w:cs="宋体" w:hint="eastAsia"/>
          <w:kern w:val="0"/>
          <w:sz w:val="32"/>
          <w:szCs w:val="32"/>
        </w:rPr>
        <w:lastRenderedPageBreak/>
        <w:t>的内部路网体系，包括片区主路、片区次路和支路三级市政道路构成。其中区主路形成环状路网并承担对外交通职能，红线宽度</w:t>
      </w:r>
      <w:r>
        <w:rPr>
          <w:rFonts w:ascii="仿宋_GB2312" w:eastAsia="仿宋_GB2312" w:hAnsi="宋体" w:cs="宋体" w:hint="eastAsia"/>
          <w:kern w:val="0"/>
          <w:sz w:val="32"/>
          <w:szCs w:val="32"/>
        </w:rPr>
        <w:t>2</w:t>
      </w:r>
      <w:r w:rsidRPr="00624F70">
        <w:rPr>
          <w:rFonts w:ascii="仿宋_GB2312" w:eastAsia="仿宋_GB2312" w:hAnsi="宋体" w:cs="宋体" w:hint="eastAsia"/>
          <w:kern w:val="0"/>
          <w:sz w:val="32"/>
          <w:szCs w:val="32"/>
        </w:rPr>
        <w:t>5米，为中部迎宾路；区内次路为联系功能片区的功能道路，红线宽度14-18米，分别为大运东环路、大运南环路、学院路、大运北环路、临山路、亲情路和站前路；区内支路7-9米，分别为山前路、赤山路和颐养路</w:t>
      </w:r>
      <w:r w:rsidRPr="00624F70">
        <w:rPr>
          <w:rFonts w:ascii="仿宋_GB2312" w:eastAsia="仿宋_GB2312" w:hint="eastAsia"/>
          <w:sz w:val="32"/>
          <w:szCs w:val="32"/>
        </w:rPr>
        <w:t>。</w:t>
      </w:r>
    </w:p>
    <w:p w:rsidR="00D96057" w:rsidRPr="00624F70" w:rsidRDefault="00D96057" w:rsidP="00D96057">
      <w:pPr>
        <w:ind w:firstLineChars="151" w:firstLine="483"/>
        <w:rPr>
          <w:rFonts w:ascii="仿宋_GB2312" w:eastAsia="仿宋_GB2312" w:hAnsi="宋体" w:cs="宋体"/>
          <w:kern w:val="0"/>
          <w:sz w:val="32"/>
          <w:szCs w:val="32"/>
        </w:rPr>
      </w:pPr>
      <w:r w:rsidRPr="00624F70">
        <w:rPr>
          <w:rFonts w:ascii="仿宋_GB2312" w:eastAsia="仿宋_GB2312" w:hint="eastAsia"/>
          <w:sz w:val="32"/>
          <w:szCs w:val="32"/>
        </w:rPr>
        <w:t>公共交通方面，在规划区内预留设置一条对外公交线路，并结合社会停车场用地布置1处公交首末站点。结合规划环路设置电瓶车环线，承担区内公共交通职能同时也承担景点联络线的作用。沿线结合公共服务设施与公园设置4处停靠站。</w:t>
      </w:r>
    </w:p>
    <w:p w:rsidR="00D96057" w:rsidRPr="00624F70" w:rsidRDefault="00D96057" w:rsidP="00D96057">
      <w:pPr>
        <w:ind w:firstLineChars="151" w:firstLine="485"/>
        <w:rPr>
          <w:rFonts w:ascii="仿宋_GB2312" w:eastAsia="仿宋_GB2312"/>
          <w:b/>
          <w:sz w:val="32"/>
          <w:szCs w:val="32"/>
        </w:rPr>
      </w:pPr>
      <w:r w:rsidRPr="00624F70">
        <w:rPr>
          <w:rFonts w:ascii="仿宋_GB2312" w:eastAsia="仿宋_GB2312" w:hint="eastAsia"/>
          <w:b/>
          <w:sz w:val="32"/>
          <w:szCs w:val="32"/>
        </w:rPr>
        <w:t>九、绿地景观系统</w:t>
      </w:r>
    </w:p>
    <w:p w:rsidR="00D96057" w:rsidRPr="00624F70" w:rsidRDefault="00D96057" w:rsidP="00D96057">
      <w:pPr>
        <w:ind w:firstLineChars="151" w:firstLine="483"/>
        <w:rPr>
          <w:rFonts w:ascii="仿宋_GB2312" w:eastAsia="仿宋_GB2312" w:hAnsi="宋体" w:cs="宋体"/>
          <w:kern w:val="0"/>
          <w:sz w:val="32"/>
          <w:szCs w:val="32"/>
        </w:rPr>
      </w:pPr>
      <w:r w:rsidRPr="00624F70">
        <w:rPr>
          <w:rFonts w:ascii="仿宋_GB2312" w:eastAsia="仿宋_GB2312" w:hAnsi="宋体" w:cs="宋体" w:hint="eastAsia"/>
          <w:kern w:val="0"/>
          <w:sz w:val="32"/>
          <w:szCs w:val="32"/>
        </w:rPr>
        <w:t>一期控规动态维护：区内绿地均为公园绿地，分布于滨水和山体中，形成环湖滨水公园和四处山体公园。景观结构方面形成为“一心、一轴、多节点”的格局，其中“一心”为景观核心；“一轴”为滨水生态景观轴；“多节点”为结合公园绿地、滨水岸线、农业用地等打造的景观节点。</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二期控规：均为公园绿地，总面积30.65公顷，根据功能、形态等细分为滨水公园、山地公园、社区公园和一般公园。滨水公园为规划区连贯水系周边的带状绿地公园，强调亲水与连贯性；山地公园位于规划区中部，结合优质林地植入登山漫道、远眺平台、山地自行车线路等打造具有健康主</w:t>
      </w:r>
      <w:r w:rsidRPr="00624F70">
        <w:rPr>
          <w:rFonts w:ascii="仿宋_GB2312" w:eastAsia="仿宋_GB2312" w:hint="eastAsia"/>
          <w:sz w:val="32"/>
          <w:szCs w:val="32"/>
        </w:rPr>
        <w:lastRenderedPageBreak/>
        <w:t>题的体验式森林公园；社区公园位于住区周边，植入社区活动设施，为居住地块提供休憩活动场所；一般公园为各居住街坊周边的公园绿地，为居民提供日常休憩放松康养的场所。景观结构方面，规划区构建“一环一廊，两心多节点”的景观系统。其中一环为结合丘陵和水系形成的景观串联环；一廊为即山水体验廊；两心为围绕健康中心与周边公园绿地打造健康养生主题景观核心、结合一期大运湖与周边绿地景观即文旅体验空间打造的滨水主题景观核心；多节点为结合门户空间、开阔水面、森林公园、特色景观资源点等形成多处自然景观节点。</w:t>
      </w:r>
    </w:p>
    <w:p w:rsidR="00D96057" w:rsidRPr="00624F70" w:rsidRDefault="00D96057" w:rsidP="00D96057">
      <w:pPr>
        <w:ind w:firstLineChars="151" w:firstLine="485"/>
        <w:rPr>
          <w:rFonts w:ascii="仿宋_GB2312" w:eastAsia="仿宋_GB2312"/>
          <w:b/>
          <w:sz w:val="32"/>
          <w:szCs w:val="32"/>
        </w:rPr>
      </w:pPr>
      <w:r w:rsidRPr="00624F70">
        <w:rPr>
          <w:rFonts w:ascii="仿宋_GB2312" w:eastAsia="仿宋_GB2312" w:hint="eastAsia"/>
          <w:b/>
          <w:sz w:val="32"/>
          <w:szCs w:val="32"/>
        </w:rPr>
        <w:t>十、三大设施规划</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“三大设施”即公共管理与公共服务设施、道路与交通设施、公用设施。按照一、二期共计2万的总人口规模统筹进行“三大设施”配置。</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（1）公共管理与公共服务设施：根据总人口，在一、二期范围内划定一</w:t>
      </w:r>
      <w:r>
        <w:rPr>
          <w:rFonts w:ascii="仿宋_GB2312" w:eastAsia="仿宋_GB2312" w:hint="eastAsia"/>
          <w:sz w:val="32"/>
          <w:szCs w:val="32"/>
        </w:rPr>
        <w:t>个十分钟生活圈和三个五分钟生活圈，依据上位黄塘镇总规</w:t>
      </w:r>
      <w:r w:rsidRPr="00624F70">
        <w:rPr>
          <w:rFonts w:ascii="仿宋_GB2312" w:eastAsia="仿宋_GB2312" w:hint="eastAsia"/>
          <w:sz w:val="32"/>
          <w:szCs w:val="32"/>
        </w:rPr>
        <w:t>划定一个十五分钟生活圈，区内主要配</w:t>
      </w:r>
      <w:r>
        <w:rPr>
          <w:rFonts w:ascii="仿宋_GB2312" w:eastAsia="仿宋_GB2312" w:hint="eastAsia"/>
          <w:sz w:val="32"/>
          <w:szCs w:val="32"/>
        </w:rPr>
        <w:t>置五分钟与十分钟生活圈配套设施，十五分钟生活圈配套设施结合</w:t>
      </w:r>
      <w:r w:rsidRPr="00624F70">
        <w:rPr>
          <w:rFonts w:ascii="仿宋_GB2312" w:eastAsia="仿宋_GB2312" w:hint="eastAsia"/>
          <w:sz w:val="32"/>
          <w:szCs w:val="32"/>
        </w:rPr>
        <w:t>黄塘镇设施进行统筹。</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五分钟生活圈公共服务设施：本次规划在传统五分钟生活区的基础上提出“安心1+1”、“贴心2+2”、“顺心3+3”和其他公用设施四类，囊括五分钟生活圈中的社区管理与服务、</w:t>
      </w:r>
      <w:r w:rsidRPr="00624F70">
        <w:rPr>
          <w:rFonts w:ascii="仿宋_GB2312" w:eastAsia="仿宋_GB2312" w:hint="eastAsia"/>
          <w:sz w:val="32"/>
          <w:szCs w:val="32"/>
        </w:rPr>
        <w:lastRenderedPageBreak/>
        <w:t>文化、医疗卫生、康养与社区养老、片区养老、教育、体育、商业设施等配套。其中社区管理与服务、文化、医疗卫生（社区医疗卫生站）、康养（健康站）、社区养老（居家养老服务站、老年康复站和老年活动站等）等合建为邻里中心，共设置三处；片区养老设施包括健康中心、颐养中心（片区级养老设施）和居家养老服务照料中心各一处，其中颐养中心建筑面积7050平方米，设置床位175张，居家养老服务照料中心建筑面积1400平方米，设置床位40张；教育设施包括规划15班幼儿园、9班幼儿园各一处、6班幼儿园两处，其中15班幼儿园位于一期范围内；体育设施结合滨水公园和社区公园设置；商业设施结合商业和商住混合地块设置。</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十分钟生活圈公共服务设施：包括初中、小学、中型多功能运动场地、商场、生鲜超市、银行电信等各营业网点、健康步道等。其中初中与小学合建为一所九年一贯制学校，规模为42班小学、18班初中；中型多功能运动场地结合公园绿地设置；商场、生鲜超市、各营业网点结合邻里商业设置；健康步道结合山地公园设置。</w:t>
      </w:r>
    </w:p>
    <w:p w:rsidR="00D96057" w:rsidRPr="00624F70" w:rsidRDefault="00D96057" w:rsidP="00D96057">
      <w:pPr>
        <w:ind w:firstLineChars="151" w:firstLine="483"/>
        <w:rPr>
          <w:rFonts w:ascii="仿宋_GB2312" w:eastAsia="仿宋_GB2312"/>
          <w:sz w:val="32"/>
          <w:szCs w:val="32"/>
        </w:rPr>
      </w:pPr>
      <w:r>
        <w:rPr>
          <w:rFonts w:ascii="仿宋_GB2312" w:eastAsia="仿宋_GB2312" w:hint="eastAsia"/>
          <w:sz w:val="32"/>
          <w:szCs w:val="32"/>
        </w:rPr>
        <w:t>十五分钟生活圈公共服务设施：十五分钟生活圈配套设施包括社区卫生服务中心、综合文化活动中心、</w:t>
      </w:r>
      <w:r w:rsidRPr="00624F70">
        <w:rPr>
          <w:rFonts w:ascii="仿宋_GB2312" w:eastAsia="仿宋_GB2312" w:hint="eastAsia"/>
          <w:sz w:val="32"/>
          <w:szCs w:val="32"/>
        </w:rPr>
        <w:t>多功能活动场地、社会福利设施、街道办事处、街道综合服务中心、派出所、</w:t>
      </w:r>
      <w:r>
        <w:rPr>
          <w:rFonts w:ascii="仿宋_GB2312" w:eastAsia="仿宋_GB2312" w:hint="eastAsia"/>
          <w:sz w:val="32"/>
          <w:szCs w:val="32"/>
        </w:rPr>
        <w:t>社区商业等。其中</w:t>
      </w:r>
      <w:r w:rsidRPr="00624F70">
        <w:rPr>
          <w:rFonts w:ascii="仿宋_GB2312" w:eastAsia="仿宋_GB2312" w:hint="eastAsia"/>
          <w:sz w:val="32"/>
          <w:szCs w:val="32"/>
        </w:rPr>
        <w:t>综合文化活动中心为规划区内新建康养文化中心，并设置多处娱乐、商业和文化混合设施；社</w:t>
      </w:r>
      <w:r w:rsidRPr="00624F70">
        <w:rPr>
          <w:rFonts w:ascii="仿宋_GB2312" w:eastAsia="仿宋_GB2312" w:hint="eastAsia"/>
          <w:sz w:val="32"/>
          <w:szCs w:val="32"/>
        </w:rPr>
        <w:lastRenderedPageBreak/>
        <w:t>会福利设施为规划区内新建一处老年福利设施配套；街道办事处、街道综合服务中心、派出所等由现状黄塘镇服务中心与片区派出所统一管理与配套；社区商业由规划区内商业地块配套。</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2）道路与交通设施：规划在二期迎宾路与公园路交叉口处设置一处大型社会公共停车场，同时结合公园绿地设置三处配建式社会公共停车场（其中一期范围内一处）。鼓励结合场地高差建设地下及立体停车场库。</w:t>
      </w:r>
    </w:p>
    <w:p w:rsidR="00D96057" w:rsidRPr="00624F70" w:rsidRDefault="00D96057" w:rsidP="00D96057">
      <w:pPr>
        <w:ind w:firstLineChars="151" w:firstLine="483"/>
        <w:rPr>
          <w:rFonts w:ascii="仿宋_GB2312" w:eastAsia="仿宋_GB2312"/>
          <w:sz w:val="32"/>
          <w:szCs w:val="32"/>
        </w:rPr>
      </w:pPr>
      <w:r w:rsidRPr="00624F70">
        <w:rPr>
          <w:rFonts w:ascii="仿宋_GB2312" w:eastAsia="仿宋_GB2312" w:hint="eastAsia"/>
          <w:sz w:val="32"/>
          <w:szCs w:val="32"/>
        </w:rPr>
        <w:t>（3）公用设施：一期范围内设置两处开闭所、一处通信机房和一处“三合一”清洁楼；二期范围内设置10KV环网柜6处、10KV开闭所3处、移动通信基站5处、片区汇聚机房1处、邮政所2处、公共厕所1处、三合一清洁楼1处。</w:t>
      </w:r>
    </w:p>
    <w:p w:rsidR="00CA0482" w:rsidRPr="00D96057" w:rsidRDefault="00D96057"/>
    <w:sectPr w:rsidR="00CA0482" w:rsidRPr="00D96057" w:rsidSect="009044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57" w:rsidRDefault="00D96057" w:rsidP="00D96057">
      <w:r>
        <w:separator/>
      </w:r>
    </w:p>
  </w:endnote>
  <w:endnote w:type="continuationSeparator" w:id="0">
    <w:p w:rsidR="00D96057" w:rsidRDefault="00D96057" w:rsidP="00D960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57" w:rsidRDefault="00D96057" w:rsidP="00D96057">
      <w:r>
        <w:separator/>
      </w:r>
    </w:p>
  </w:footnote>
  <w:footnote w:type="continuationSeparator" w:id="0">
    <w:p w:rsidR="00D96057" w:rsidRDefault="00D96057" w:rsidP="00D960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6057"/>
    <w:rsid w:val="0000633C"/>
    <w:rsid w:val="000148E9"/>
    <w:rsid w:val="00014DAD"/>
    <w:rsid w:val="00021B6E"/>
    <w:rsid w:val="0002486B"/>
    <w:rsid w:val="000324E1"/>
    <w:rsid w:val="000A3616"/>
    <w:rsid w:val="000D125D"/>
    <w:rsid w:val="000D5A9A"/>
    <w:rsid w:val="000E7A7F"/>
    <w:rsid w:val="000F147C"/>
    <w:rsid w:val="00105364"/>
    <w:rsid w:val="001539C9"/>
    <w:rsid w:val="00165EEC"/>
    <w:rsid w:val="001750CC"/>
    <w:rsid w:val="00177A64"/>
    <w:rsid w:val="001A0B82"/>
    <w:rsid w:val="001C6602"/>
    <w:rsid w:val="001F22FE"/>
    <w:rsid w:val="001F26B5"/>
    <w:rsid w:val="002057A0"/>
    <w:rsid w:val="002808C1"/>
    <w:rsid w:val="00285BF0"/>
    <w:rsid w:val="00291939"/>
    <w:rsid w:val="00294AFD"/>
    <w:rsid w:val="002A132C"/>
    <w:rsid w:val="002B3391"/>
    <w:rsid w:val="002B3DD4"/>
    <w:rsid w:val="002C4B3E"/>
    <w:rsid w:val="002D78F3"/>
    <w:rsid w:val="002D7FCD"/>
    <w:rsid w:val="002F0D4A"/>
    <w:rsid w:val="003120FB"/>
    <w:rsid w:val="0031409F"/>
    <w:rsid w:val="00324209"/>
    <w:rsid w:val="00342784"/>
    <w:rsid w:val="0036074D"/>
    <w:rsid w:val="00370113"/>
    <w:rsid w:val="003807E4"/>
    <w:rsid w:val="003943A5"/>
    <w:rsid w:val="00417F24"/>
    <w:rsid w:val="00431698"/>
    <w:rsid w:val="004C0B36"/>
    <w:rsid w:val="004C6455"/>
    <w:rsid w:val="004E698F"/>
    <w:rsid w:val="00516510"/>
    <w:rsid w:val="0053779E"/>
    <w:rsid w:val="005407D0"/>
    <w:rsid w:val="0054328B"/>
    <w:rsid w:val="00552EBF"/>
    <w:rsid w:val="00586BAA"/>
    <w:rsid w:val="005B4BC5"/>
    <w:rsid w:val="005B4EA2"/>
    <w:rsid w:val="005B750E"/>
    <w:rsid w:val="005D6772"/>
    <w:rsid w:val="00621798"/>
    <w:rsid w:val="00654F0F"/>
    <w:rsid w:val="00655213"/>
    <w:rsid w:val="006676BF"/>
    <w:rsid w:val="006979C0"/>
    <w:rsid w:val="006A130D"/>
    <w:rsid w:val="006B488E"/>
    <w:rsid w:val="006E7525"/>
    <w:rsid w:val="007049B8"/>
    <w:rsid w:val="00711249"/>
    <w:rsid w:val="0071264D"/>
    <w:rsid w:val="00725F2C"/>
    <w:rsid w:val="00732867"/>
    <w:rsid w:val="00750938"/>
    <w:rsid w:val="007734D7"/>
    <w:rsid w:val="007843AD"/>
    <w:rsid w:val="00787FE8"/>
    <w:rsid w:val="00795404"/>
    <w:rsid w:val="007A1F8C"/>
    <w:rsid w:val="007A5B75"/>
    <w:rsid w:val="007B6571"/>
    <w:rsid w:val="007C1861"/>
    <w:rsid w:val="007D53FF"/>
    <w:rsid w:val="007F340B"/>
    <w:rsid w:val="007F6A35"/>
    <w:rsid w:val="00846C9F"/>
    <w:rsid w:val="00850734"/>
    <w:rsid w:val="00853C16"/>
    <w:rsid w:val="00854060"/>
    <w:rsid w:val="00863584"/>
    <w:rsid w:val="008654FB"/>
    <w:rsid w:val="00876D96"/>
    <w:rsid w:val="00884A31"/>
    <w:rsid w:val="00886E83"/>
    <w:rsid w:val="008C63F5"/>
    <w:rsid w:val="008D3ECF"/>
    <w:rsid w:val="008E0A77"/>
    <w:rsid w:val="008F23CA"/>
    <w:rsid w:val="00904456"/>
    <w:rsid w:val="0091491D"/>
    <w:rsid w:val="00915EDD"/>
    <w:rsid w:val="00916FEE"/>
    <w:rsid w:val="009170E3"/>
    <w:rsid w:val="009501FC"/>
    <w:rsid w:val="00952836"/>
    <w:rsid w:val="009714BB"/>
    <w:rsid w:val="00975909"/>
    <w:rsid w:val="009836CA"/>
    <w:rsid w:val="009940C6"/>
    <w:rsid w:val="009A3760"/>
    <w:rsid w:val="009B0A6E"/>
    <w:rsid w:val="009B70EE"/>
    <w:rsid w:val="00A127A9"/>
    <w:rsid w:val="00A52730"/>
    <w:rsid w:val="00A55C9A"/>
    <w:rsid w:val="00A85090"/>
    <w:rsid w:val="00A86529"/>
    <w:rsid w:val="00AA2FBF"/>
    <w:rsid w:val="00AB7921"/>
    <w:rsid w:val="00AC0F61"/>
    <w:rsid w:val="00AC5C89"/>
    <w:rsid w:val="00AF04E6"/>
    <w:rsid w:val="00B16700"/>
    <w:rsid w:val="00B408D7"/>
    <w:rsid w:val="00B42BC6"/>
    <w:rsid w:val="00B47195"/>
    <w:rsid w:val="00B5665E"/>
    <w:rsid w:val="00B56B79"/>
    <w:rsid w:val="00B62999"/>
    <w:rsid w:val="00B62C15"/>
    <w:rsid w:val="00B83725"/>
    <w:rsid w:val="00B852E6"/>
    <w:rsid w:val="00BA005B"/>
    <w:rsid w:val="00BD2722"/>
    <w:rsid w:val="00BF50D5"/>
    <w:rsid w:val="00C20386"/>
    <w:rsid w:val="00C32448"/>
    <w:rsid w:val="00C33AB7"/>
    <w:rsid w:val="00C37989"/>
    <w:rsid w:val="00CB7527"/>
    <w:rsid w:val="00CD370E"/>
    <w:rsid w:val="00CF5F19"/>
    <w:rsid w:val="00D0577D"/>
    <w:rsid w:val="00D260D8"/>
    <w:rsid w:val="00D378A0"/>
    <w:rsid w:val="00D442CB"/>
    <w:rsid w:val="00D47188"/>
    <w:rsid w:val="00D47C9E"/>
    <w:rsid w:val="00D508B7"/>
    <w:rsid w:val="00D55388"/>
    <w:rsid w:val="00D6372E"/>
    <w:rsid w:val="00D809D1"/>
    <w:rsid w:val="00D914FD"/>
    <w:rsid w:val="00D96057"/>
    <w:rsid w:val="00DB0039"/>
    <w:rsid w:val="00DB6C6E"/>
    <w:rsid w:val="00DC445E"/>
    <w:rsid w:val="00DF732E"/>
    <w:rsid w:val="00E3318D"/>
    <w:rsid w:val="00E37251"/>
    <w:rsid w:val="00E46A77"/>
    <w:rsid w:val="00E53B9E"/>
    <w:rsid w:val="00E55CAE"/>
    <w:rsid w:val="00E81634"/>
    <w:rsid w:val="00E84AD7"/>
    <w:rsid w:val="00E92212"/>
    <w:rsid w:val="00EB1253"/>
    <w:rsid w:val="00EB3E3F"/>
    <w:rsid w:val="00ED51EC"/>
    <w:rsid w:val="00ED6478"/>
    <w:rsid w:val="00ED707B"/>
    <w:rsid w:val="00ED74CD"/>
    <w:rsid w:val="00EF54DC"/>
    <w:rsid w:val="00F05694"/>
    <w:rsid w:val="00F114FF"/>
    <w:rsid w:val="00F30CC0"/>
    <w:rsid w:val="00F428D3"/>
    <w:rsid w:val="00F52B55"/>
    <w:rsid w:val="00F60AEB"/>
    <w:rsid w:val="00F60EB7"/>
    <w:rsid w:val="00F76953"/>
    <w:rsid w:val="00F879C5"/>
    <w:rsid w:val="00FA183C"/>
    <w:rsid w:val="00FA1B17"/>
    <w:rsid w:val="00FA7672"/>
    <w:rsid w:val="00FB6978"/>
    <w:rsid w:val="00FF7A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5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0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96057"/>
    <w:rPr>
      <w:sz w:val="18"/>
      <w:szCs w:val="18"/>
    </w:rPr>
  </w:style>
  <w:style w:type="paragraph" w:styleId="a4">
    <w:name w:val="footer"/>
    <w:basedOn w:val="a"/>
    <w:link w:val="Char0"/>
    <w:uiPriority w:val="99"/>
    <w:semiHidden/>
    <w:unhideWhenUsed/>
    <w:rsid w:val="00D960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960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411</Words>
  <Characters>2349</Characters>
  <Application>Microsoft Office Word</Application>
  <DocSecurity>0</DocSecurity>
  <Lines>19</Lines>
  <Paragraphs>5</Paragraphs>
  <ScaleCrop>false</ScaleCrop>
  <Company>Hewlett-Packard Company</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2021-07-21T08:00:00Z</dcterms:created>
  <dcterms:modified xsi:type="dcterms:W3CDTF">2021-07-21T08:00:00Z</dcterms:modified>
</cp:coreProperties>
</file>