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default" w:ascii="黑体" w:hAnsi="黑体" w:eastAsia="黑体" w:cs="黑体"/>
          <w:b w:val="0"/>
          <w:bCs w:val="0"/>
          <w:color w:val="auto"/>
          <w:kern w:val="0"/>
          <w:sz w:val="32"/>
          <w:szCs w:val="32"/>
          <w:lang w:val="en-US" w:eastAsia="zh-CN"/>
        </w:rPr>
      </w:pPr>
      <w:bookmarkStart w:id="0" w:name="_GoBack"/>
      <w:bookmarkEnd w:id="0"/>
      <w:r>
        <w:rPr>
          <w:rFonts w:hint="eastAsia" w:ascii="黑体" w:hAnsi="黑体" w:eastAsia="黑体" w:cs="黑体"/>
          <w:b w:val="0"/>
          <w:bCs w:val="0"/>
          <w:color w:val="auto"/>
          <w:kern w:val="0"/>
          <w:sz w:val="32"/>
          <w:szCs w:val="32"/>
          <w:lang w:eastAsia="zh-CN"/>
        </w:rPr>
        <w:t>附件</w:t>
      </w:r>
      <w:r>
        <w:rPr>
          <w:rFonts w:hint="eastAsia" w:ascii="黑体" w:hAnsi="黑体" w:eastAsia="黑体" w:cs="黑体"/>
          <w:b w:val="0"/>
          <w:bCs w:val="0"/>
          <w:color w:val="auto"/>
          <w:kern w:val="0"/>
          <w:sz w:val="32"/>
          <w:szCs w:val="32"/>
          <w:lang w:val="en-US" w:eastAsia="zh-CN"/>
        </w:rPr>
        <w:t>1</w:t>
      </w:r>
    </w:p>
    <w:p>
      <w:pPr>
        <w:widowControl/>
        <w:spacing w:before="75" w:after="75"/>
        <w:jc w:val="center"/>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2"/>
          <w:szCs w:val="32"/>
        </w:rPr>
        <w:t>采购内容及要求</w:t>
      </w:r>
    </w:p>
    <w:p>
      <w:pPr>
        <w:keepNext w:val="0"/>
        <w:keepLines w:val="0"/>
        <w:pageBreakBefore w:val="0"/>
        <w:widowControl/>
        <w:kinsoku/>
        <w:wordWrap/>
        <w:overflowPunct/>
        <w:topLinePunct w:val="0"/>
        <w:autoSpaceDE/>
        <w:autoSpaceDN/>
        <w:bidi w:val="0"/>
        <w:adjustRightInd/>
        <w:snapToGrid/>
        <w:spacing w:before="75" w:after="75" w:line="340" w:lineRule="exact"/>
        <w:jc w:val="left"/>
        <w:textAlignment w:val="auto"/>
        <w:rPr>
          <w:rFonts w:ascii="仿宋" w:hAnsi="仿宋" w:eastAsia="仿宋" w:cs="宋体"/>
          <w:b/>
          <w:bCs/>
          <w:color w:val="auto"/>
          <w:kern w:val="0"/>
          <w:sz w:val="24"/>
          <w:szCs w:val="24"/>
        </w:rPr>
      </w:pPr>
      <w:r>
        <w:rPr>
          <w:rFonts w:ascii="宋体" w:hAnsi="宋体" w:eastAsia="仿宋" w:cs="宋体"/>
          <w:b/>
          <w:color w:val="auto"/>
          <w:kern w:val="0"/>
          <w:sz w:val="24"/>
          <w:szCs w:val="24"/>
        </w:rPr>
        <w:t> </w:t>
      </w:r>
      <w:r>
        <w:rPr>
          <w:rFonts w:ascii="仿宋" w:hAnsi="仿宋" w:eastAsia="仿宋" w:cs="宋体"/>
          <w:b/>
          <w:bCs/>
          <w:color w:val="auto"/>
          <w:kern w:val="0"/>
          <w:sz w:val="24"/>
          <w:szCs w:val="24"/>
        </w:rPr>
        <w:t>一、</w:t>
      </w:r>
      <w:r>
        <w:rPr>
          <w:rFonts w:hint="eastAsia" w:ascii="仿宋" w:hAnsi="仿宋" w:eastAsia="仿宋" w:cs="宋体"/>
          <w:b/>
          <w:bCs/>
          <w:color w:val="auto"/>
          <w:kern w:val="0"/>
          <w:sz w:val="24"/>
          <w:szCs w:val="24"/>
        </w:rPr>
        <w:t>采购内容</w:t>
      </w:r>
    </w:p>
    <w:p>
      <w:pPr>
        <w:keepNext w:val="0"/>
        <w:keepLines w:val="0"/>
        <w:pageBreakBefore w:val="0"/>
        <w:widowControl/>
        <w:kinsoku/>
        <w:wordWrap/>
        <w:overflowPunct/>
        <w:topLinePunct w:val="0"/>
        <w:autoSpaceDE/>
        <w:autoSpaceDN/>
        <w:bidi w:val="0"/>
        <w:adjustRightInd/>
        <w:snapToGrid/>
        <w:spacing w:before="75" w:after="75" w:line="340" w:lineRule="exact"/>
        <w:ind w:firstLine="482" w:firstLineChars="200"/>
        <w:jc w:val="left"/>
        <w:textAlignment w:val="auto"/>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1.1采购内容：</w:t>
      </w:r>
    </w:p>
    <w:tbl>
      <w:tblPr>
        <w:tblStyle w:val="10"/>
        <w:tblW w:w="879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25"/>
        <w:gridCol w:w="926"/>
        <w:gridCol w:w="3910"/>
        <w:gridCol w:w="1120"/>
        <w:gridCol w:w="1065"/>
        <w:gridCol w:w="8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92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合同包</w:t>
            </w:r>
          </w:p>
        </w:tc>
        <w:tc>
          <w:tcPr>
            <w:tcW w:w="92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品目号</w:t>
            </w:r>
          </w:p>
        </w:tc>
        <w:tc>
          <w:tcPr>
            <w:tcW w:w="39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采购标的</w:t>
            </w:r>
          </w:p>
        </w:tc>
        <w:tc>
          <w:tcPr>
            <w:tcW w:w="1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数量</w:t>
            </w:r>
          </w:p>
        </w:tc>
        <w:tc>
          <w:tcPr>
            <w:tcW w:w="10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单位</w:t>
            </w:r>
          </w:p>
        </w:tc>
        <w:tc>
          <w:tcPr>
            <w:tcW w:w="85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925" w:type="dxa"/>
            <w:tcBorders>
              <w:top w:val="outset" w:color="auto" w:sz="6" w:space="0"/>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1</w:t>
            </w:r>
          </w:p>
        </w:tc>
        <w:tc>
          <w:tcPr>
            <w:tcW w:w="92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a</w:t>
            </w:r>
          </w:p>
        </w:tc>
        <w:tc>
          <w:tcPr>
            <w:tcW w:w="39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 xml:space="preserve"> 惠安县</w:t>
            </w:r>
            <w:r>
              <w:rPr>
                <w:rFonts w:hint="eastAsia" w:ascii="仿宋" w:hAnsi="仿宋" w:eastAsia="仿宋" w:cs="宋体"/>
                <w:b/>
                <w:color w:val="auto"/>
                <w:kern w:val="0"/>
                <w:sz w:val="24"/>
                <w:szCs w:val="24"/>
                <w:lang w:eastAsia="zh-CN"/>
              </w:rPr>
              <w:t>2024</w:t>
            </w:r>
            <w:r>
              <w:rPr>
                <w:rFonts w:hint="eastAsia" w:ascii="仿宋" w:hAnsi="仿宋" w:eastAsia="仿宋" w:cs="宋体"/>
                <w:b/>
                <w:color w:val="auto"/>
                <w:kern w:val="0"/>
                <w:sz w:val="24"/>
                <w:szCs w:val="24"/>
              </w:rPr>
              <w:t>年农产品（水产品）质量安全监</w:t>
            </w:r>
            <w:r>
              <w:rPr>
                <w:rFonts w:hint="eastAsia" w:ascii="仿宋" w:hAnsi="仿宋" w:eastAsia="仿宋" w:cs="宋体"/>
                <w:b/>
                <w:color w:val="auto"/>
                <w:kern w:val="0"/>
                <w:sz w:val="24"/>
                <w:szCs w:val="24"/>
                <w:lang w:eastAsia="zh-CN"/>
              </w:rPr>
              <w:t>测</w:t>
            </w:r>
            <w:r>
              <w:rPr>
                <w:rFonts w:hint="eastAsia" w:ascii="仿宋" w:hAnsi="仿宋" w:eastAsia="仿宋" w:cs="宋体"/>
                <w:b/>
                <w:color w:val="auto"/>
                <w:kern w:val="0"/>
                <w:sz w:val="24"/>
                <w:szCs w:val="24"/>
              </w:rPr>
              <w:t>分析检测服务</w:t>
            </w:r>
          </w:p>
        </w:tc>
        <w:tc>
          <w:tcPr>
            <w:tcW w:w="1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b/>
                <w:color w:val="auto"/>
                <w:sz w:val="24"/>
                <w:szCs w:val="24"/>
              </w:rPr>
            </w:pPr>
            <w:r>
              <w:rPr>
                <w:rFonts w:hint="eastAsia"/>
                <w:b/>
                <w:color w:val="auto"/>
                <w:sz w:val="24"/>
                <w:szCs w:val="24"/>
              </w:rPr>
              <w:t>1</w:t>
            </w:r>
          </w:p>
        </w:tc>
        <w:tc>
          <w:tcPr>
            <w:tcW w:w="10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项</w:t>
            </w:r>
          </w:p>
        </w:tc>
        <w:tc>
          <w:tcPr>
            <w:tcW w:w="85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p>
        </w:tc>
      </w:tr>
    </w:tbl>
    <w:p>
      <w:pPr>
        <w:keepNext w:val="0"/>
        <w:keepLines w:val="0"/>
        <w:pageBreakBefore w:val="0"/>
        <w:widowControl/>
        <w:kinsoku/>
        <w:wordWrap/>
        <w:overflowPunct/>
        <w:topLinePunct w:val="0"/>
        <w:autoSpaceDE/>
        <w:autoSpaceDN/>
        <w:bidi w:val="0"/>
        <w:adjustRightInd/>
        <w:snapToGrid/>
        <w:spacing w:before="75" w:after="75" w:line="340" w:lineRule="exact"/>
        <w:ind w:firstLine="482" w:firstLineChars="200"/>
        <w:jc w:val="left"/>
        <w:textAlignment w:val="auto"/>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1.2项目概况：</w:t>
      </w:r>
    </w:p>
    <w:p>
      <w:pPr>
        <w:keepNext w:val="0"/>
        <w:keepLines w:val="0"/>
        <w:pageBreakBefore w:val="0"/>
        <w:widowControl/>
        <w:kinsoku/>
        <w:wordWrap/>
        <w:overflowPunct/>
        <w:topLinePunct w:val="0"/>
        <w:autoSpaceDE/>
        <w:autoSpaceDN/>
        <w:bidi w:val="0"/>
        <w:adjustRightInd/>
        <w:snapToGrid/>
        <w:spacing w:before="75" w:after="75" w:line="340" w:lineRule="exact"/>
        <w:ind w:firstLine="482" w:firstLineChars="200"/>
        <w:jc w:val="left"/>
        <w:textAlignment w:val="auto"/>
        <w:rPr>
          <w:rFonts w:hint="eastAsia" w:ascii="仿宋" w:hAnsi="仿宋" w:eastAsia="仿宋" w:cs="宋体"/>
          <w:b/>
          <w:bCs/>
          <w:color w:val="auto"/>
          <w:kern w:val="0"/>
          <w:sz w:val="24"/>
          <w:szCs w:val="24"/>
        </w:rPr>
      </w:pPr>
      <w:r>
        <w:rPr>
          <w:rFonts w:hint="eastAsia" w:ascii="仿宋" w:hAnsi="仿宋" w:eastAsia="仿宋" w:cs="宋体"/>
          <w:b/>
          <w:bCs/>
          <w:color w:val="auto"/>
          <w:kern w:val="0"/>
          <w:sz w:val="24"/>
          <w:szCs w:val="24"/>
        </w:rPr>
        <w:t>根据省市县下达任务要求，</w:t>
      </w:r>
      <w:r>
        <w:rPr>
          <w:rFonts w:hint="eastAsia" w:ascii="仿宋" w:hAnsi="仿宋" w:eastAsia="仿宋" w:cs="宋体"/>
          <w:b/>
          <w:bCs/>
          <w:color w:val="auto"/>
          <w:kern w:val="0"/>
          <w:sz w:val="24"/>
          <w:szCs w:val="24"/>
          <w:lang w:eastAsia="zh-CN"/>
        </w:rPr>
        <w:t>2024</w:t>
      </w:r>
      <w:r>
        <w:rPr>
          <w:rFonts w:hint="eastAsia" w:ascii="仿宋" w:hAnsi="仿宋" w:eastAsia="仿宋" w:cs="宋体"/>
          <w:b/>
          <w:bCs/>
          <w:color w:val="auto"/>
          <w:kern w:val="0"/>
          <w:sz w:val="24"/>
          <w:szCs w:val="24"/>
        </w:rPr>
        <w:t>年度我县农产品（水产品）监</w:t>
      </w:r>
      <w:r>
        <w:rPr>
          <w:rFonts w:hint="eastAsia" w:ascii="仿宋" w:hAnsi="仿宋" w:eastAsia="仿宋" w:cs="宋体"/>
          <w:b/>
          <w:bCs/>
          <w:color w:val="auto"/>
          <w:kern w:val="0"/>
          <w:sz w:val="24"/>
          <w:szCs w:val="24"/>
          <w:lang w:eastAsia="zh-CN"/>
        </w:rPr>
        <w:t>测</w:t>
      </w:r>
      <w:r>
        <w:rPr>
          <w:rFonts w:hint="eastAsia" w:ascii="仿宋" w:hAnsi="仿宋" w:eastAsia="仿宋" w:cs="宋体"/>
          <w:b/>
          <w:bCs/>
          <w:color w:val="auto"/>
          <w:kern w:val="0"/>
          <w:sz w:val="24"/>
          <w:szCs w:val="24"/>
        </w:rPr>
        <w:t>任务数和我县农产品质量安全监测工作实际情况,成交供应商需对惠安县12个乡镇所辖区备案的种植农产品生产企业（基地）、水产品养殖生产基地（企业），进行随机抽样检测分析（</w:t>
      </w:r>
      <w:r>
        <w:rPr>
          <w:rFonts w:hint="eastAsia" w:ascii="仿宋" w:hAnsi="仿宋" w:eastAsia="仿宋" w:cs="宋体"/>
          <w:b/>
          <w:bCs/>
          <w:color w:val="auto"/>
          <w:kern w:val="0"/>
          <w:sz w:val="24"/>
          <w:szCs w:val="24"/>
          <w:lang w:eastAsia="zh-CN"/>
        </w:rPr>
        <w:t>监测</w:t>
      </w:r>
      <w:r>
        <w:rPr>
          <w:rFonts w:hint="eastAsia" w:ascii="仿宋" w:hAnsi="仿宋" w:eastAsia="仿宋" w:cs="宋体"/>
          <w:b/>
          <w:bCs/>
          <w:color w:val="auto"/>
          <w:kern w:val="0"/>
          <w:sz w:val="24"/>
          <w:szCs w:val="24"/>
        </w:rPr>
        <w:t>抽检），完成惠安县</w:t>
      </w:r>
      <w:r>
        <w:rPr>
          <w:rFonts w:hint="eastAsia" w:ascii="仿宋" w:hAnsi="仿宋" w:eastAsia="仿宋" w:cs="宋体"/>
          <w:b/>
          <w:bCs/>
          <w:color w:val="auto"/>
          <w:kern w:val="0"/>
          <w:sz w:val="24"/>
          <w:szCs w:val="24"/>
          <w:lang w:eastAsia="zh-CN"/>
        </w:rPr>
        <w:t>2024</w:t>
      </w:r>
      <w:r>
        <w:rPr>
          <w:rFonts w:hint="eastAsia" w:ascii="仿宋" w:hAnsi="仿宋" w:eastAsia="仿宋" w:cs="宋体"/>
          <w:b/>
          <w:bCs/>
          <w:color w:val="auto"/>
          <w:kern w:val="0"/>
          <w:sz w:val="24"/>
          <w:szCs w:val="24"/>
        </w:rPr>
        <w:t>农产品质量安全监</w:t>
      </w:r>
      <w:r>
        <w:rPr>
          <w:rFonts w:hint="eastAsia" w:ascii="仿宋" w:hAnsi="仿宋" w:eastAsia="仿宋" w:cs="宋体"/>
          <w:b/>
          <w:bCs/>
          <w:color w:val="auto"/>
          <w:kern w:val="0"/>
          <w:sz w:val="24"/>
          <w:szCs w:val="24"/>
          <w:lang w:eastAsia="zh-CN"/>
        </w:rPr>
        <w:t>测</w:t>
      </w:r>
      <w:r>
        <w:rPr>
          <w:rFonts w:hint="eastAsia" w:ascii="仿宋" w:hAnsi="仿宋" w:eastAsia="仿宋" w:cs="宋体"/>
          <w:b/>
          <w:bCs/>
          <w:color w:val="auto"/>
          <w:kern w:val="0"/>
          <w:sz w:val="24"/>
          <w:szCs w:val="24"/>
        </w:rPr>
        <w:t>任务</w:t>
      </w:r>
      <w:r>
        <w:rPr>
          <w:rFonts w:hint="eastAsia" w:ascii="仿宋" w:hAnsi="仿宋" w:eastAsia="仿宋" w:cs="宋体"/>
          <w:b/>
          <w:bCs/>
          <w:color w:val="auto"/>
          <w:kern w:val="0"/>
          <w:sz w:val="24"/>
          <w:szCs w:val="24"/>
          <w:lang w:val="en-US" w:eastAsia="zh-CN"/>
        </w:rPr>
        <w:t>535批次</w:t>
      </w:r>
      <w:r>
        <w:rPr>
          <w:rFonts w:hint="eastAsia" w:ascii="仿宋" w:hAnsi="仿宋" w:eastAsia="仿宋" w:cs="宋体"/>
          <w:b/>
          <w:bCs/>
          <w:color w:val="auto"/>
          <w:kern w:val="0"/>
          <w:sz w:val="24"/>
          <w:szCs w:val="24"/>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 w:afterAutospacing="0" w:line="340" w:lineRule="exact"/>
        <w:ind w:left="0" w:right="0" w:firstLine="0"/>
        <w:jc w:val="left"/>
        <w:textAlignment w:val="auto"/>
        <w:rPr>
          <w:rFonts w:hint="eastAsia" w:ascii="仿宋" w:hAnsi="仿宋" w:eastAsia="仿宋" w:cs="宋体"/>
          <w:b/>
          <w:bCs/>
          <w:color w:val="auto"/>
          <w:kern w:val="0"/>
          <w:sz w:val="24"/>
          <w:szCs w:val="24"/>
        </w:rPr>
      </w:pPr>
      <w:r>
        <w:rPr>
          <w:rFonts w:hint="eastAsia" w:ascii="仿宋" w:hAnsi="仿宋" w:eastAsia="仿宋" w:cs="宋体"/>
          <w:b/>
          <w:bCs/>
          <w:color w:val="auto"/>
          <w:kern w:val="0"/>
          <w:sz w:val="24"/>
          <w:szCs w:val="24"/>
        </w:rPr>
        <w:t>▲二</w:t>
      </w:r>
      <w:r>
        <w:rPr>
          <w:rFonts w:ascii="仿宋" w:hAnsi="仿宋" w:eastAsia="仿宋" w:cs="宋体"/>
          <w:b/>
          <w:bCs/>
          <w:color w:val="auto"/>
          <w:kern w:val="0"/>
          <w:sz w:val="24"/>
          <w:szCs w:val="24"/>
        </w:rPr>
        <w:t>、技术要求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 w:afterAutospacing="0" w:line="340" w:lineRule="exact"/>
        <w:ind w:left="0" w:right="0" w:firstLine="0"/>
        <w:jc w:val="left"/>
        <w:textAlignment w:val="auto"/>
        <w:rPr>
          <w:rFonts w:hint="eastAsia" w:ascii="仿宋" w:hAnsi="仿宋" w:eastAsia="仿宋" w:cs="宋体"/>
          <w:b/>
          <w:bCs/>
          <w:color w:val="auto"/>
          <w:kern w:val="0"/>
          <w:sz w:val="24"/>
          <w:szCs w:val="24"/>
        </w:rPr>
      </w:pPr>
      <w:r>
        <w:rPr>
          <w:rFonts w:hint="eastAsia" w:ascii="仿宋" w:hAnsi="仿宋" w:eastAsia="仿宋" w:cs="宋体"/>
          <w:b/>
          <w:bCs/>
          <w:color w:val="auto"/>
          <w:kern w:val="0"/>
          <w:sz w:val="24"/>
          <w:szCs w:val="24"/>
        </w:rPr>
        <w:t>2.1成交供应商应具备</w:t>
      </w:r>
      <w:r>
        <w:rPr>
          <w:rFonts w:hint="eastAsia" w:ascii="仿宋" w:hAnsi="仿宋" w:eastAsia="仿宋" w:cs="宋体"/>
          <w:b/>
          <w:bCs/>
          <w:color w:val="auto"/>
          <w:kern w:val="0"/>
          <w:sz w:val="24"/>
          <w:szCs w:val="24"/>
          <w:lang w:eastAsia="zh-CN"/>
        </w:rPr>
        <w:t>本次委托检测任务的所有相关参数获得</w:t>
      </w:r>
      <w:r>
        <w:rPr>
          <w:rFonts w:hint="eastAsia" w:ascii="仿宋" w:hAnsi="仿宋" w:eastAsia="仿宋" w:cs="宋体"/>
          <w:b/>
          <w:bCs/>
          <w:color w:val="auto"/>
          <w:kern w:val="0"/>
          <w:sz w:val="24"/>
          <w:szCs w:val="24"/>
        </w:rPr>
        <w:t>检测实验室资质认证（CMA）</w:t>
      </w:r>
      <w:r>
        <w:rPr>
          <w:rFonts w:hint="eastAsia" w:ascii="仿宋" w:hAnsi="仿宋" w:eastAsia="仿宋" w:cs="宋体"/>
          <w:b/>
          <w:bCs/>
          <w:color w:val="auto"/>
          <w:kern w:val="0"/>
          <w:sz w:val="24"/>
          <w:szCs w:val="24"/>
          <w:lang w:eastAsia="zh-CN"/>
        </w:rPr>
        <w:t>和</w:t>
      </w:r>
      <w:r>
        <w:rPr>
          <w:rFonts w:hint="default" w:ascii="仿宋" w:hAnsi="仿宋" w:eastAsia="仿宋" w:cs="宋体"/>
          <w:b/>
          <w:bCs/>
          <w:color w:val="auto"/>
          <w:kern w:val="0"/>
          <w:sz w:val="24"/>
          <w:szCs w:val="24"/>
        </w:rPr>
        <w:fldChar w:fldCharType="begin"/>
      </w:r>
      <w:r>
        <w:rPr>
          <w:rFonts w:hint="default" w:ascii="仿宋" w:hAnsi="仿宋" w:eastAsia="仿宋" w:cs="宋体"/>
          <w:b/>
          <w:bCs/>
          <w:color w:val="auto"/>
          <w:kern w:val="0"/>
          <w:sz w:val="24"/>
          <w:szCs w:val="24"/>
        </w:rPr>
        <w:instrText xml:space="preserve"> HYPERLINK "https://www.so.com/link?m=bQSK3StwNBVj+6vnHWX8Ws7c1GGn2Irx3DQts6ClMSZgCphaBsOiq6u+u04iSSVUnpbUhgLVW/jQZW2L5NnhOY3q3DuHaLGvV+dDDmMpxM+enpXyLHMp/m8a2Dw41IrSF2l+KZVmvi7llXwgopch/08FWMEF/aF0WDF8yHEm+DQRyZERw" \t "https://www.so.com/_blank" </w:instrText>
      </w:r>
      <w:r>
        <w:rPr>
          <w:rFonts w:hint="default" w:ascii="仿宋" w:hAnsi="仿宋" w:eastAsia="仿宋" w:cs="宋体"/>
          <w:b/>
          <w:bCs/>
          <w:color w:val="auto"/>
          <w:kern w:val="0"/>
          <w:sz w:val="24"/>
          <w:szCs w:val="24"/>
        </w:rPr>
        <w:fldChar w:fldCharType="separate"/>
      </w:r>
      <w:r>
        <w:rPr>
          <w:rFonts w:hint="default" w:ascii="仿宋" w:hAnsi="仿宋" w:eastAsia="仿宋" w:cs="宋体"/>
          <w:b/>
          <w:bCs/>
          <w:color w:val="auto"/>
          <w:kern w:val="0"/>
          <w:sz w:val="24"/>
          <w:szCs w:val="24"/>
        </w:rPr>
        <w:t>农产品质量安全检测机构CATL认证</w:t>
      </w:r>
      <w:r>
        <w:rPr>
          <w:rFonts w:hint="default" w:ascii="仿宋" w:hAnsi="仿宋" w:eastAsia="仿宋" w:cs="宋体"/>
          <w:b/>
          <w:bCs/>
          <w:color w:val="auto"/>
          <w:kern w:val="0"/>
          <w:sz w:val="24"/>
          <w:szCs w:val="24"/>
        </w:rPr>
        <w:fldChar w:fldCharType="end"/>
      </w:r>
      <w:r>
        <w:rPr>
          <w:rFonts w:hint="eastAsia" w:ascii="仿宋" w:hAnsi="仿宋" w:eastAsia="仿宋" w:cs="宋体"/>
          <w:b/>
          <w:bCs/>
          <w:color w:val="auto"/>
          <w:kern w:val="0"/>
          <w:sz w:val="24"/>
          <w:szCs w:val="24"/>
          <w:lang w:eastAsia="zh-CN"/>
        </w:rPr>
        <w:t>，双认证资质的检测能力表应具备本次监测委托任务所有相关检测参数</w:t>
      </w:r>
      <w:r>
        <w:rPr>
          <w:rFonts w:hint="eastAsia" w:ascii="仿宋" w:hAnsi="仿宋" w:eastAsia="仿宋" w:cs="宋体"/>
          <w:b/>
          <w:bCs/>
          <w:color w:val="auto"/>
          <w:kern w:val="0"/>
          <w:sz w:val="24"/>
          <w:szCs w:val="24"/>
          <w:lang w:val="en-US" w:eastAsia="zh-CN"/>
        </w:rPr>
        <w:t>(其中水产品检测相关参数只需具备</w:t>
      </w:r>
      <w:r>
        <w:rPr>
          <w:rFonts w:hint="eastAsia" w:ascii="仿宋" w:hAnsi="仿宋" w:eastAsia="仿宋" w:cs="宋体"/>
          <w:b/>
          <w:bCs/>
          <w:color w:val="auto"/>
          <w:kern w:val="0"/>
          <w:sz w:val="24"/>
          <w:szCs w:val="24"/>
        </w:rPr>
        <w:t>实验室资质认证CMA</w:t>
      </w:r>
      <w:r>
        <w:rPr>
          <w:rFonts w:hint="eastAsia" w:ascii="仿宋" w:hAnsi="仿宋" w:eastAsia="仿宋" w:cs="宋体"/>
          <w:b/>
          <w:bCs/>
          <w:color w:val="auto"/>
          <w:kern w:val="0"/>
          <w:sz w:val="24"/>
          <w:szCs w:val="24"/>
          <w:lang w:eastAsia="zh-CN"/>
        </w:rPr>
        <w:t>）</w:t>
      </w:r>
      <w:r>
        <w:rPr>
          <w:rFonts w:hint="eastAsia" w:ascii="仿宋" w:hAnsi="仿宋" w:eastAsia="仿宋" w:cs="宋体"/>
          <w:b/>
          <w:bCs/>
          <w:color w:val="auto"/>
          <w:kern w:val="0"/>
          <w:sz w:val="24"/>
          <w:szCs w:val="24"/>
        </w:rPr>
        <w:t>相关检测参数资质能力。</w:t>
      </w:r>
    </w:p>
    <w:p>
      <w:pPr>
        <w:keepNext w:val="0"/>
        <w:keepLines w:val="0"/>
        <w:pageBreakBefore w:val="0"/>
        <w:kinsoku/>
        <w:wordWrap/>
        <w:overflowPunct/>
        <w:topLinePunct w:val="0"/>
        <w:autoSpaceDE/>
        <w:autoSpaceDN/>
        <w:bidi w:val="0"/>
        <w:adjustRightInd/>
        <w:snapToGrid/>
        <w:spacing w:line="340" w:lineRule="exact"/>
        <w:ind w:firstLine="354" w:firstLineChars="147"/>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 xml:space="preserve">2.2.服务具体内容包括以下四个部分： </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30"/>
        <w:gridCol w:w="2255"/>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5" w:hRule="atLeast"/>
        </w:trPr>
        <w:tc>
          <w:tcPr>
            <w:tcW w:w="83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序号</w:t>
            </w:r>
          </w:p>
        </w:tc>
        <w:tc>
          <w:tcPr>
            <w:tcW w:w="225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服务项目</w:t>
            </w:r>
          </w:p>
        </w:tc>
        <w:tc>
          <w:tcPr>
            <w:tcW w:w="581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97" w:hRule="atLeast"/>
        </w:trPr>
        <w:tc>
          <w:tcPr>
            <w:tcW w:w="83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1</w:t>
            </w:r>
          </w:p>
        </w:tc>
        <w:tc>
          <w:tcPr>
            <w:tcW w:w="225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农产品抽样</w:t>
            </w:r>
          </w:p>
        </w:tc>
        <w:tc>
          <w:tcPr>
            <w:tcW w:w="5812"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按照相关抽样规范要求</w:t>
            </w:r>
            <w:r>
              <w:rPr>
                <w:rFonts w:hint="eastAsia" w:ascii="仿宋" w:hAnsi="仿宋" w:eastAsia="仿宋" w:cs="宋体"/>
                <w:b/>
                <w:color w:val="auto"/>
                <w:kern w:val="0"/>
                <w:sz w:val="24"/>
                <w:szCs w:val="24"/>
                <w:lang w:eastAsia="zh-CN"/>
              </w:rPr>
              <w:t>：</w:t>
            </w:r>
            <w:r>
              <w:rPr>
                <w:rFonts w:hint="eastAsia" w:ascii="仿宋" w:hAnsi="仿宋" w:eastAsia="仿宋" w:cs="宋体"/>
                <w:b/>
                <w:kern w:val="0"/>
                <w:sz w:val="24"/>
                <w:szCs w:val="24"/>
                <w:lang w:eastAsia="zh-CN"/>
              </w:rPr>
              <w:t>监督抽检</w:t>
            </w:r>
            <w:r>
              <w:rPr>
                <w:rFonts w:hint="eastAsia" w:ascii="仿宋" w:hAnsi="仿宋" w:eastAsia="仿宋" w:cs="宋体"/>
                <w:b/>
                <w:kern w:val="0"/>
                <w:sz w:val="24"/>
                <w:szCs w:val="24"/>
              </w:rPr>
              <w:t>抽取</w:t>
            </w:r>
            <w:r>
              <w:rPr>
                <w:rFonts w:hint="eastAsia" w:ascii="仿宋" w:hAnsi="仿宋" w:eastAsia="仿宋" w:cs="宋体"/>
                <w:b/>
                <w:bCs/>
                <w:color w:val="auto"/>
                <w:kern w:val="0"/>
                <w:sz w:val="24"/>
                <w:szCs w:val="24"/>
                <w:lang w:val="en-US" w:eastAsia="zh-CN"/>
              </w:rPr>
              <w:t>535</w:t>
            </w:r>
            <w:r>
              <w:rPr>
                <w:rFonts w:hint="eastAsia" w:ascii="仿宋" w:hAnsi="仿宋" w:eastAsia="仿宋" w:cs="宋体"/>
                <w:b/>
                <w:kern w:val="0"/>
                <w:sz w:val="24"/>
                <w:szCs w:val="24"/>
              </w:rPr>
              <w:t>批次（其中水产品</w:t>
            </w:r>
            <w:r>
              <w:rPr>
                <w:rFonts w:hint="eastAsia" w:ascii="仿宋" w:hAnsi="仿宋" w:eastAsia="仿宋" w:cs="宋体"/>
                <w:b/>
                <w:kern w:val="0"/>
                <w:sz w:val="24"/>
                <w:szCs w:val="24"/>
                <w:lang w:eastAsia="zh-CN"/>
              </w:rPr>
              <w:t>禁用药物残留监督抽检</w:t>
            </w:r>
            <w:r>
              <w:rPr>
                <w:rFonts w:hint="eastAsia" w:ascii="仿宋" w:hAnsi="仿宋" w:eastAsia="仿宋" w:cs="宋体"/>
                <w:b/>
                <w:kern w:val="0"/>
                <w:sz w:val="24"/>
                <w:szCs w:val="24"/>
                <w:lang w:val="en-US" w:eastAsia="zh-CN"/>
              </w:rPr>
              <w:t>100</w:t>
            </w:r>
            <w:r>
              <w:rPr>
                <w:rFonts w:hint="eastAsia" w:ascii="仿宋" w:hAnsi="仿宋" w:eastAsia="仿宋" w:cs="宋体"/>
                <w:b/>
                <w:kern w:val="0"/>
                <w:sz w:val="24"/>
                <w:szCs w:val="24"/>
              </w:rPr>
              <w:t>批次）果蔬</w:t>
            </w:r>
            <w:r>
              <w:rPr>
                <w:rFonts w:hint="eastAsia" w:ascii="仿宋" w:hAnsi="仿宋" w:eastAsia="仿宋" w:cs="宋体"/>
                <w:b/>
                <w:kern w:val="0"/>
                <w:sz w:val="24"/>
                <w:szCs w:val="24"/>
                <w:lang w:eastAsia="zh-CN"/>
              </w:rPr>
              <w:t>样品、畜禽</w:t>
            </w:r>
            <w:r>
              <w:rPr>
                <w:rFonts w:hint="eastAsia" w:ascii="仿宋" w:hAnsi="仿宋" w:eastAsia="仿宋" w:cs="宋体"/>
                <w:b/>
                <w:kern w:val="0"/>
                <w:sz w:val="24"/>
                <w:szCs w:val="24"/>
              </w:rPr>
              <w:t>样品、水产品样品</w:t>
            </w:r>
            <w:r>
              <w:rPr>
                <w:rFonts w:hint="eastAsia" w:ascii="仿宋" w:hAnsi="仿宋" w:eastAsia="仿宋" w:cs="宋体"/>
                <w:b/>
                <w:kern w:val="0"/>
                <w:sz w:val="24"/>
                <w:szCs w:val="24"/>
                <w:lang w:val="en-US" w:eastAsia="zh-CN"/>
              </w:rPr>
              <w:t>。</w:t>
            </w:r>
            <w:r>
              <w:rPr>
                <w:rFonts w:hint="eastAsia" w:ascii="仿宋" w:hAnsi="仿宋" w:eastAsia="仿宋" w:cs="宋体"/>
                <w:b/>
                <w:color w:val="auto"/>
                <w:kern w:val="0"/>
                <w:sz w:val="24"/>
                <w:szCs w:val="24"/>
              </w:rPr>
              <w:t>抽检对象必须尽量覆盖到所有乡镇，做到当年度内备案企业包括其他新型经营主体的抽检全覆盖。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97" w:hRule="atLeast"/>
        </w:trPr>
        <w:tc>
          <w:tcPr>
            <w:tcW w:w="83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2</w:t>
            </w:r>
          </w:p>
        </w:tc>
        <w:tc>
          <w:tcPr>
            <w:tcW w:w="225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农产品检测</w:t>
            </w:r>
          </w:p>
        </w:tc>
        <w:tc>
          <w:tcPr>
            <w:tcW w:w="5812" w:type="dxa"/>
            <w:vAlign w:val="center"/>
          </w:tcPr>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宋体"/>
                <w:b/>
                <w:color w:val="auto"/>
                <w:kern w:val="0"/>
                <w:sz w:val="24"/>
                <w:szCs w:val="24"/>
              </w:rPr>
            </w:pPr>
            <w:r>
              <w:rPr>
                <w:rFonts w:hint="eastAsia" w:ascii="仿宋" w:hAnsi="仿宋" w:eastAsia="仿宋" w:cs="宋体"/>
                <w:b/>
                <w:color w:val="auto"/>
                <w:kern w:val="0"/>
                <w:sz w:val="24"/>
                <w:szCs w:val="24"/>
              </w:rPr>
              <w:t>根据</w:t>
            </w:r>
            <w:r>
              <w:rPr>
                <w:rFonts w:hint="eastAsia" w:ascii="仿宋" w:hAnsi="仿宋" w:eastAsia="仿宋" w:cs="宋体"/>
                <w:b/>
                <w:color w:val="auto"/>
                <w:kern w:val="0"/>
                <w:sz w:val="24"/>
                <w:szCs w:val="24"/>
                <w:lang w:eastAsia="zh-CN"/>
              </w:rPr>
              <w:t>监测</w:t>
            </w:r>
            <w:r>
              <w:rPr>
                <w:rFonts w:hint="eastAsia" w:ascii="仿宋" w:hAnsi="仿宋" w:eastAsia="仿宋" w:cs="宋体"/>
                <w:b/>
                <w:color w:val="auto"/>
                <w:kern w:val="0"/>
                <w:sz w:val="24"/>
                <w:szCs w:val="24"/>
              </w:rPr>
              <w:t>抽检国家标准方法要求进行分析检测，一个样品检测两次，取较小的数据做为该样品的检测结果。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51" w:hRule="atLeast"/>
        </w:trPr>
        <w:tc>
          <w:tcPr>
            <w:tcW w:w="83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3</w:t>
            </w:r>
          </w:p>
        </w:tc>
        <w:tc>
          <w:tcPr>
            <w:tcW w:w="225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数据管理</w:t>
            </w:r>
          </w:p>
        </w:tc>
        <w:tc>
          <w:tcPr>
            <w:tcW w:w="5812"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按要求填写抽样信息登记表并将抽样信息表汇总报送县农安站。</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 w:hAnsi="仿宋" w:eastAsia="仿宋" w:cs="宋体"/>
                <w:b/>
                <w:color w:val="auto"/>
                <w:kern w:val="0"/>
                <w:sz w:val="24"/>
                <w:szCs w:val="24"/>
                <w:lang w:eastAsia="zh-CN"/>
              </w:rPr>
            </w:pPr>
            <w:r>
              <w:rPr>
                <w:rFonts w:hint="eastAsia" w:ascii="仿宋" w:hAnsi="仿宋" w:eastAsia="仿宋" w:cs="宋体"/>
                <w:b/>
                <w:color w:val="auto"/>
                <w:kern w:val="0"/>
                <w:sz w:val="24"/>
                <w:szCs w:val="24"/>
              </w:rPr>
              <w:t>按照“一样一数据”，每次将检测数据分析并出具有的农产品检测</w:t>
            </w:r>
            <w:r>
              <w:rPr>
                <w:rFonts w:hint="eastAsia" w:ascii="仿宋" w:hAnsi="仿宋" w:eastAsia="仿宋" w:cs="宋体"/>
                <w:b/>
                <w:color w:val="auto"/>
                <w:kern w:val="0"/>
                <w:sz w:val="24"/>
                <w:szCs w:val="24"/>
                <w:lang w:eastAsia="zh-CN"/>
              </w:rPr>
              <w:t>分析</w:t>
            </w:r>
            <w:r>
              <w:rPr>
                <w:rFonts w:hint="eastAsia" w:ascii="仿宋" w:hAnsi="仿宋" w:eastAsia="仿宋" w:cs="宋体"/>
                <w:b/>
                <w:color w:val="auto"/>
                <w:kern w:val="0"/>
                <w:sz w:val="24"/>
                <w:szCs w:val="24"/>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9" w:hRule="atLeast"/>
        </w:trPr>
        <w:tc>
          <w:tcPr>
            <w:tcW w:w="83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4</w:t>
            </w:r>
          </w:p>
        </w:tc>
        <w:tc>
          <w:tcPr>
            <w:tcW w:w="225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检测结果告知</w:t>
            </w:r>
          </w:p>
        </w:tc>
        <w:tc>
          <w:tcPr>
            <w:tcW w:w="5812"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检测完成后，成交供应商要及时告知县农安站、水技站农产品、水产品检测结果，并按要求，出具检测报告。</w:t>
            </w:r>
          </w:p>
        </w:tc>
      </w:tr>
    </w:tbl>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 xml:space="preserve">2.3农产品抽样 </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（1）抽样数量及范围。</w:t>
      </w:r>
      <w:r>
        <w:rPr>
          <w:rFonts w:hint="eastAsia" w:ascii="仿宋" w:hAnsi="仿宋" w:eastAsia="仿宋" w:cs="宋体"/>
          <w:b/>
          <w:kern w:val="0"/>
          <w:sz w:val="24"/>
          <w:szCs w:val="24"/>
          <w:lang w:eastAsia="zh-CN"/>
        </w:rPr>
        <w:t>2024</w:t>
      </w:r>
      <w:r>
        <w:rPr>
          <w:rFonts w:hint="eastAsia" w:ascii="仿宋" w:hAnsi="仿宋" w:eastAsia="仿宋" w:cs="宋体"/>
          <w:b/>
          <w:kern w:val="0"/>
          <w:sz w:val="24"/>
          <w:szCs w:val="24"/>
        </w:rPr>
        <w:t>年完成</w:t>
      </w:r>
      <w:r>
        <w:rPr>
          <w:rFonts w:hint="eastAsia" w:ascii="仿宋" w:hAnsi="仿宋" w:eastAsia="仿宋" w:cs="宋体"/>
          <w:b/>
          <w:bCs/>
          <w:color w:val="auto"/>
          <w:kern w:val="0"/>
          <w:sz w:val="24"/>
          <w:szCs w:val="24"/>
          <w:lang w:val="en-US" w:eastAsia="zh-CN"/>
        </w:rPr>
        <w:t>535</w:t>
      </w:r>
      <w:r>
        <w:rPr>
          <w:rFonts w:hint="eastAsia" w:ascii="仿宋" w:hAnsi="仿宋" w:eastAsia="仿宋" w:cs="宋体"/>
          <w:b/>
          <w:kern w:val="0"/>
          <w:sz w:val="24"/>
          <w:szCs w:val="24"/>
          <w:lang w:eastAsia="zh-CN"/>
        </w:rPr>
        <w:t>批次</w:t>
      </w:r>
      <w:r>
        <w:rPr>
          <w:rFonts w:hint="eastAsia" w:ascii="仿宋" w:hAnsi="仿宋" w:eastAsia="仿宋" w:cs="宋体"/>
          <w:b/>
          <w:kern w:val="0"/>
          <w:sz w:val="24"/>
          <w:szCs w:val="24"/>
        </w:rPr>
        <w:t>样品的抽样检测</w:t>
      </w:r>
      <w:r>
        <w:rPr>
          <w:rFonts w:hint="eastAsia" w:ascii="仿宋" w:hAnsi="仿宋" w:eastAsia="仿宋" w:cs="宋体"/>
          <w:b/>
          <w:color w:val="auto"/>
          <w:kern w:val="0"/>
          <w:sz w:val="24"/>
          <w:szCs w:val="24"/>
        </w:rPr>
        <w:t>，抽样范围为惠安县备案</w:t>
      </w:r>
      <w:r>
        <w:rPr>
          <w:rFonts w:hint="eastAsia" w:ascii="仿宋" w:hAnsi="仿宋" w:eastAsia="仿宋" w:cs="宋体"/>
          <w:b/>
          <w:color w:val="auto"/>
          <w:kern w:val="0"/>
          <w:sz w:val="24"/>
          <w:szCs w:val="24"/>
          <w:lang w:eastAsia="zh-CN"/>
        </w:rPr>
        <w:t>农产品</w:t>
      </w:r>
      <w:r>
        <w:rPr>
          <w:rFonts w:hint="eastAsia" w:ascii="仿宋" w:hAnsi="仿宋" w:eastAsia="仿宋" w:cs="宋体"/>
          <w:b/>
          <w:color w:val="auto"/>
          <w:kern w:val="0"/>
          <w:sz w:val="24"/>
          <w:szCs w:val="24"/>
        </w:rPr>
        <w:t>生产企业（基地、合作社）</w:t>
      </w:r>
      <w:r>
        <w:rPr>
          <w:rFonts w:hint="eastAsia" w:ascii="仿宋" w:hAnsi="仿宋" w:eastAsia="仿宋" w:cs="宋体"/>
          <w:b/>
          <w:color w:val="auto"/>
          <w:kern w:val="0"/>
          <w:sz w:val="24"/>
          <w:szCs w:val="24"/>
          <w:lang w:eastAsia="zh-CN"/>
        </w:rPr>
        <w:t>、生猪屠宰场</w:t>
      </w:r>
      <w:r>
        <w:rPr>
          <w:rFonts w:hint="eastAsia" w:ascii="仿宋" w:hAnsi="仿宋" w:eastAsia="仿宋" w:cs="宋体"/>
          <w:b/>
          <w:color w:val="auto"/>
          <w:kern w:val="0"/>
          <w:sz w:val="24"/>
          <w:szCs w:val="24"/>
        </w:rPr>
        <w:t>、水产品养殖基地(企业)。</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（2）抽样地点选定。根据农产品生产季节、农户分布及数量和具体生产实际情况科学合理安排每月抽样数量、每次抽样时间及地点，满足产地农产品质量安全的风险预警要求。</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（3）抽样前的沟通、抽样期间的信息收集。抽检人员必需随身携带身份证明和监测方案文件，并且在抽样前要主动出示。抽样过程要与生产者确认种植</w:t>
      </w:r>
      <w:r>
        <w:rPr>
          <w:rFonts w:hint="eastAsia" w:ascii="仿宋" w:hAnsi="仿宋" w:eastAsia="仿宋" w:cs="宋体"/>
          <w:b/>
          <w:color w:val="auto"/>
          <w:kern w:val="0"/>
          <w:sz w:val="24"/>
          <w:szCs w:val="24"/>
          <w:lang w:eastAsia="zh-CN"/>
        </w:rPr>
        <w:t>、养殖</w:t>
      </w:r>
      <w:r>
        <w:rPr>
          <w:rFonts w:hint="eastAsia" w:ascii="仿宋" w:hAnsi="仿宋" w:eastAsia="仿宋" w:cs="宋体"/>
          <w:b/>
          <w:color w:val="auto"/>
          <w:kern w:val="0"/>
          <w:sz w:val="24"/>
          <w:szCs w:val="24"/>
        </w:rPr>
        <w:t>产品、产品是否上市或进入收获期、近期农药</w:t>
      </w:r>
      <w:r>
        <w:rPr>
          <w:rFonts w:hint="eastAsia" w:ascii="仿宋" w:hAnsi="仿宋" w:eastAsia="仿宋" w:cs="宋体"/>
          <w:b/>
          <w:color w:val="auto"/>
          <w:kern w:val="0"/>
          <w:sz w:val="24"/>
          <w:szCs w:val="24"/>
          <w:lang w:eastAsia="zh-CN"/>
        </w:rPr>
        <w:t>、兽药</w:t>
      </w:r>
      <w:r>
        <w:rPr>
          <w:rFonts w:hint="eastAsia" w:ascii="仿宋" w:hAnsi="仿宋" w:eastAsia="仿宋" w:cs="宋体"/>
          <w:b/>
          <w:color w:val="auto"/>
          <w:kern w:val="0"/>
          <w:sz w:val="24"/>
          <w:szCs w:val="24"/>
        </w:rPr>
        <w:t>使用情况及是否已过农药</w:t>
      </w:r>
      <w:r>
        <w:rPr>
          <w:rFonts w:hint="eastAsia" w:ascii="仿宋" w:hAnsi="仿宋" w:eastAsia="仿宋" w:cs="宋体"/>
          <w:b/>
          <w:color w:val="auto"/>
          <w:kern w:val="0"/>
          <w:sz w:val="24"/>
          <w:szCs w:val="24"/>
          <w:lang w:eastAsia="zh-CN"/>
        </w:rPr>
        <w:t>、兽药</w:t>
      </w:r>
      <w:r>
        <w:rPr>
          <w:rFonts w:hint="eastAsia" w:ascii="仿宋" w:hAnsi="仿宋" w:eastAsia="仿宋" w:cs="宋体"/>
          <w:b/>
          <w:color w:val="auto"/>
          <w:kern w:val="0"/>
          <w:sz w:val="24"/>
          <w:szCs w:val="24"/>
        </w:rPr>
        <w:t xml:space="preserve">安全间隔期等情况。抽样时要询问样品相关信息并如实填写抽样单。            </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（4）抽取样品。抽取的样品必须要进入采收期或正上市的农产品，随机抽取无明显瘀伤、腐烂、长菌的样品。</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default" w:ascii="仿宋" w:hAnsi="仿宋" w:eastAsia="仿宋" w:cs="宋体"/>
          <w:b/>
          <w:color w:val="auto"/>
          <w:kern w:val="0"/>
          <w:sz w:val="24"/>
          <w:szCs w:val="24"/>
          <w:lang w:val="en-US" w:eastAsia="zh-CN"/>
        </w:rPr>
      </w:pPr>
      <w:r>
        <w:rPr>
          <w:rFonts w:hint="eastAsia" w:ascii="仿宋" w:hAnsi="仿宋" w:eastAsia="仿宋" w:cs="宋体"/>
          <w:b/>
          <w:color w:val="auto"/>
          <w:kern w:val="0"/>
          <w:sz w:val="24"/>
          <w:szCs w:val="24"/>
        </w:rPr>
        <w:t>（5）购买样品。样品需要进行购买，价格应接近市场零售或略高，作为对耽误卖家时间和交易的补偿，其费用由成交供应商承担。</w:t>
      </w:r>
      <w:r>
        <w:rPr>
          <w:rFonts w:hint="eastAsia" w:ascii="仿宋" w:hAnsi="仿宋" w:eastAsia="仿宋" w:cs="宋体"/>
          <w:b/>
          <w:color w:val="auto"/>
          <w:kern w:val="0"/>
          <w:sz w:val="24"/>
          <w:szCs w:val="24"/>
          <w:lang w:eastAsia="zh-CN"/>
        </w:rPr>
        <w:t>水产品监督抽查样品购买费用按照平均</w:t>
      </w:r>
      <w:r>
        <w:rPr>
          <w:rFonts w:hint="eastAsia" w:ascii="仿宋" w:hAnsi="仿宋" w:eastAsia="仿宋" w:cs="宋体"/>
          <w:b/>
          <w:color w:val="auto"/>
          <w:kern w:val="0"/>
          <w:sz w:val="24"/>
          <w:szCs w:val="24"/>
          <w:lang w:val="en-US" w:eastAsia="zh-CN"/>
        </w:rPr>
        <w:t>200元/份样品计算，纳入水产品检测总费用中。</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6）样品及样品信息确认。抽样人员要与受检单位人员共同确认样品的真实性和代表性，在现场认真填写登记表,记录抽样的相关信息，双方签字。抽样的信息要齐全、准确，字迹清晰、工整，必要时做好现场拍照、录像等工作。</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（7）样品编号。对样品进行编号，便于后续统计及处理样品信息。</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（8）样品封装。抽取的样品应放入食品级塑料袋中，装入样品后的塑料袋要密封，允许在塑料袋上打几个小孔通风。袋装外书写编号。</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（9）样品运输及入库。样品应尽快（在24h内）运送到实验室，否则，应将样品缩分冷冻后运输。</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2.4.农产品（水产品）检测</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eastAsia" w:ascii="仿宋" w:hAnsi="仿宋" w:eastAsia="仿宋" w:cs="宋体"/>
          <w:b/>
          <w:color w:val="auto"/>
          <w:kern w:val="0"/>
          <w:sz w:val="24"/>
          <w:szCs w:val="24"/>
          <w:lang w:eastAsia="zh-CN"/>
        </w:rPr>
      </w:pPr>
      <w:r>
        <w:rPr>
          <w:rFonts w:hint="eastAsia" w:ascii="仿宋" w:hAnsi="仿宋" w:eastAsia="仿宋" w:cs="宋体"/>
          <w:b/>
          <w:color w:val="auto"/>
          <w:kern w:val="0"/>
          <w:sz w:val="24"/>
          <w:szCs w:val="24"/>
          <w:lang w:eastAsia="zh-CN"/>
        </w:rPr>
        <w:t>农产品</w:t>
      </w:r>
      <w:r>
        <w:rPr>
          <w:rFonts w:hint="eastAsia" w:ascii="仿宋" w:hAnsi="仿宋" w:eastAsia="仿宋" w:cs="宋体"/>
          <w:b/>
          <w:color w:val="auto"/>
          <w:kern w:val="0"/>
          <w:sz w:val="24"/>
          <w:szCs w:val="24"/>
        </w:rPr>
        <w:t>、水产品检测方法：按照农产品（水产品）农兽药残留国标检测方法</w:t>
      </w:r>
      <w:r>
        <w:rPr>
          <w:rFonts w:hint="eastAsia" w:ascii="仿宋" w:hAnsi="仿宋" w:eastAsia="仿宋" w:cs="宋体"/>
          <w:b/>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eastAsia" w:ascii="仿宋" w:hAnsi="仿宋" w:eastAsia="仿宋" w:cs="宋体"/>
          <w:b/>
          <w:color w:val="auto"/>
          <w:kern w:val="0"/>
          <w:sz w:val="24"/>
          <w:szCs w:val="24"/>
          <w:lang w:eastAsia="zh-CN"/>
        </w:rPr>
      </w:pPr>
      <w:r>
        <w:rPr>
          <w:rFonts w:hint="eastAsia" w:ascii="仿宋" w:hAnsi="仿宋" w:eastAsia="仿宋" w:cs="宋体"/>
          <w:b/>
          <w:color w:val="auto"/>
          <w:kern w:val="0"/>
          <w:sz w:val="24"/>
          <w:szCs w:val="24"/>
          <w:lang w:eastAsia="zh-CN"/>
        </w:rPr>
        <w:t>三、抽检对象</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2.5.数据管理</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（1）抽样数据的填写及整理存档。</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（2）定期分析检测实验数据并出具检测分析报告。</w:t>
      </w:r>
    </w:p>
    <w:p>
      <w:pPr>
        <w:keepNext w:val="0"/>
        <w:keepLines w:val="0"/>
        <w:pageBreakBefore w:val="0"/>
        <w:kinsoku/>
        <w:wordWrap/>
        <w:overflowPunct/>
        <w:topLinePunct w:val="0"/>
        <w:autoSpaceDE/>
        <w:autoSpaceDN/>
        <w:bidi w:val="0"/>
        <w:adjustRightInd/>
        <w:snapToGrid/>
        <w:spacing w:line="340" w:lineRule="exact"/>
        <w:ind w:firstLine="472" w:firstLineChars="196"/>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2.6.其它事项</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（1）抽检人员的外出采样、检测等安全防护由成交供应商完全负责。成交供应商必须为检测人员购买安全保险。</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eastAsia" w:ascii="仿宋" w:hAnsi="仿宋" w:eastAsia="仿宋" w:cs="宋体"/>
          <w:b/>
          <w:bCs/>
          <w:color w:val="auto"/>
          <w:kern w:val="0"/>
          <w:sz w:val="24"/>
          <w:szCs w:val="24"/>
          <w:lang w:eastAsia="zh-CN"/>
        </w:rPr>
      </w:pPr>
      <w:r>
        <w:rPr>
          <w:rFonts w:hint="eastAsia" w:ascii="仿宋" w:hAnsi="仿宋" w:eastAsia="仿宋" w:cs="宋体"/>
          <w:b/>
          <w:color w:val="auto"/>
          <w:kern w:val="0"/>
          <w:sz w:val="24"/>
          <w:szCs w:val="24"/>
        </w:rPr>
        <w:t>（2）关于检测结果的处理。成交供应商对检测出问题的，要进行复检，确认无误后，及时将检测结果报送采购人相关股站，由县农业农村局第一时间通知生产者。对已</w:t>
      </w:r>
      <w:r>
        <w:rPr>
          <w:rFonts w:hint="eastAsia" w:ascii="仿宋" w:hAnsi="仿宋" w:eastAsia="仿宋" w:cs="宋体"/>
          <w:b/>
          <w:color w:val="auto"/>
          <w:kern w:val="0"/>
          <w:sz w:val="24"/>
          <w:szCs w:val="24"/>
          <w:lang w:eastAsia="zh-CN"/>
        </w:rPr>
        <w:t>采收</w:t>
      </w:r>
      <w:r>
        <w:rPr>
          <w:rFonts w:hint="eastAsia" w:ascii="仿宋" w:hAnsi="仿宋" w:eastAsia="仿宋" w:cs="宋体"/>
          <w:b/>
          <w:color w:val="auto"/>
          <w:kern w:val="0"/>
          <w:sz w:val="24"/>
          <w:szCs w:val="24"/>
        </w:rPr>
        <w:t>正准备上市的问题农产品进行封存，待县农业农村局视结果再作进一步处理。</w:t>
      </w:r>
    </w:p>
    <w:p>
      <w:pPr>
        <w:keepNext w:val="0"/>
        <w:keepLines w:val="0"/>
        <w:pageBreakBefore w:val="0"/>
        <w:widowControl/>
        <w:kinsoku/>
        <w:wordWrap/>
        <w:overflowPunct/>
        <w:topLinePunct w:val="0"/>
        <w:autoSpaceDE/>
        <w:autoSpaceDN/>
        <w:bidi w:val="0"/>
        <w:adjustRightInd/>
        <w:snapToGrid/>
        <w:spacing w:before="75" w:after="75" w:line="340" w:lineRule="exact"/>
        <w:ind w:firstLine="482" w:firstLineChars="200"/>
        <w:jc w:val="left"/>
        <w:textAlignment w:val="auto"/>
        <w:rPr>
          <w:rFonts w:ascii="仿宋" w:hAnsi="仿宋" w:eastAsia="仿宋" w:cs="宋体"/>
          <w:b/>
          <w:bCs/>
          <w:color w:val="auto"/>
          <w:kern w:val="0"/>
          <w:sz w:val="24"/>
          <w:szCs w:val="24"/>
        </w:rPr>
      </w:pPr>
      <w:r>
        <w:rPr>
          <w:rFonts w:hint="eastAsia" w:ascii="仿宋" w:hAnsi="仿宋" w:eastAsia="仿宋" w:cs="宋体"/>
          <w:b/>
          <w:bCs/>
          <w:color w:val="auto"/>
          <w:kern w:val="0"/>
          <w:sz w:val="24"/>
          <w:szCs w:val="24"/>
          <w:lang w:eastAsia="zh-CN"/>
        </w:rPr>
        <w:t>四</w:t>
      </w:r>
      <w:r>
        <w:rPr>
          <w:rFonts w:ascii="仿宋" w:hAnsi="仿宋" w:eastAsia="仿宋" w:cs="宋体"/>
          <w:b/>
          <w:bCs/>
          <w:color w:val="auto"/>
          <w:kern w:val="0"/>
          <w:sz w:val="24"/>
          <w:szCs w:val="24"/>
        </w:rPr>
        <w:t>、</w:t>
      </w:r>
      <w:r>
        <w:rPr>
          <w:rFonts w:hint="eastAsia" w:ascii="仿宋" w:hAnsi="仿宋" w:eastAsia="仿宋" w:cs="宋体"/>
          <w:b/>
          <w:bCs/>
          <w:color w:val="auto"/>
          <w:kern w:val="0"/>
          <w:sz w:val="24"/>
          <w:szCs w:val="24"/>
        </w:rPr>
        <w:t>服务</w:t>
      </w:r>
      <w:r>
        <w:rPr>
          <w:rFonts w:ascii="仿宋" w:hAnsi="仿宋" w:eastAsia="仿宋" w:cs="宋体"/>
          <w:b/>
          <w:bCs/>
          <w:color w:val="auto"/>
          <w:kern w:val="0"/>
          <w:sz w:val="24"/>
          <w:szCs w:val="24"/>
        </w:rPr>
        <w:t>要求</w:t>
      </w:r>
    </w:p>
    <w:p>
      <w:pPr>
        <w:keepNext w:val="0"/>
        <w:keepLines w:val="0"/>
        <w:pageBreakBefore w:val="0"/>
        <w:widowControl/>
        <w:kinsoku/>
        <w:wordWrap/>
        <w:overflowPunct/>
        <w:topLinePunct w:val="0"/>
        <w:autoSpaceDE/>
        <w:autoSpaceDN/>
        <w:bidi w:val="0"/>
        <w:adjustRightInd/>
        <w:snapToGrid/>
        <w:spacing w:before="75" w:after="75" w:line="340" w:lineRule="exact"/>
        <w:ind w:firstLine="482"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1．项目实施、管理</w:t>
      </w:r>
    </w:p>
    <w:p>
      <w:pPr>
        <w:keepNext w:val="0"/>
        <w:keepLines w:val="0"/>
        <w:pageBreakBefore w:val="0"/>
        <w:widowControl/>
        <w:kinsoku/>
        <w:wordWrap/>
        <w:overflowPunct/>
        <w:topLinePunct w:val="0"/>
        <w:autoSpaceDE/>
        <w:autoSpaceDN/>
        <w:bidi w:val="0"/>
        <w:adjustRightInd/>
        <w:snapToGrid/>
        <w:spacing w:before="75" w:after="75" w:line="340" w:lineRule="exact"/>
        <w:ind w:firstLine="482"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1.1采购人负责项目实施全过程的跟踪管理，并对项目的实施有权实施监督和检查，有权派出联络员了解和掌握项目进展，协调项目进展中的有关事宜，并对出现的问题提出相应的整改意见。</w:t>
      </w:r>
    </w:p>
    <w:p>
      <w:pPr>
        <w:keepNext w:val="0"/>
        <w:keepLines w:val="0"/>
        <w:pageBreakBefore w:val="0"/>
        <w:widowControl/>
        <w:kinsoku/>
        <w:wordWrap/>
        <w:overflowPunct/>
        <w:topLinePunct w:val="0"/>
        <w:autoSpaceDE/>
        <w:autoSpaceDN/>
        <w:bidi w:val="0"/>
        <w:adjustRightInd/>
        <w:snapToGrid/>
        <w:spacing w:before="75" w:after="75" w:line="340" w:lineRule="exact"/>
        <w:ind w:firstLine="482"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1.2采购人负责制定下发检测工作方案，提供备案生产企业基地名单。协调各乡镇生产基地配合开展抽样检测工作和检测样品不合格结果的处理。</w:t>
      </w:r>
    </w:p>
    <w:p>
      <w:pPr>
        <w:keepNext w:val="0"/>
        <w:keepLines w:val="0"/>
        <w:pageBreakBefore w:val="0"/>
        <w:widowControl/>
        <w:kinsoku/>
        <w:wordWrap/>
        <w:overflowPunct/>
        <w:topLinePunct w:val="0"/>
        <w:autoSpaceDE/>
        <w:autoSpaceDN/>
        <w:bidi w:val="0"/>
        <w:adjustRightInd/>
        <w:snapToGrid/>
        <w:spacing w:before="75" w:after="75" w:line="340" w:lineRule="exact"/>
        <w:ind w:firstLine="482"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1.3成交供应商需派一名项目负责人跟业主联系、对接工作，及时响应业主要求，并加强与采购人有关人员沟通，认真组织并严格履行有关抽样检测分析职责。</w:t>
      </w:r>
    </w:p>
    <w:p>
      <w:pPr>
        <w:keepNext w:val="0"/>
        <w:keepLines w:val="0"/>
        <w:pageBreakBefore w:val="0"/>
        <w:widowControl/>
        <w:kinsoku/>
        <w:wordWrap/>
        <w:overflowPunct/>
        <w:topLinePunct w:val="0"/>
        <w:autoSpaceDE/>
        <w:autoSpaceDN/>
        <w:bidi w:val="0"/>
        <w:adjustRightInd/>
        <w:snapToGrid/>
        <w:spacing w:before="75" w:after="75" w:line="340" w:lineRule="exact"/>
        <w:ind w:firstLine="482"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1.4成交供应商负责派出抽样检测人员，每月随机对备案企业进行抽检活动，并向县农业农村局农产品质监站报送检测结果和档案材料。</w:t>
      </w:r>
    </w:p>
    <w:p>
      <w:pPr>
        <w:keepNext w:val="0"/>
        <w:keepLines w:val="0"/>
        <w:pageBreakBefore w:val="0"/>
        <w:widowControl/>
        <w:kinsoku/>
        <w:wordWrap/>
        <w:overflowPunct/>
        <w:topLinePunct w:val="0"/>
        <w:autoSpaceDE/>
        <w:autoSpaceDN/>
        <w:bidi w:val="0"/>
        <w:adjustRightInd/>
        <w:snapToGrid/>
        <w:spacing w:before="75" w:after="75" w:line="340" w:lineRule="exact"/>
        <w:ind w:firstLine="482"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1.5检测所需实验室以及检测所需耗材由成交供应商自备。</w:t>
      </w:r>
    </w:p>
    <w:p>
      <w:pPr>
        <w:keepNext w:val="0"/>
        <w:keepLines w:val="0"/>
        <w:pageBreakBefore w:val="0"/>
        <w:widowControl/>
        <w:kinsoku/>
        <w:wordWrap/>
        <w:overflowPunct/>
        <w:topLinePunct w:val="0"/>
        <w:autoSpaceDE/>
        <w:autoSpaceDN/>
        <w:bidi w:val="0"/>
        <w:adjustRightInd/>
        <w:snapToGrid/>
        <w:spacing w:before="75" w:after="75" w:line="340" w:lineRule="exact"/>
        <w:ind w:firstLine="482"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2.成果及验收</w:t>
      </w:r>
    </w:p>
    <w:p>
      <w:pPr>
        <w:keepNext w:val="0"/>
        <w:keepLines w:val="0"/>
        <w:pageBreakBefore w:val="0"/>
        <w:widowControl/>
        <w:kinsoku/>
        <w:wordWrap/>
        <w:overflowPunct/>
        <w:topLinePunct w:val="0"/>
        <w:autoSpaceDE/>
        <w:autoSpaceDN/>
        <w:bidi w:val="0"/>
        <w:adjustRightInd/>
        <w:snapToGrid/>
        <w:spacing w:before="75" w:after="75" w:line="340" w:lineRule="exact"/>
        <w:ind w:firstLine="482"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2.1成果形式：每月随机对备案企业进行抽检活动，并向县农业农村局农产品质监站报送检测结果检测</w:t>
      </w:r>
      <w:r>
        <w:rPr>
          <w:rFonts w:hint="eastAsia" w:ascii="仿宋" w:hAnsi="仿宋" w:eastAsia="仿宋" w:cs="宋体"/>
          <w:b/>
          <w:color w:val="auto"/>
          <w:kern w:val="0"/>
          <w:sz w:val="24"/>
          <w:szCs w:val="24"/>
          <w:lang w:eastAsia="zh-CN"/>
        </w:rPr>
        <w:t>分析</w:t>
      </w:r>
      <w:r>
        <w:rPr>
          <w:rFonts w:hint="eastAsia" w:ascii="仿宋" w:hAnsi="仿宋" w:eastAsia="仿宋" w:cs="宋体"/>
          <w:b/>
          <w:color w:val="auto"/>
          <w:kern w:val="0"/>
          <w:sz w:val="24"/>
          <w:szCs w:val="24"/>
        </w:rPr>
        <w:t xml:space="preserve">报告、档案材料。 </w:t>
      </w:r>
    </w:p>
    <w:p>
      <w:pPr>
        <w:keepNext w:val="0"/>
        <w:keepLines w:val="0"/>
        <w:pageBreakBefore w:val="0"/>
        <w:widowControl/>
        <w:kinsoku/>
        <w:wordWrap/>
        <w:overflowPunct/>
        <w:topLinePunct w:val="0"/>
        <w:autoSpaceDE/>
        <w:autoSpaceDN/>
        <w:bidi w:val="0"/>
        <w:adjustRightInd/>
        <w:snapToGrid/>
        <w:spacing w:before="75" w:after="75" w:line="340" w:lineRule="exact"/>
        <w:ind w:firstLine="482"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2.2 验收标准：根据国家、省、市相关规定及采购人要求保质保量及时完成</w:t>
      </w:r>
      <w:r>
        <w:rPr>
          <w:rFonts w:hint="eastAsia" w:ascii="仿宋" w:hAnsi="仿宋" w:eastAsia="仿宋" w:cs="宋体"/>
          <w:b/>
          <w:color w:val="auto"/>
          <w:kern w:val="0"/>
          <w:sz w:val="24"/>
          <w:szCs w:val="24"/>
          <w:lang w:eastAsia="zh-CN"/>
        </w:rPr>
        <w:t>2024</w:t>
      </w:r>
      <w:r>
        <w:rPr>
          <w:rFonts w:hint="eastAsia" w:ascii="仿宋" w:hAnsi="仿宋" w:eastAsia="仿宋" w:cs="宋体"/>
          <w:b/>
          <w:color w:val="auto"/>
          <w:kern w:val="0"/>
          <w:sz w:val="24"/>
          <w:szCs w:val="24"/>
        </w:rPr>
        <w:t>年度惠安县农产品质量安全监</w:t>
      </w:r>
      <w:r>
        <w:rPr>
          <w:rFonts w:hint="eastAsia" w:ascii="仿宋" w:hAnsi="仿宋" w:eastAsia="仿宋" w:cs="宋体"/>
          <w:b/>
          <w:color w:val="auto"/>
          <w:kern w:val="0"/>
          <w:sz w:val="24"/>
          <w:szCs w:val="24"/>
          <w:lang w:eastAsia="zh-CN"/>
        </w:rPr>
        <w:t>测</w:t>
      </w:r>
      <w:r>
        <w:rPr>
          <w:rFonts w:hint="eastAsia" w:ascii="仿宋" w:hAnsi="仿宋" w:eastAsia="仿宋" w:cs="宋体"/>
          <w:b/>
          <w:color w:val="auto"/>
          <w:kern w:val="0"/>
          <w:sz w:val="24"/>
          <w:szCs w:val="24"/>
        </w:rPr>
        <w:t>检测的工作并按相关要求提供检测结果检测</w:t>
      </w:r>
      <w:r>
        <w:rPr>
          <w:rFonts w:hint="eastAsia" w:ascii="仿宋" w:hAnsi="仿宋" w:eastAsia="仿宋" w:cs="宋体"/>
          <w:b/>
          <w:color w:val="auto"/>
          <w:kern w:val="0"/>
          <w:sz w:val="24"/>
          <w:szCs w:val="24"/>
          <w:lang w:eastAsia="zh-CN"/>
        </w:rPr>
        <w:t>分析</w:t>
      </w:r>
      <w:r>
        <w:rPr>
          <w:rFonts w:hint="eastAsia" w:ascii="仿宋" w:hAnsi="仿宋" w:eastAsia="仿宋" w:cs="宋体"/>
          <w:b/>
          <w:color w:val="auto"/>
          <w:kern w:val="0"/>
          <w:sz w:val="24"/>
          <w:szCs w:val="24"/>
        </w:rPr>
        <w:t>报告、档案材料。如果成果达不到要求，成交供应商应无条件进行补充检测，修改并完善直至成果通过验收。</w:t>
      </w:r>
    </w:p>
    <w:p>
      <w:pPr>
        <w:keepNext w:val="0"/>
        <w:keepLines w:val="0"/>
        <w:pageBreakBefore w:val="0"/>
        <w:widowControl/>
        <w:kinsoku/>
        <w:wordWrap/>
        <w:overflowPunct/>
        <w:topLinePunct w:val="0"/>
        <w:autoSpaceDE/>
        <w:autoSpaceDN/>
        <w:bidi w:val="0"/>
        <w:adjustRightInd/>
        <w:snapToGrid/>
        <w:spacing w:before="75" w:after="75" w:line="340" w:lineRule="exact"/>
        <w:ind w:firstLine="482"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3.</w:t>
      </w:r>
      <w:r>
        <w:rPr>
          <w:rFonts w:hint="eastAsia"/>
          <w:b/>
          <w:color w:val="auto"/>
          <w:sz w:val="24"/>
          <w:szCs w:val="24"/>
        </w:rPr>
        <w:t xml:space="preserve"> </w:t>
      </w:r>
      <w:r>
        <w:rPr>
          <w:rFonts w:hint="eastAsia" w:ascii="仿宋" w:hAnsi="仿宋" w:eastAsia="仿宋" w:cs="宋体"/>
          <w:b/>
          <w:color w:val="auto"/>
          <w:kern w:val="0"/>
          <w:sz w:val="24"/>
          <w:szCs w:val="24"/>
        </w:rPr>
        <w:t>知识产权及保密要求</w:t>
      </w:r>
    </w:p>
    <w:p>
      <w:pPr>
        <w:keepNext w:val="0"/>
        <w:keepLines w:val="0"/>
        <w:pageBreakBefore w:val="0"/>
        <w:widowControl/>
        <w:kinsoku/>
        <w:wordWrap/>
        <w:overflowPunct/>
        <w:topLinePunct w:val="0"/>
        <w:autoSpaceDE/>
        <w:autoSpaceDN/>
        <w:bidi w:val="0"/>
        <w:adjustRightInd/>
        <w:snapToGrid/>
        <w:spacing w:before="75" w:after="75" w:line="340" w:lineRule="exact"/>
        <w:ind w:firstLine="482"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3.1 本项目所产生的研究开发成果及其相关知识产权权利归属采购人。</w:t>
      </w:r>
    </w:p>
    <w:p>
      <w:pPr>
        <w:keepNext w:val="0"/>
        <w:keepLines w:val="0"/>
        <w:pageBreakBefore w:val="0"/>
        <w:widowControl/>
        <w:kinsoku/>
        <w:wordWrap/>
        <w:overflowPunct/>
        <w:topLinePunct w:val="0"/>
        <w:autoSpaceDE/>
        <w:autoSpaceDN/>
        <w:bidi w:val="0"/>
        <w:adjustRightInd/>
        <w:snapToGrid/>
        <w:spacing w:before="75" w:after="75" w:line="340" w:lineRule="exact"/>
        <w:ind w:firstLine="482"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3.2本项目所产生的研究开发成果有关使用和转让的权利归属采购人。</w:t>
      </w:r>
    </w:p>
    <w:p>
      <w:pPr>
        <w:keepNext w:val="0"/>
        <w:keepLines w:val="0"/>
        <w:pageBreakBefore w:val="0"/>
        <w:widowControl/>
        <w:kinsoku/>
        <w:wordWrap/>
        <w:overflowPunct/>
        <w:topLinePunct w:val="0"/>
        <w:autoSpaceDE/>
        <w:autoSpaceDN/>
        <w:bidi w:val="0"/>
        <w:adjustRightInd/>
        <w:snapToGrid/>
        <w:spacing w:before="75" w:after="75" w:line="340" w:lineRule="exact"/>
        <w:ind w:firstLine="482"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3.3本项目成果署名权和申报奖励的权利归属采购人。</w:t>
      </w:r>
    </w:p>
    <w:p>
      <w:pPr>
        <w:keepNext w:val="0"/>
        <w:keepLines w:val="0"/>
        <w:pageBreakBefore w:val="0"/>
        <w:widowControl/>
        <w:kinsoku/>
        <w:wordWrap/>
        <w:overflowPunct/>
        <w:topLinePunct w:val="0"/>
        <w:autoSpaceDE/>
        <w:autoSpaceDN/>
        <w:bidi w:val="0"/>
        <w:adjustRightInd/>
        <w:snapToGrid/>
        <w:spacing w:before="75" w:after="75" w:line="340" w:lineRule="exact"/>
        <w:ind w:firstLine="482" w:firstLineChars="200"/>
        <w:jc w:val="left"/>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3.4未经采购人同意，本项目成果和数据不得提交其他任何第三方。</w:t>
      </w:r>
    </w:p>
    <w:p>
      <w:pPr>
        <w:keepNext w:val="0"/>
        <w:keepLines w:val="0"/>
        <w:pageBreakBefore w:val="0"/>
        <w:widowControl/>
        <w:kinsoku/>
        <w:wordWrap/>
        <w:overflowPunct/>
        <w:topLinePunct w:val="0"/>
        <w:autoSpaceDE/>
        <w:autoSpaceDN/>
        <w:bidi w:val="0"/>
        <w:adjustRightInd/>
        <w:snapToGrid/>
        <w:spacing w:before="75" w:after="75" w:line="340" w:lineRule="exact"/>
        <w:ind w:firstLine="482" w:firstLineChars="200"/>
        <w:jc w:val="left"/>
        <w:textAlignment w:val="auto"/>
        <w:rPr>
          <w:rFonts w:hint="eastAsia" w:ascii="仿宋" w:hAnsi="仿宋" w:eastAsia="仿宋" w:cs="宋体"/>
          <w:b/>
          <w:bCs/>
          <w:color w:val="auto"/>
          <w:kern w:val="0"/>
          <w:sz w:val="24"/>
          <w:szCs w:val="24"/>
        </w:rPr>
      </w:pPr>
      <w:r>
        <w:rPr>
          <w:rFonts w:hint="eastAsia" w:ascii="仿宋" w:hAnsi="仿宋" w:eastAsia="仿宋" w:cs="宋体"/>
          <w:b/>
          <w:color w:val="auto"/>
          <w:kern w:val="0"/>
          <w:sz w:val="24"/>
          <w:szCs w:val="24"/>
        </w:rPr>
        <w:t>3.5保密要求：投标人对采购人提供的技术及数据资料须严格保密，不得扩散。</w:t>
      </w:r>
    </w:p>
    <w:p>
      <w:pPr>
        <w:keepNext w:val="0"/>
        <w:keepLines w:val="0"/>
        <w:pageBreakBefore w:val="0"/>
        <w:widowControl/>
        <w:kinsoku/>
        <w:wordWrap/>
        <w:overflowPunct/>
        <w:topLinePunct w:val="0"/>
        <w:autoSpaceDE/>
        <w:autoSpaceDN/>
        <w:bidi w:val="0"/>
        <w:adjustRightInd/>
        <w:snapToGrid/>
        <w:spacing w:before="75" w:after="75" w:line="340" w:lineRule="exact"/>
        <w:jc w:val="left"/>
        <w:textAlignment w:val="auto"/>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w:t>
      </w:r>
      <w:r>
        <w:rPr>
          <w:rFonts w:hint="eastAsia" w:ascii="仿宋" w:hAnsi="仿宋" w:eastAsia="仿宋" w:cs="宋体"/>
          <w:b/>
          <w:bCs/>
          <w:color w:val="auto"/>
          <w:kern w:val="0"/>
          <w:sz w:val="24"/>
          <w:szCs w:val="24"/>
          <w:lang w:eastAsia="zh-CN"/>
        </w:rPr>
        <w:t>五</w:t>
      </w:r>
      <w:r>
        <w:rPr>
          <w:rFonts w:ascii="仿宋" w:hAnsi="仿宋" w:eastAsia="仿宋" w:cs="宋体"/>
          <w:b/>
          <w:bCs/>
          <w:color w:val="auto"/>
          <w:kern w:val="0"/>
          <w:sz w:val="24"/>
          <w:szCs w:val="24"/>
        </w:rPr>
        <w:t>、商务条件</w:t>
      </w:r>
    </w:p>
    <w:p>
      <w:pPr>
        <w:keepNext w:val="0"/>
        <w:keepLines w:val="0"/>
        <w:pageBreakBefore w:val="0"/>
        <w:widowControl/>
        <w:kinsoku/>
        <w:wordWrap/>
        <w:overflowPunct/>
        <w:topLinePunct w:val="0"/>
        <w:autoSpaceDE/>
        <w:autoSpaceDN/>
        <w:bidi w:val="0"/>
        <w:adjustRightInd/>
        <w:snapToGrid/>
        <w:spacing w:before="75" w:after="75" w:line="340" w:lineRule="exact"/>
        <w:ind w:firstLine="482" w:firstLineChars="200"/>
        <w:jc w:val="left"/>
        <w:textAlignment w:val="auto"/>
        <w:rPr>
          <w:rFonts w:ascii="仿宋" w:hAnsi="仿宋" w:eastAsia="仿宋" w:cs="宋体"/>
          <w:b/>
          <w:color w:val="auto"/>
          <w:kern w:val="0"/>
          <w:sz w:val="24"/>
          <w:szCs w:val="24"/>
        </w:rPr>
      </w:pPr>
      <w:r>
        <w:rPr>
          <w:rFonts w:ascii="仿宋" w:hAnsi="仿宋" w:eastAsia="仿宋" w:cs="宋体"/>
          <w:b/>
          <w:color w:val="auto"/>
          <w:kern w:val="0"/>
          <w:sz w:val="24"/>
          <w:szCs w:val="24"/>
        </w:rPr>
        <w:t>1、交付地点：</w:t>
      </w:r>
      <w:r>
        <w:rPr>
          <w:rFonts w:hint="eastAsia" w:ascii="仿宋" w:hAnsi="仿宋" w:eastAsia="仿宋" w:cs="宋体"/>
          <w:b/>
          <w:color w:val="auto"/>
          <w:kern w:val="0"/>
          <w:sz w:val="24"/>
          <w:szCs w:val="24"/>
        </w:rPr>
        <w:t>惠安县农业农村局</w:t>
      </w:r>
    </w:p>
    <w:p>
      <w:pPr>
        <w:keepNext w:val="0"/>
        <w:keepLines w:val="0"/>
        <w:pageBreakBefore w:val="0"/>
        <w:widowControl/>
        <w:kinsoku/>
        <w:wordWrap/>
        <w:overflowPunct/>
        <w:topLinePunct w:val="0"/>
        <w:autoSpaceDE/>
        <w:autoSpaceDN/>
        <w:bidi w:val="0"/>
        <w:adjustRightInd/>
        <w:snapToGrid/>
        <w:spacing w:before="75" w:after="75" w:line="340" w:lineRule="exact"/>
        <w:ind w:firstLine="482" w:firstLineChars="200"/>
        <w:jc w:val="left"/>
        <w:textAlignment w:val="auto"/>
        <w:rPr>
          <w:rFonts w:ascii="仿宋" w:hAnsi="仿宋" w:eastAsia="仿宋" w:cs="宋体"/>
          <w:b/>
          <w:color w:val="auto"/>
          <w:kern w:val="0"/>
          <w:sz w:val="24"/>
          <w:szCs w:val="24"/>
        </w:rPr>
      </w:pPr>
      <w:r>
        <w:rPr>
          <w:rFonts w:ascii="仿宋" w:hAnsi="仿宋" w:eastAsia="仿宋" w:cs="宋体"/>
          <w:b/>
          <w:color w:val="auto"/>
          <w:kern w:val="0"/>
          <w:sz w:val="24"/>
          <w:szCs w:val="24"/>
        </w:rPr>
        <w:t>2、</w:t>
      </w:r>
      <w:r>
        <w:rPr>
          <w:rFonts w:hint="eastAsia" w:ascii="仿宋" w:hAnsi="仿宋" w:eastAsia="仿宋" w:cs="宋体"/>
          <w:b/>
          <w:color w:val="auto"/>
          <w:kern w:val="0"/>
          <w:sz w:val="24"/>
          <w:szCs w:val="24"/>
        </w:rPr>
        <w:t>服务期限</w:t>
      </w:r>
      <w:r>
        <w:rPr>
          <w:rFonts w:ascii="仿宋" w:hAnsi="仿宋" w:eastAsia="仿宋" w:cs="宋体"/>
          <w:b/>
          <w:color w:val="auto"/>
          <w:kern w:val="0"/>
          <w:sz w:val="24"/>
          <w:szCs w:val="24"/>
        </w:rPr>
        <w:t>：</w:t>
      </w:r>
      <w:r>
        <w:rPr>
          <w:rFonts w:hint="eastAsia" w:ascii="仿宋" w:hAnsi="仿宋" w:eastAsia="仿宋" w:cs="宋体"/>
          <w:b/>
          <w:color w:val="auto"/>
          <w:kern w:val="0"/>
          <w:sz w:val="24"/>
          <w:szCs w:val="24"/>
        </w:rPr>
        <w:t>合同签订起至</w:t>
      </w:r>
      <w:r>
        <w:rPr>
          <w:rFonts w:hint="eastAsia" w:ascii="仿宋" w:hAnsi="仿宋" w:eastAsia="仿宋" w:cs="宋体"/>
          <w:b/>
          <w:color w:val="auto"/>
          <w:kern w:val="0"/>
          <w:sz w:val="24"/>
          <w:szCs w:val="24"/>
          <w:lang w:eastAsia="zh-CN"/>
        </w:rPr>
        <w:t>202</w:t>
      </w:r>
      <w:r>
        <w:rPr>
          <w:rFonts w:hint="eastAsia" w:ascii="仿宋" w:hAnsi="仿宋" w:eastAsia="仿宋" w:cs="宋体"/>
          <w:b/>
          <w:color w:val="auto"/>
          <w:kern w:val="0"/>
          <w:sz w:val="24"/>
          <w:szCs w:val="24"/>
          <w:lang w:val="en-US" w:eastAsia="zh-CN"/>
        </w:rPr>
        <w:t>4</w:t>
      </w:r>
      <w:r>
        <w:rPr>
          <w:rFonts w:hint="eastAsia" w:ascii="仿宋" w:hAnsi="仿宋" w:eastAsia="仿宋" w:cs="宋体"/>
          <w:b/>
          <w:color w:val="auto"/>
          <w:kern w:val="0"/>
          <w:sz w:val="24"/>
          <w:szCs w:val="24"/>
        </w:rPr>
        <w:t xml:space="preserve">年12月31日止。 </w:t>
      </w:r>
    </w:p>
    <w:p>
      <w:pPr>
        <w:keepNext w:val="0"/>
        <w:keepLines w:val="0"/>
        <w:pageBreakBefore w:val="0"/>
        <w:widowControl/>
        <w:kinsoku/>
        <w:wordWrap/>
        <w:overflowPunct/>
        <w:topLinePunct w:val="0"/>
        <w:autoSpaceDE/>
        <w:autoSpaceDN/>
        <w:bidi w:val="0"/>
        <w:adjustRightInd/>
        <w:snapToGrid/>
        <w:spacing w:before="75" w:after="75" w:line="340" w:lineRule="exact"/>
        <w:ind w:firstLine="482" w:firstLineChars="200"/>
        <w:jc w:val="left"/>
        <w:textAlignment w:val="auto"/>
        <w:rPr>
          <w:rFonts w:ascii="仿宋" w:hAnsi="仿宋" w:eastAsia="仿宋" w:cs="宋体"/>
          <w:b/>
          <w:color w:val="auto"/>
          <w:kern w:val="0"/>
          <w:sz w:val="24"/>
          <w:szCs w:val="24"/>
        </w:rPr>
      </w:pPr>
      <w:r>
        <w:rPr>
          <w:rFonts w:ascii="仿宋" w:hAnsi="仿宋" w:eastAsia="仿宋" w:cs="宋体"/>
          <w:b/>
          <w:color w:val="auto"/>
          <w:kern w:val="0"/>
          <w:sz w:val="24"/>
          <w:szCs w:val="24"/>
        </w:rPr>
        <w:t>3、</w:t>
      </w:r>
      <w:r>
        <w:rPr>
          <w:rFonts w:hint="eastAsia" w:ascii="仿宋" w:hAnsi="仿宋" w:eastAsia="仿宋" w:cs="宋体"/>
          <w:b/>
          <w:color w:val="auto"/>
          <w:kern w:val="0"/>
          <w:sz w:val="24"/>
          <w:szCs w:val="24"/>
        </w:rPr>
        <w:t>付款</w:t>
      </w:r>
      <w:r>
        <w:rPr>
          <w:rFonts w:ascii="仿宋" w:hAnsi="仿宋" w:eastAsia="仿宋" w:cs="宋体"/>
          <w:b/>
          <w:color w:val="auto"/>
          <w:kern w:val="0"/>
          <w:sz w:val="24"/>
          <w:szCs w:val="24"/>
        </w:rPr>
        <w:t>方式：</w:t>
      </w:r>
    </w:p>
    <w:p>
      <w:pPr>
        <w:keepNext w:val="0"/>
        <w:keepLines w:val="0"/>
        <w:pageBreakBefore w:val="0"/>
        <w:widowControl/>
        <w:kinsoku/>
        <w:wordWrap/>
        <w:overflowPunct/>
        <w:topLinePunct w:val="0"/>
        <w:autoSpaceDE/>
        <w:autoSpaceDN/>
        <w:bidi w:val="0"/>
        <w:adjustRightInd/>
        <w:snapToGrid/>
        <w:spacing w:before="75" w:after="75" w:line="340" w:lineRule="exact"/>
        <w:ind w:firstLine="482" w:firstLineChars="200"/>
        <w:jc w:val="left"/>
        <w:textAlignment w:val="auto"/>
        <w:rPr>
          <w:rFonts w:hint="eastAsia" w:ascii="仿宋" w:hAnsi="仿宋" w:eastAsia="仿宋" w:cs="宋体"/>
          <w:b/>
          <w:bCs/>
          <w:color w:val="auto"/>
          <w:kern w:val="0"/>
          <w:sz w:val="24"/>
          <w:szCs w:val="24"/>
          <w:lang w:eastAsia="zh-CN"/>
        </w:rPr>
      </w:pPr>
      <w:r>
        <w:rPr>
          <w:rFonts w:hint="eastAsia" w:ascii="仿宋" w:hAnsi="仿宋" w:eastAsia="仿宋" w:cs="宋体"/>
          <w:b/>
          <w:color w:val="auto"/>
          <w:kern w:val="0"/>
          <w:sz w:val="24"/>
          <w:szCs w:val="24"/>
        </w:rPr>
        <w:t>（1）成交供应商完成所有检测工作并通过采购人最终验收，采购人付清全款；支付合同款需提供正式税务发票，并同时按采购人单位财务制度要求提供其他所需材料。</w:t>
      </w:r>
    </w:p>
    <w:p>
      <w:pPr>
        <w:keepNext w:val="0"/>
        <w:keepLines w:val="0"/>
        <w:pageBreakBefore w:val="0"/>
        <w:kinsoku/>
        <w:wordWrap/>
        <w:overflowPunct/>
        <w:topLinePunct w:val="0"/>
        <w:autoSpaceDE/>
        <w:autoSpaceDN/>
        <w:bidi w:val="0"/>
        <w:adjustRightInd/>
        <w:snapToGrid/>
        <w:spacing w:line="340" w:lineRule="exact"/>
        <w:ind w:firstLine="236" w:firstLineChars="98"/>
        <w:textAlignment w:val="auto"/>
        <w:rPr>
          <w:rFonts w:ascii="仿宋" w:hAnsi="仿宋" w:eastAsia="仿宋" w:cs="宋体"/>
          <w:b/>
          <w:bCs/>
          <w:color w:val="auto"/>
          <w:kern w:val="0"/>
          <w:sz w:val="24"/>
          <w:szCs w:val="24"/>
        </w:rPr>
      </w:pPr>
      <w:r>
        <w:rPr>
          <w:rFonts w:hint="eastAsia" w:ascii="仿宋" w:hAnsi="仿宋" w:eastAsia="仿宋" w:cs="宋体"/>
          <w:b/>
          <w:bCs/>
          <w:color w:val="auto"/>
          <w:kern w:val="0"/>
          <w:sz w:val="24"/>
          <w:szCs w:val="24"/>
          <w:lang w:eastAsia="zh-CN"/>
        </w:rPr>
        <w:t>六</w:t>
      </w:r>
      <w:r>
        <w:rPr>
          <w:rFonts w:ascii="仿宋" w:hAnsi="仿宋" w:eastAsia="仿宋" w:cs="宋体"/>
          <w:b/>
          <w:bCs/>
          <w:color w:val="auto"/>
          <w:kern w:val="0"/>
          <w:sz w:val="24"/>
          <w:szCs w:val="24"/>
        </w:rPr>
        <w:t>、其他事项</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1）所有报价为全费用服务价格，包括但不局限于员工工资、补贴和福利、防暑降温费、法定节假日费、劳保费、水电住房补贴、车辆、设备及工具的折旧费、保险费、管理费、风险费、培训费、成果编制和报送费、税费、招标代理服务费及不可预见等所有费用。</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eastAsia" w:ascii="仿宋" w:hAnsi="仿宋" w:eastAsia="仿宋" w:cs="宋体"/>
          <w:b/>
          <w:color w:val="auto"/>
          <w:kern w:val="0"/>
          <w:sz w:val="24"/>
          <w:szCs w:val="24"/>
          <w:lang w:eastAsia="zh-CN"/>
        </w:rPr>
      </w:pPr>
      <w:r>
        <w:rPr>
          <w:rFonts w:hint="eastAsia" w:ascii="仿宋" w:hAnsi="仿宋" w:eastAsia="仿宋" w:cs="宋体"/>
          <w:b/>
          <w:color w:val="auto"/>
          <w:kern w:val="0"/>
          <w:sz w:val="24"/>
          <w:szCs w:val="24"/>
        </w:rPr>
        <w:t>（2）各供应商报价时应综合考虑日后属政策性调整、各种人工、原材料、燃料动力市场价格的 浮动等因素造成的服务价格变动，上述原材料、燃料动力价格变动招标服务价格不予调整。</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lang w:eastAsia="zh-CN"/>
        </w:rPr>
        <w:t>七</w:t>
      </w:r>
      <w:r>
        <w:rPr>
          <w:rFonts w:hint="eastAsia" w:ascii="仿宋" w:hAnsi="仿宋" w:eastAsia="仿宋" w:cs="宋体"/>
          <w:b/>
          <w:color w:val="auto"/>
          <w:kern w:val="0"/>
          <w:sz w:val="24"/>
          <w:szCs w:val="24"/>
        </w:rPr>
        <w:t>、参数要求</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eastAsia" w:ascii="仿宋" w:hAnsi="仿宋" w:eastAsia="仿宋" w:cs="宋体"/>
          <w:b/>
          <w:color w:val="auto"/>
          <w:kern w:val="0"/>
          <w:sz w:val="24"/>
          <w:szCs w:val="24"/>
        </w:rPr>
      </w:pPr>
      <w:r>
        <w:rPr>
          <w:rFonts w:hint="eastAsia" w:ascii="仿宋" w:hAnsi="仿宋" w:eastAsia="仿宋" w:cs="宋体"/>
          <w:b/>
          <w:color w:val="auto"/>
          <w:kern w:val="0"/>
          <w:sz w:val="24"/>
          <w:szCs w:val="24"/>
        </w:rPr>
        <w:t>6.1农产品监</w:t>
      </w:r>
      <w:r>
        <w:rPr>
          <w:rFonts w:hint="eastAsia" w:ascii="仿宋" w:hAnsi="仿宋" w:eastAsia="仿宋" w:cs="宋体"/>
          <w:b/>
          <w:color w:val="auto"/>
          <w:kern w:val="0"/>
          <w:sz w:val="24"/>
          <w:szCs w:val="24"/>
          <w:lang w:eastAsia="zh-CN"/>
        </w:rPr>
        <w:t>测</w:t>
      </w:r>
      <w:r>
        <w:rPr>
          <w:rFonts w:hint="eastAsia" w:ascii="仿宋" w:hAnsi="仿宋" w:eastAsia="仿宋" w:cs="宋体"/>
          <w:b/>
          <w:color w:val="auto"/>
          <w:kern w:val="0"/>
          <w:sz w:val="24"/>
          <w:szCs w:val="24"/>
        </w:rPr>
        <w:t>抽样检测参数：</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8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uppressAutoHyphens/>
              <w:bidi w:val="0"/>
              <w:jc w:val="center"/>
              <w:textAlignment w:val="center"/>
              <w:rPr>
                <w:rFonts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样品</w:t>
            </w:r>
          </w:p>
        </w:tc>
        <w:tc>
          <w:tcPr>
            <w:tcW w:w="851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uppressAutoHyphens/>
              <w:bidi w:val="0"/>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2024检测参数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3" w:hRule="atLeast"/>
        </w:trPr>
        <w:tc>
          <w:tcPr>
            <w:tcW w:w="70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uppressAutoHyphens/>
              <w:bidi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蔬菜</w:t>
            </w:r>
            <w:r>
              <w:rPr>
                <w:rFonts w:hint="eastAsia" w:ascii="仿宋_GB2312" w:hAnsi="宋体" w:cs="仿宋_GB2312"/>
                <w:i w:val="0"/>
                <w:color w:val="000000"/>
                <w:kern w:val="0"/>
                <w:sz w:val="21"/>
                <w:szCs w:val="21"/>
                <w:u w:val="none"/>
                <w:lang w:val="en-US" w:eastAsia="zh-CN" w:bidi="ar"/>
              </w:rPr>
              <w:t>、</w:t>
            </w:r>
          </w:p>
          <w:p>
            <w:pPr>
              <w:keepNext w:val="0"/>
              <w:keepLines w:val="0"/>
              <w:widowControl/>
              <w:suppressLineNumbers w:val="0"/>
              <w:suppressAutoHyphens/>
              <w:bidi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食用菌</w:t>
            </w:r>
            <w:r>
              <w:rPr>
                <w:rFonts w:hint="eastAsia" w:ascii="仿宋_GB2312" w:hAnsi="宋体" w:cs="仿宋_GB2312"/>
                <w:i w:val="0"/>
                <w:color w:val="000000"/>
                <w:kern w:val="0"/>
                <w:sz w:val="21"/>
                <w:szCs w:val="21"/>
                <w:u w:val="none"/>
                <w:lang w:val="en-US" w:eastAsia="zh-CN" w:bidi="ar"/>
              </w:rPr>
              <w:t>、</w:t>
            </w:r>
          </w:p>
          <w:p>
            <w:pPr>
              <w:keepNext w:val="0"/>
              <w:keepLines w:val="0"/>
              <w:widowControl/>
              <w:suppressLineNumbers w:val="0"/>
              <w:suppressAutoHyphens/>
              <w:bidi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水果</w:t>
            </w:r>
          </w:p>
        </w:tc>
        <w:tc>
          <w:tcPr>
            <w:tcW w:w="8518" w:type="dxa"/>
            <w:tcBorders>
              <w:top w:val="nil"/>
              <w:left w:val="nil"/>
              <w:bottom w:val="single" w:color="000000" w:sz="8" w:space="0"/>
              <w:right w:val="single" w:color="000000" w:sz="8" w:space="0"/>
            </w:tcBorders>
            <w:noWrap w:val="0"/>
            <w:vAlign w:val="center"/>
          </w:tcPr>
          <w:p>
            <w:pPr>
              <w:keepNext w:val="0"/>
              <w:keepLines w:val="0"/>
              <w:widowControl/>
              <w:suppressLineNumbers w:val="0"/>
              <w:suppressAutoHyphens/>
              <w:bidi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除虫脲、阿维菌素、氯吡脲、嘧菌酯、咪鲜胺、百菌清、克百威、灭多威、涕灭威、腐霉利、虫瞒腈、醚菊酯、氟啶脲、吡唑醚菌酯、灭蝇胺、霜霉威、多菌灵、噻虫嗪、吡虫啉、啶虫脒、烯酰吗啉、灭幼脲、虫酰肼、甲氨基阿维菌素苯甲酸盐、辛硫磷、哒螨灵、毒死蜱、敌敌畏、二甲戊灵、三唑酮、异菌脲、氟氯氰菊酯、氰戊菊酯、氯氰菊酯、苯醚甲环唑、伏杀硫磷、丙溴磷、氟氰戊菊酯、嘧霉胺、马拉硫磷、二嗪磷、多效唑、甲霜灵、甲基异柳磷、对硫磷、六六六、五氯硝基苯、氟虫腈、氯菊酯、乙烯菌核利、三氯杀螨醇、氟胺氰菊酯、甲拌磷、联苯菊酯、溴氰菊酯、氯氟氰菊酯、甲氰菊酯、亚胺硫磷、杀螟硫磷、三唑磷、乙酰甲胺磷、乐果、水胺硫磷、甲基对硫磷、氧乐果、甲胺磷、氯虫苯甲酰胺、三唑醇、久效磷</w:t>
            </w:r>
            <w:r>
              <w:rPr>
                <w:rFonts w:hint="eastAsia" w:ascii="仿宋_GB2312" w:hAnsi="宋体"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腈菌唑、氯唑磷、咪唑菌酮、氰霜唑、噻螨酮、茚虫威、唑螨酯、虱螨脲、戊唑醇、烯肟菌酯、烯效唑、丁硫克百威、灭线磷、内吸磷、倍硫磷</w:t>
            </w:r>
            <w:r>
              <w:rPr>
                <w:rFonts w:hint="eastAsia" w:ascii="仿宋_GB2312" w:hAnsi="宋体" w:cs="仿宋_GB2312"/>
                <w:i w:val="0"/>
                <w:color w:val="000000"/>
                <w:kern w:val="0"/>
                <w:sz w:val="21"/>
                <w:szCs w:val="21"/>
                <w:u w:val="none"/>
                <w:lang w:val="en-US" w:eastAsia="zh-CN" w:bidi="ar"/>
              </w:rPr>
              <w:t>、硫环磷</w:t>
            </w:r>
            <w:r>
              <w:rPr>
                <w:rFonts w:hint="eastAsia" w:ascii="仿宋_GB2312" w:hAnsi="宋体" w:eastAsia="仿宋_GB2312" w:cs="仿宋_GB2312"/>
                <w:i w:val="0"/>
                <w:color w:val="000000"/>
                <w:kern w:val="0"/>
                <w:sz w:val="21"/>
                <w:szCs w:val="21"/>
                <w:u w:val="none"/>
                <w:lang w:val="en-US" w:eastAsia="zh-CN" w:bidi="ar"/>
              </w:rPr>
              <w:t>等共</w:t>
            </w:r>
            <w:r>
              <w:rPr>
                <w:rFonts w:hint="eastAsia" w:ascii="仿宋_GB2312" w:hAnsi="宋体" w:cs="仿宋_GB2312"/>
                <w:i w:val="0"/>
                <w:color w:val="000000"/>
                <w:kern w:val="0"/>
                <w:sz w:val="21"/>
                <w:szCs w:val="21"/>
                <w:u w:val="none"/>
                <w:lang w:val="en-US" w:eastAsia="zh-CN" w:bidi="ar"/>
              </w:rPr>
              <w:t>85</w:t>
            </w:r>
            <w:r>
              <w:rPr>
                <w:rFonts w:hint="eastAsia" w:ascii="仿宋_GB2312" w:hAnsi="宋体" w:eastAsia="仿宋_GB2312" w:cs="仿宋_GB2312"/>
                <w:i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0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uppressAutoHyphens/>
              <w:bidi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茶叶</w:t>
            </w:r>
          </w:p>
        </w:tc>
        <w:tc>
          <w:tcPr>
            <w:tcW w:w="8518" w:type="dxa"/>
            <w:tcBorders>
              <w:top w:val="nil"/>
              <w:left w:val="nil"/>
              <w:bottom w:val="single" w:color="000000" w:sz="8" w:space="0"/>
              <w:right w:val="single" w:color="000000" w:sz="8" w:space="0"/>
            </w:tcBorders>
            <w:noWrap w:val="0"/>
            <w:vAlign w:val="center"/>
          </w:tcPr>
          <w:p>
            <w:pPr>
              <w:keepNext w:val="0"/>
              <w:keepLines w:val="0"/>
              <w:widowControl/>
              <w:suppressLineNumbers w:val="0"/>
              <w:suppressAutoHyphens/>
              <w:bidi w:val="0"/>
              <w:jc w:val="left"/>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甲胺磷、乙酰甲胺磷</w:t>
            </w:r>
            <w:r>
              <w:rPr>
                <w:rFonts w:hint="eastAsia" w:ascii="仿宋_GB2312" w:hAnsi="宋体" w:eastAsia="仿宋_GB2312" w:cs="仿宋_GB2312"/>
                <w:i w:val="0"/>
                <w:color w:val="auto"/>
                <w:kern w:val="0"/>
                <w:sz w:val="21"/>
                <w:szCs w:val="21"/>
                <w:u w:val="none"/>
                <w:lang w:val="en-US" w:eastAsia="zh-CN" w:bidi="ar"/>
              </w:rPr>
              <w:t>、六六六、滴滴涕、三氯杀螨醇、氰戊菊酯、联苯菊酯、氯氰菊酯、溴氰菊酯、氟氰戊菊酯、氯菊酯、氯氟氰菊酯、甲氰菊酯、杀螟硫磷、灭多威、吡虫啉、多菌灵、茚虫威、噻嗪酮、哒螨灵、啶虫脒、苯醚甲环唑、克百威、丁硫克百威、呋虫胺、乙螨唑、水胺硫磷、毒死蜱、三唑磷</w:t>
            </w:r>
            <w:r>
              <w:rPr>
                <w:rFonts w:hint="eastAsia" w:ascii="仿宋_GB2312" w:hAnsi="宋体" w:cs="仿宋_GB2312"/>
                <w:i w:val="0"/>
                <w:color w:val="auto"/>
                <w:kern w:val="0"/>
                <w:sz w:val="21"/>
                <w:szCs w:val="21"/>
                <w:u w:val="none"/>
                <w:lang w:val="en-US" w:eastAsia="zh-CN" w:bidi="ar"/>
              </w:rPr>
              <w:t>、</w:t>
            </w:r>
            <w:r>
              <w:rPr>
                <w:rFonts w:hint="eastAsia" w:ascii="仿宋_GB2312" w:hAnsi="宋体" w:eastAsia="仿宋_GB2312" w:cs="仿宋_GB2312"/>
                <w:i w:val="0"/>
                <w:color w:val="auto"/>
                <w:kern w:val="0"/>
                <w:sz w:val="21"/>
                <w:szCs w:val="21"/>
                <w:highlight w:val="none"/>
                <w:u w:val="none"/>
                <w:lang w:val="en-US" w:eastAsia="zh-CN" w:bidi="ar"/>
              </w:rPr>
              <w:t>硫丹</w:t>
            </w:r>
            <w:r>
              <w:rPr>
                <w:rFonts w:hint="eastAsia" w:ascii="仿宋_GB2312" w:hAnsi="宋体" w:eastAsia="仿宋_GB2312" w:cs="仿宋_GB2312"/>
                <w:i w:val="0"/>
                <w:color w:val="auto"/>
                <w:kern w:val="0"/>
                <w:sz w:val="21"/>
                <w:szCs w:val="21"/>
                <w:u w:val="none"/>
                <w:lang w:val="en-US" w:eastAsia="zh-CN" w:bidi="ar"/>
              </w:rPr>
              <w:t>等共</w:t>
            </w:r>
            <w:r>
              <w:rPr>
                <w:rFonts w:hint="eastAsia" w:ascii="仿宋_GB2312" w:hAnsi="宋体" w:cs="仿宋_GB2312"/>
                <w:i w:val="0"/>
                <w:color w:val="auto"/>
                <w:kern w:val="0"/>
                <w:sz w:val="21"/>
                <w:szCs w:val="21"/>
                <w:u w:val="none"/>
                <w:lang w:val="en-US" w:eastAsia="zh-CN" w:bidi="ar"/>
              </w:rPr>
              <w:t>30</w:t>
            </w:r>
            <w:r>
              <w:rPr>
                <w:rFonts w:hint="eastAsia" w:ascii="仿宋_GB2312" w:hAnsi="宋体" w:eastAsia="仿宋_GB2312" w:cs="仿宋_GB2312"/>
                <w:i w:val="0"/>
                <w:color w:val="auto"/>
                <w:kern w:val="0"/>
                <w:sz w:val="21"/>
                <w:szCs w:val="21"/>
                <w:u w:val="none"/>
                <w:lang w:val="en-US" w:eastAsia="zh-CN" w:bidi="ar"/>
              </w:rPr>
              <w:t>项</w:t>
            </w:r>
            <w:r>
              <w:rPr>
                <w:rFonts w:hint="eastAsia" w:ascii="仿宋_GB2312" w:hAnsi="宋体"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uppressAutoHyphens/>
              <w:bidi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禽肉</w:t>
            </w:r>
          </w:p>
        </w:tc>
        <w:tc>
          <w:tcPr>
            <w:tcW w:w="8518" w:type="dxa"/>
            <w:tcBorders>
              <w:top w:val="nil"/>
              <w:left w:val="nil"/>
              <w:bottom w:val="single" w:color="000000" w:sz="8" w:space="0"/>
              <w:right w:val="single" w:color="000000" w:sz="8" w:space="0"/>
            </w:tcBorders>
            <w:noWrap w:val="0"/>
            <w:vAlign w:val="center"/>
          </w:tcPr>
          <w:p>
            <w:pPr>
              <w:keepNext w:val="0"/>
              <w:keepLines w:val="0"/>
              <w:widowControl/>
              <w:suppressLineNumbers w:val="0"/>
              <w:suppressAutoHyphens/>
              <w:bidi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恩诺沙星、环丙沙星、沙拉沙星、达氟沙星、氧氟沙星、培氟沙星、诺氟沙星、洛美沙星、金刚烷胺、氟苯尼考（氟甲砜霉素）、氟苯尼考胺、甲砜霉素、氯霉素、甲氧苄啶、</w:t>
            </w:r>
            <w:r>
              <w:rPr>
                <w:rFonts w:hint="eastAsia" w:ascii="仿宋_GB2312" w:hAnsi="宋体" w:cs="仿宋_GB2312"/>
                <w:i w:val="0"/>
                <w:color w:val="000000"/>
                <w:kern w:val="0"/>
                <w:sz w:val="21"/>
                <w:szCs w:val="21"/>
                <w:u w:val="none"/>
                <w:lang w:val="en-US" w:eastAsia="zh-CN" w:bidi="ar"/>
              </w:rPr>
              <w:t>硝基呋喃类</w:t>
            </w:r>
            <w:r>
              <w:rPr>
                <w:rFonts w:hint="eastAsia" w:ascii="仿宋_GB2312" w:hAnsi="宋体" w:eastAsia="仿宋_GB2312" w:cs="仿宋_GB2312"/>
                <w:color w:val="000000"/>
                <w:kern w:val="0"/>
                <w:sz w:val="21"/>
                <w:szCs w:val="21"/>
                <w:lang w:bidi="ar"/>
              </w:rPr>
              <w:t>（3-氨基-2-恶唑酮、5-吗啉甲基-3-氨基-2-恶唑烷基酮、1-氨基-乙内酰脲、氨基脲</w:t>
            </w:r>
            <w:r>
              <w:rPr>
                <w:rFonts w:hint="eastAsia" w:ascii="仿宋_GB2312" w:hAnsi="宋体"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等1</w:t>
            </w:r>
            <w:r>
              <w:rPr>
                <w:rFonts w:hint="eastAsia" w:ascii="仿宋_GB2312" w:hAnsi="宋体" w:cs="仿宋_GB2312"/>
                <w:i w:val="0"/>
                <w:color w:val="000000"/>
                <w:kern w:val="0"/>
                <w:sz w:val="21"/>
                <w:szCs w:val="21"/>
                <w:u w:val="none"/>
                <w:lang w:val="en-US" w:eastAsia="zh-CN" w:bidi="ar"/>
              </w:rPr>
              <w:t>8</w:t>
            </w:r>
            <w:r>
              <w:rPr>
                <w:rFonts w:hint="eastAsia" w:ascii="仿宋_GB2312" w:hAnsi="宋体" w:eastAsia="仿宋_GB2312" w:cs="仿宋_GB2312"/>
                <w:i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70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uppressAutoHyphens/>
              <w:bidi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禽蛋</w:t>
            </w:r>
          </w:p>
        </w:tc>
        <w:tc>
          <w:tcPr>
            <w:tcW w:w="8518" w:type="dxa"/>
            <w:tcBorders>
              <w:top w:val="nil"/>
              <w:left w:val="nil"/>
              <w:bottom w:val="single" w:color="000000" w:sz="8" w:space="0"/>
              <w:right w:val="single" w:color="000000" w:sz="8" w:space="0"/>
            </w:tcBorders>
            <w:noWrap w:val="0"/>
            <w:vAlign w:val="center"/>
          </w:tcPr>
          <w:p>
            <w:pPr>
              <w:keepNext w:val="0"/>
              <w:keepLines w:val="0"/>
              <w:widowControl/>
              <w:suppressLineNumbers w:val="0"/>
              <w:suppressAutoHyphens/>
              <w:bidi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恩诺沙星、环丙沙星、沙拉沙星、达氟沙星、氧氟沙星、培氟沙星、诺氟沙星、洛美沙星、金刚烷胺、氟苯尼考（氟甲砜霉素）、氟苯尼考胺、甲砜霉素、氯霉素、四环素、土霉素、金霉素、</w:t>
            </w:r>
            <w:r>
              <w:rPr>
                <w:rFonts w:hint="eastAsia" w:ascii="仿宋_GB2312" w:hAnsi="宋体" w:cs="仿宋_GB2312"/>
                <w:i w:val="0"/>
                <w:color w:val="000000"/>
                <w:kern w:val="0"/>
                <w:sz w:val="21"/>
                <w:szCs w:val="21"/>
                <w:u w:val="none"/>
                <w:lang w:val="en-US" w:eastAsia="zh-CN" w:bidi="ar"/>
              </w:rPr>
              <w:t>多西环素等</w:t>
            </w:r>
            <w:r>
              <w:rPr>
                <w:rFonts w:hint="eastAsia" w:ascii="仿宋_GB2312" w:hAnsi="宋体" w:eastAsia="仿宋_GB2312" w:cs="仿宋_GB2312"/>
                <w:i w:val="0"/>
                <w:color w:val="000000"/>
                <w:kern w:val="0"/>
                <w:sz w:val="21"/>
                <w:szCs w:val="21"/>
                <w:u w:val="none"/>
                <w:lang w:val="en-US" w:eastAsia="zh-CN" w:bidi="ar"/>
              </w:rPr>
              <w:t>17项。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1" w:hRule="atLeast"/>
        </w:trPr>
        <w:tc>
          <w:tcPr>
            <w:tcW w:w="70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uppressAutoHyphens/>
              <w:bidi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猪</w:t>
            </w:r>
            <w:r>
              <w:rPr>
                <w:rFonts w:hint="eastAsia" w:ascii="仿宋_GB2312" w:hAnsi="宋体" w:cs="仿宋_GB2312"/>
                <w:i w:val="0"/>
                <w:color w:val="000000"/>
                <w:kern w:val="0"/>
                <w:sz w:val="21"/>
                <w:szCs w:val="21"/>
                <w:u w:val="none"/>
                <w:lang w:val="en-US" w:eastAsia="zh-CN" w:bidi="ar"/>
              </w:rPr>
              <w:t>、</w:t>
            </w:r>
          </w:p>
          <w:p>
            <w:pPr>
              <w:keepNext w:val="0"/>
              <w:keepLines w:val="0"/>
              <w:widowControl/>
              <w:suppressLineNumbers w:val="0"/>
              <w:suppressAutoHyphens/>
              <w:bidi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牛</w:t>
            </w:r>
            <w:r>
              <w:rPr>
                <w:rFonts w:hint="eastAsia" w:ascii="仿宋_GB2312" w:hAnsi="宋体" w:cs="仿宋_GB2312"/>
                <w:i w:val="0"/>
                <w:color w:val="000000"/>
                <w:kern w:val="0"/>
                <w:sz w:val="21"/>
                <w:szCs w:val="21"/>
                <w:u w:val="none"/>
                <w:lang w:val="en-US" w:eastAsia="zh-CN" w:bidi="ar"/>
              </w:rPr>
              <w:t>、</w:t>
            </w:r>
          </w:p>
          <w:p>
            <w:pPr>
              <w:keepNext w:val="0"/>
              <w:keepLines w:val="0"/>
              <w:widowControl/>
              <w:suppressLineNumbers w:val="0"/>
              <w:suppressAutoHyphens/>
              <w:bidi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羊</w:t>
            </w:r>
            <w:r>
              <w:rPr>
                <w:rFonts w:hint="eastAsia" w:ascii="仿宋_GB2312" w:hAnsi="宋体" w:cs="仿宋_GB2312"/>
                <w:i w:val="0"/>
                <w:color w:val="000000"/>
                <w:kern w:val="0"/>
                <w:sz w:val="21"/>
                <w:szCs w:val="21"/>
                <w:u w:val="none"/>
                <w:lang w:val="en-US" w:eastAsia="zh-CN" w:bidi="ar"/>
              </w:rPr>
              <w:t>肉</w:t>
            </w:r>
          </w:p>
          <w:p>
            <w:pPr>
              <w:keepNext w:val="0"/>
              <w:keepLines w:val="0"/>
              <w:widowControl/>
              <w:suppressLineNumbers w:val="0"/>
              <w:suppressAutoHyphens/>
              <w:bidi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猪</w:t>
            </w:r>
            <w:r>
              <w:rPr>
                <w:rFonts w:hint="eastAsia" w:ascii="仿宋_GB2312" w:hAnsi="宋体" w:cs="仿宋_GB2312"/>
                <w:i w:val="0"/>
                <w:color w:val="000000"/>
                <w:kern w:val="0"/>
                <w:sz w:val="21"/>
                <w:szCs w:val="21"/>
                <w:u w:val="none"/>
                <w:lang w:val="en-US" w:eastAsia="zh-CN" w:bidi="ar"/>
              </w:rPr>
              <w:t>、</w:t>
            </w:r>
            <w:r>
              <w:rPr>
                <w:rFonts w:hint="eastAsia" w:ascii="仿宋_GB2312" w:hAnsi="宋体" w:eastAsia="仿宋_GB2312" w:cs="仿宋_GB2312"/>
                <w:i w:val="0"/>
                <w:color w:val="000000"/>
                <w:kern w:val="0"/>
                <w:sz w:val="21"/>
                <w:szCs w:val="21"/>
                <w:u w:val="none"/>
                <w:lang w:val="en-US" w:eastAsia="zh-CN" w:bidi="ar"/>
              </w:rPr>
              <w:t>牛</w:t>
            </w:r>
            <w:r>
              <w:rPr>
                <w:rFonts w:hint="eastAsia" w:ascii="仿宋_GB2312" w:hAnsi="宋体" w:cs="仿宋_GB2312"/>
                <w:i w:val="0"/>
                <w:color w:val="000000"/>
                <w:kern w:val="0"/>
                <w:sz w:val="21"/>
                <w:szCs w:val="21"/>
                <w:u w:val="none"/>
                <w:lang w:val="en-US" w:eastAsia="zh-CN" w:bidi="ar"/>
              </w:rPr>
              <w:t>、</w:t>
            </w:r>
          </w:p>
          <w:p>
            <w:pPr>
              <w:keepNext w:val="0"/>
              <w:keepLines w:val="0"/>
              <w:widowControl/>
              <w:suppressLineNumbers w:val="0"/>
              <w:suppressAutoHyphens/>
              <w:bidi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羊</w:t>
            </w:r>
            <w:r>
              <w:rPr>
                <w:rFonts w:hint="eastAsia" w:ascii="仿宋_GB2312" w:hAnsi="宋体" w:cs="仿宋_GB2312"/>
                <w:i w:val="0"/>
                <w:color w:val="000000"/>
                <w:kern w:val="0"/>
                <w:sz w:val="21"/>
                <w:szCs w:val="21"/>
                <w:u w:val="none"/>
                <w:lang w:val="en-US" w:eastAsia="zh-CN" w:bidi="ar"/>
              </w:rPr>
              <w:t>肝</w:t>
            </w:r>
            <w:r>
              <w:rPr>
                <w:rFonts w:hint="eastAsia" w:ascii="仿宋_GB2312" w:hAnsi="宋体" w:eastAsia="仿宋_GB2312" w:cs="仿宋_GB2312"/>
                <w:i w:val="0"/>
                <w:color w:val="000000"/>
                <w:kern w:val="0"/>
                <w:sz w:val="21"/>
                <w:szCs w:val="21"/>
                <w:u w:val="none"/>
                <w:lang w:val="en-US" w:eastAsia="zh-CN" w:bidi="ar"/>
              </w:rPr>
              <w:t xml:space="preserve"> </w:t>
            </w:r>
          </w:p>
        </w:tc>
        <w:tc>
          <w:tcPr>
            <w:tcW w:w="8518" w:type="dxa"/>
            <w:tcBorders>
              <w:top w:val="nil"/>
              <w:left w:val="nil"/>
              <w:bottom w:val="single" w:color="000000" w:sz="8" w:space="0"/>
              <w:right w:val="single" w:color="000000" w:sz="8" w:space="0"/>
            </w:tcBorders>
            <w:noWrap w:val="0"/>
            <w:vAlign w:val="center"/>
          </w:tcPr>
          <w:p>
            <w:pPr>
              <w:keepNext w:val="0"/>
              <w:keepLines w:val="0"/>
              <w:widowControl/>
              <w:suppressLineNumbers w:val="0"/>
              <w:suppressAutoHyphens/>
              <w:bidi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克仑特罗、莱克多巴胺、沙丁胺醇、特布他林、西马特罗、氯丙那林、妥布特罗、</w:t>
            </w:r>
            <w:r>
              <w:rPr>
                <w:rFonts w:hint="eastAsia" w:ascii="仿宋_GB2312" w:hAnsi="宋体" w:cs="仿宋_GB2312"/>
                <w:i w:val="0"/>
                <w:color w:val="000000"/>
                <w:kern w:val="0"/>
                <w:sz w:val="21"/>
                <w:szCs w:val="21"/>
                <w:u w:val="none"/>
                <w:lang w:val="en-US" w:eastAsia="zh-CN" w:bidi="ar"/>
              </w:rPr>
              <w:t>非诺特罗、喷布特罗、</w:t>
            </w:r>
            <w:r>
              <w:rPr>
                <w:rFonts w:hint="eastAsia" w:ascii="仿宋_GB2312" w:hAnsi="宋体" w:eastAsia="仿宋_GB2312" w:cs="仿宋_GB2312"/>
                <w:i w:val="0"/>
                <w:color w:val="000000"/>
                <w:kern w:val="0"/>
                <w:sz w:val="21"/>
                <w:szCs w:val="21"/>
                <w:u w:val="none"/>
                <w:lang w:val="en-US" w:eastAsia="zh-CN" w:bidi="ar"/>
              </w:rPr>
              <w:t>磺胺间甲氧嘧啶、磺胺二甲嘧啶、磺胺甲噁唑、磺胺二甲氧嘧啶、</w:t>
            </w:r>
            <w:r>
              <w:rPr>
                <w:rFonts w:hint="eastAsia" w:ascii="仿宋_GB2312" w:hAnsi="宋体" w:cs="仿宋_GB2312"/>
                <w:i w:val="0"/>
                <w:color w:val="000000"/>
                <w:kern w:val="0"/>
                <w:sz w:val="21"/>
                <w:szCs w:val="21"/>
                <w:u w:val="none"/>
                <w:lang w:val="en-US" w:eastAsia="zh-CN" w:bidi="ar"/>
              </w:rPr>
              <w:t>磺胺喹噁啉、</w:t>
            </w:r>
            <w:r>
              <w:rPr>
                <w:rFonts w:hint="eastAsia" w:ascii="仿宋_GB2312" w:hAnsi="宋体" w:eastAsia="仿宋_GB2312" w:cs="仿宋_GB2312"/>
                <w:i w:val="0"/>
                <w:color w:val="000000"/>
                <w:kern w:val="0"/>
                <w:sz w:val="21"/>
                <w:szCs w:val="21"/>
                <w:u w:val="none"/>
                <w:lang w:val="en-US" w:eastAsia="zh-CN" w:bidi="ar"/>
              </w:rPr>
              <w:t>金霉素、土霉素、四环素、</w:t>
            </w:r>
            <w:r>
              <w:rPr>
                <w:rFonts w:hint="eastAsia" w:ascii="仿宋_GB2312" w:hAnsi="宋体" w:cs="仿宋_GB2312"/>
                <w:i w:val="0"/>
                <w:color w:val="000000"/>
                <w:kern w:val="0"/>
                <w:sz w:val="21"/>
                <w:szCs w:val="21"/>
                <w:u w:val="none"/>
                <w:lang w:val="en-US" w:eastAsia="zh-CN" w:bidi="ar"/>
              </w:rPr>
              <w:t>多西环素、</w:t>
            </w:r>
            <w:r>
              <w:rPr>
                <w:rFonts w:hint="eastAsia" w:ascii="仿宋_GB2312" w:hAnsi="宋体" w:eastAsia="仿宋_GB2312" w:cs="仿宋_GB2312"/>
                <w:i w:val="0"/>
                <w:color w:val="000000"/>
                <w:kern w:val="0"/>
                <w:sz w:val="21"/>
                <w:szCs w:val="21"/>
                <w:u w:val="none"/>
                <w:lang w:val="en-US" w:eastAsia="zh-CN" w:bidi="ar"/>
              </w:rPr>
              <w:t>氯霉素、地塞米松、倍他米松等</w:t>
            </w:r>
            <w:r>
              <w:rPr>
                <w:rFonts w:hint="eastAsia" w:ascii="仿宋_GB2312" w:hAnsi="宋体" w:cs="仿宋_GB2312"/>
                <w:i w:val="0"/>
                <w:color w:val="000000"/>
                <w:kern w:val="0"/>
                <w:sz w:val="21"/>
                <w:szCs w:val="21"/>
                <w:u w:val="none"/>
                <w:lang w:val="en-US" w:eastAsia="zh-CN" w:bidi="ar"/>
              </w:rPr>
              <w:t>21</w:t>
            </w:r>
            <w:r>
              <w:rPr>
                <w:rFonts w:hint="eastAsia" w:ascii="仿宋_GB2312" w:hAnsi="宋体" w:eastAsia="仿宋_GB2312" w:cs="仿宋_GB2312"/>
                <w:i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0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uppressAutoHyphens/>
              <w:bidi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生猪</w:t>
            </w:r>
          </w:p>
          <w:p>
            <w:pPr>
              <w:keepNext w:val="0"/>
              <w:keepLines w:val="0"/>
              <w:widowControl/>
              <w:suppressLineNumbers w:val="0"/>
              <w:suppressAutoHyphens/>
              <w:bidi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尿样</w:t>
            </w:r>
          </w:p>
        </w:tc>
        <w:tc>
          <w:tcPr>
            <w:tcW w:w="8518" w:type="dxa"/>
            <w:tcBorders>
              <w:top w:val="nil"/>
              <w:left w:val="nil"/>
              <w:bottom w:val="single" w:color="000000" w:sz="8" w:space="0"/>
              <w:right w:val="single" w:color="000000" w:sz="8" w:space="0"/>
            </w:tcBorders>
            <w:noWrap w:val="0"/>
            <w:vAlign w:val="center"/>
          </w:tcPr>
          <w:p>
            <w:pPr>
              <w:keepNext w:val="0"/>
              <w:keepLines w:val="0"/>
              <w:widowControl/>
              <w:suppressLineNumbers w:val="0"/>
              <w:suppressAutoHyphens/>
              <w:bidi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克仑特罗、莱克多巴胺、沙丁胺醇 等3项</w:t>
            </w:r>
          </w:p>
        </w:tc>
      </w:tr>
    </w:tbl>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ascii="仿宋" w:hAnsi="仿宋" w:eastAsia="仿宋" w:cs="宋体"/>
          <w:b/>
          <w:color w:val="auto"/>
          <w:kern w:val="0"/>
          <w:sz w:val="24"/>
          <w:szCs w:val="24"/>
        </w:rPr>
      </w:pPr>
      <w:r>
        <w:rPr>
          <w:rFonts w:hint="eastAsia" w:ascii="仿宋" w:hAnsi="仿宋" w:eastAsia="仿宋" w:cs="宋体"/>
          <w:b/>
          <w:color w:val="auto"/>
          <w:kern w:val="0"/>
          <w:sz w:val="24"/>
          <w:szCs w:val="24"/>
        </w:rPr>
        <w:t>6.2水产品监</w:t>
      </w:r>
      <w:r>
        <w:rPr>
          <w:rFonts w:hint="eastAsia" w:ascii="仿宋" w:hAnsi="仿宋" w:eastAsia="仿宋" w:cs="宋体"/>
          <w:b/>
          <w:color w:val="auto"/>
          <w:kern w:val="0"/>
          <w:sz w:val="24"/>
          <w:szCs w:val="24"/>
          <w:lang w:eastAsia="zh-CN"/>
        </w:rPr>
        <w:t>测</w:t>
      </w:r>
      <w:r>
        <w:rPr>
          <w:rFonts w:hint="eastAsia" w:ascii="仿宋" w:hAnsi="仿宋" w:eastAsia="仿宋" w:cs="宋体"/>
          <w:b/>
          <w:color w:val="auto"/>
          <w:kern w:val="0"/>
          <w:sz w:val="24"/>
          <w:szCs w:val="24"/>
        </w:rPr>
        <w:t>抽样检测参数：</w:t>
      </w:r>
    </w:p>
    <w:tbl>
      <w:tblPr>
        <w:tblStyle w:val="11"/>
        <w:tblW w:w="8453"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800"/>
        <w:gridCol w:w="1506"/>
        <w:gridCol w:w="5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序号</w:t>
            </w:r>
          </w:p>
        </w:tc>
        <w:tc>
          <w:tcPr>
            <w:tcW w:w="800" w:type="dxa"/>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检测类别</w:t>
            </w:r>
          </w:p>
        </w:tc>
        <w:tc>
          <w:tcPr>
            <w:tcW w:w="1506" w:type="dxa"/>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任务名称</w:t>
            </w:r>
          </w:p>
        </w:tc>
        <w:tc>
          <w:tcPr>
            <w:tcW w:w="5707" w:type="dxa"/>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440" w:type="dxa"/>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800" w:type="dxa"/>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监督抽查</w:t>
            </w:r>
          </w:p>
        </w:tc>
        <w:tc>
          <w:tcPr>
            <w:tcW w:w="1506" w:type="dxa"/>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产地水产品</w:t>
            </w:r>
          </w:p>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质量安全</w:t>
            </w:r>
          </w:p>
          <w:p>
            <w:pPr>
              <w:keepNext w:val="0"/>
              <w:keepLines w:val="0"/>
              <w:pageBreakBefore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监督抽查</w:t>
            </w:r>
          </w:p>
        </w:tc>
        <w:tc>
          <w:tcPr>
            <w:tcW w:w="5707" w:type="dxa"/>
            <w:vAlign w:val="center"/>
          </w:tcPr>
          <w:p>
            <w:pPr>
              <w:keepNext w:val="0"/>
              <w:keepLines w:val="0"/>
              <w:pageBreakBefore w:val="0"/>
              <w:kinsoku/>
              <w:wordWrap/>
              <w:overflowPunct/>
              <w:topLinePunct w:val="0"/>
              <w:autoSpaceDE/>
              <w:autoSpaceDN/>
              <w:bidi w:val="0"/>
              <w:adjustRightInd/>
              <w:spacing w:line="340" w:lineRule="exact"/>
              <w:jc w:val="both"/>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海水养殖品种:氯霉素、硝基呋喃类代谢物(呋喃唑酮代谢物、呋喃它酮代谢物、呋喃妥因代谢物、呋喃西林代谢物)。</w:t>
            </w:r>
          </w:p>
          <w:p>
            <w:pPr>
              <w:keepNext w:val="0"/>
              <w:keepLines w:val="0"/>
              <w:pageBreakBefore w:val="0"/>
              <w:kinsoku/>
              <w:wordWrap/>
              <w:overflowPunct/>
              <w:topLinePunct w:val="0"/>
              <w:autoSpaceDE/>
              <w:autoSpaceDN/>
              <w:bidi w:val="0"/>
              <w:adjustRightInd/>
              <w:spacing w:line="340" w:lineRule="exact"/>
              <w:jc w:val="both"/>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淡水养殖品种:氯霉素、孔雀石绿(含隐色孔雀石绿)、硝基呋喃类代谢物(呋喃唑酮代谢物、呋喃它酮代谢物、呋喃妥因代谢物、呋喃西林代谢物)。</w:t>
            </w:r>
          </w:p>
          <w:p>
            <w:pPr>
              <w:keepNext w:val="0"/>
              <w:keepLines w:val="0"/>
              <w:pageBreakBefore w:val="0"/>
              <w:kinsoku/>
              <w:wordWrap/>
              <w:overflowPunct/>
              <w:topLinePunct w:val="0"/>
              <w:autoSpaceDE/>
              <w:autoSpaceDN/>
              <w:bidi w:val="0"/>
              <w:adjustRightInd/>
              <w:spacing w:line="340" w:lineRule="exact"/>
              <w:jc w:val="both"/>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虾、蟹中呋喃西林代谢物残留不作判定。</w:t>
            </w:r>
          </w:p>
        </w:tc>
      </w:tr>
    </w:tbl>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jc w:val="center"/>
        <w:rPr>
          <w:rFonts w:hint="eastAsia" w:ascii="方正小标宋简体" w:hAnsi="方正小标宋简体" w:eastAsia="方正小标宋简体" w:cs="方正小标宋简体"/>
          <w:b w:val="0"/>
          <w:bCs w:val="0"/>
          <w:color w:val="auto"/>
          <w:kern w:val="0"/>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rPr>
        <w:t>农产品(水产品）检测参数、</w:t>
      </w:r>
      <w:r>
        <w:rPr>
          <w:rFonts w:hint="eastAsia" w:ascii="方正小标宋简体" w:hAnsi="方正小标宋简体" w:eastAsia="方正小标宋简体" w:cs="方正小标宋简体"/>
          <w:b w:val="0"/>
          <w:bCs w:val="0"/>
          <w:color w:val="auto"/>
          <w:kern w:val="0"/>
          <w:sz w:val="32"/>
          <w:szCs w:val="32"/>
        </w:rPr>
        <w:t>检测方法和判定依据</w:t>
      </w:r>
    </w:p>
    <w:p>
      <w:pPr>
        <w:keepNext w:val="0"/>
        <w:keepLines w:val="0"/>
        <w:pageBreakBefore w:val="0"/>
        <w:widowControl/>
        <w:numPr>
          <w:ilvl w:val="0"/>
          <w:numId w:val="0"/>
        </w:numPr>
        <w:tabs>
          <w:tab w:val="left" w:pos="0"/>
        </w:tabs>
        <w:kinsoku/>
        <w:wordWrap/>
        <w:overflowPunct/>
        <w:topLinePunct w:val="0"/>
        <w:autoSpaceDE/>
        <w:autoSpaceDN/>
        <w:bidi w:val="0"/>
        <w:adjustRightInd/>
        <w:spacing w:line="340" w:lineRule="exact"/>
        <w:ind w:firstLine="210" w:firstLineChars="100"/>
        <w:jc w:val="left"/>
        <w:textAlignment w:val="auto"/>
        <w:outlineLvl w:val="9"/>
        <w:rPr>
          <w:rFonts w:hint="eastAsia" w:ascii="黑体" w:hAnsi="黑体" w:eastAsia="黑体" w:cs="黑体"/>
          <w:b w:val="0"/>
          <w:bCs w:val="0"/>
          <w:color w:val="auto"/>
          <w:sz w:val="21"/>
          <w:szCs w:val="21"/>
          <w:lang w:val="en-US" w:eastAsia="zh-CN"/>
        </w:rPr>
      </w:pPr>
    </w:p>
    <w:p>
      <w:pPr>
        <w:spacing w:line="240" w:lineRule="auto"/>
        <w:ind w:firstLine="466" w:firstLineChars="200"/>
        <w:jc w:val="left"/>
        <w:rPr>
          <w:rFonts w:hint="eastAsia" w:ascii="仿宋_GB2312" w:eastAsia="仿宋_GB2312" w:cs="仿宋_GB2312"/>
          <w:b/>
          <w:bCs/>
          <w:spacing w:val="11"/>
          <w:sz w:val="21"/>
          <w:szCs w:val="21"/>
          <w:lang w:val="en-US" w:eastAsia="zh-CN"/>
        </w:rPr>
      </w:pPr>
      <w:r>
        <w:rPr>
          <w:rFonts w:hint="eastAsia" w:ascii="仿宋_GB2312" w:eastAsia="仿宋_GB2312" w:cs="仿宋_GB2312"/>
          <w:b/>
          <w:bCs/>
          <w:spacing w:val="11"/>
          <w:sz w:val="21"/>
          <w:szCs w:val="21"/>
          <w:lang w:val="en-US" w:eastAsia="zh-CN"/>
        </w:rPr>
        <w:t>一、农产品</w:t>
      </w:r>
      <w:r>
        <w:rPr>
          <w:rFonts w:hint="eastAsia" w:ascii="仿宋_GB2312" w:eastAsia="仿宋_GB2312" w:cs="仿宋_GB2312"/>
          <w:b/>
          <w:bCs/>
          <w:spacing w:val="11"/>
          <w:sz w:val="21"/>
          <w:szCs w:val="21"/>
        </w:rPr>
        <w:t>检测方法和判定依据</w:t>
      </w:r>
    </w:p>
    <w:p>
      <w:pPr>
        <w:spacing w:line="240" w:lineRule="auto"/>
        <w:ind w:firstLine="466" w:firstLineChars="200"/>
        <w:jc w:val="left"/>
        <w:rPr>
          <w:rFonts w:hint="eastAsia" w:ascii="仿宋_GB2312" w:eastAsia="仿宋_GB2312" w:cs="仿宋_GB2312"/>
          <w:b/>
          <w:bCs/>
          <w:spacing w:val="11"/>
          <w:sz w:val="21"/>
          <w:szCs w:val="21"/>
        </w:rPr>
      </w:pPr>
      <w:r>
        <w:rPr>
          <w:rFonts w:hint="eastAsia" w:ascii="仿宋_GB2312" w:eastAsia="仿宋_GB2312" w:cs="仿宋_GB2312"/>
          <w:b/>
          <w:bCs/>
          <w:spacing w:val="11"/>
          <w:sz w:val="21"/>
          <w:szCs w:val="21"/>
        </w:rPr>
        <w:t>1</w:t>
      </w:r>
      <w:r>
        <w:rPr>
          <w:rFonts w:hint="eastAsia" w:ascii="仿宋_GB2312" w:eastAsia="仿宋_GB2312" w:cs="仿宋_GB2312"/>
          <w:b/>
          <w:bCs/>
          <w:spacing w:val="11"/>
          <w:sz w:val="21"/>
          <w:szCs w:val="21"/>
          <w:lang w:val="en"/>
        </w:rPr>
        <w:t>.</w:t>
      </w:r>
      <w:r>
        <w:rPr>
          <w:rFonts w:hint="eastAsia" w:ascii="仿宋_GB2312" w:eastAsia="仿宋_GB2312" w:cs="仿宋_GB2312"/>
          <w:b/>
          <w:bCs/>
          <w:spacing w:val="11"/>
          <w:sz w:val="21"/>
          <w:szCs w:val="21"/>
        </w:rPr>
        <w:t>蔬菜、食用菌、水果</w:t>
      </w:r>
    </w:p>
    <w:p>
      <w:pPr>
        <w:spacing w:line="240" w:lineRule="auto"/>
        <w:ind w:firstLine="466" w:firstLineChars="200"/>
        <w:jc w:val="left"/>
        <w:rPr>
          <w:rFonts w:hint="eastAsia" w:ascii="仿宋_GB2312" w:eastAsia="仿宋_GB2312" w:cs="仿宋_GB2312"/>
          <w:b/>
          <w:bCs/>
          <w:spacing w:val="11"/>
          <w:sz w:val="21"/>
          <w:szCs w:val="21"/>
        </w:rPr>
      </w:pPr>
      <w:r>
        <w:rPr>
          <w:rFonts w:hint="eastAsia" w:ascii="仿宋_GB2312" w:eastAsia="仿宋_GB2312" w:cs="仿宋_GB2312"/>
          <w:b/>
          <w:bCs/>
          <w:spacing w:val="11"/>
          <w:sz w:val="21"/>
          <w:szCs w:val="21"/>
        </w:rPr>
        <w:t>（1）检测方法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1"/>
        <w:gridCol w:w="3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291" w:type="dxa"/>
            <w:noWrap w:val="0"/>
            <w:vAlign w:val="top"/>
          </w:tcPr>
          <w:p>
            <w:pPr>
              <w:spacing w:line="240" w:lineRule="auto"/>
              <w:ind w:firstLine="466" w:firstLineChars="200"/>
              <w:jc w:val="center"/>
              <w:rPr>
                <w:rFonts w:hint="eastAsia" w:ascii="仿宋_GB2312" w:eastAsia="仿宋_GB2312" w:cs="仿宋_GB2312"/>
                <w:b/>
                <w:bCs/>
                <w:spacing w:val="11"/>
                <w:sz w:val="21"/>
                <w:szCs w:val="21"/>
              </w:rPr>
            </w:pPr>
            <w:r>
              <w:rPr>
                <w:rFonts w:hint="eastAsia" w:ascii="仿宋_GB2312" w:eastAsia="仿宋_GB2312" w:cs="仿宋_GB2312"/>
                <w:b/>
                <w:bCs/>
                <w:spacing w:val="11"/>
                <w:sz w:val="21"/>
                <w:szCs w:val="21"/>
              </w:rPr>
              <w:t>检测参数</w:t>
            </w:r>
          </w:p>
        </w:tc>
        <w:tc>
          <w:tcPr>
            <w:tcW w:w="3001" w:type="dxa"/>
            <w:noWrap w:val="0"/>
            <w:vAlign w:val="top"/>
          </w:tcPr>
          <w:p>
            <w:pPr>
              <w:spacing w:line="240" w:lineRule="auto"/>
              <w:ind w:firstLine="466" w:firstLineChars="200"/>
              <w:jc w:val="center"/>
              <w:rPr>
                <w:rFonts w:hint="eastAsia" w:ascii="仿宋_GB2312" w:eastAsia="仿宋_GB2312" w:cs="仿宋_GB2312"/>
                <w:b/>
                <w:bCs/>
                <w:spacing w:val="11"/>
                <w:sz w:val="21"/>
                <w:szCs w:val="21"/>
              </w:rPr>
            </w:pPr>
            <w:r>
              <w:rPr>
                <w:rFonts w:hint="eastAsia" w:ascii="仿宋_GB2312" w:eastAsia="仿宋_GB2312" w:cs="仿宋_GB2312"/>
                <w:b/>
                <w:bCs/>
                <w:spacing w:val="11"/>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jc w:val="center"/>
        </w:trPr>
        <w:tc>
          <w:tcPr>
            <w:tcW w:w="6291" w:type="dxa"/>
            <w:noWrap w:val="0"/>
            <w:vAlign w:val="top"/>
          </w:tcPr>
          <w:p>
            <w:pPr>
              <w:spacing w:line="240" w:lineRule="auto"/>
              <w:ind w:firstLine="464" w:firstLineChars="200"/>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rPr>
              <w:t>禁用农药：甲胺磷、对硫磷、甲基对硫磷、六六六、三氯杀螨醇、久效磷、甲拌磷（包括甲拌磷砜和甲拌磷亚砜）、水胺硫磷、甲基异柳磷</w:t>
            </w:r>
            <w:r>
              <w:rPr>
                <w:rFonts w:hint="eastAsia" w:ascii="仿宋_GB2312" w:eastAsia="仿宋_GB2312" w:cs="仿宋_GB2312"/>
                <w:spacing w:val="11"/>
                <w:sz w:val="21"/>
                <w:szCs w:val="21"/>
                <w:lang w:eastAsia="zh-CN"/>
              </w:rPr>
              <w:t>、灭线磷、</w:t>
            </w:r>
            <w:r>
              <w:rPr>
                <w:rFonts w:hint="eastAsia" w:ascii="仿宋_GB2312" w:eastAsia="仿宋_GB2312" w:cs="仿宋_GB2312"/>
                <w:spacing w:val="11"/>
                <w:sz w:val="21"/>
                <w:szCs w:val="21"/>
                <w:lang w:val="en-US" w:eastAsia="zh-CN"/>
              </w:rPr>
              <w:t>硫环磷</w:t>
            </w:r>
          </w:p>
          <w:p>
            <w:pPr>
              <w:spacing w:line="240" w:lineRule="auto"/>
              <w:ind w:firstLine="464" w:firstLineChars="200"/>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rPr>
              <w:t>限用农药：氧乐果、克百威（包括3-羟基克百威）、涕灭威（包括涕灭威砜和涕灭威亚砜）、毒死蜱、三唑磷、乐果、乙酰甲胺磷、灭多威</w:t>
            </w:r>
            <w:r>
              <w:rPr>
                <w:rFonts w:hint="eastAsia" w:ascii="仿宋_GB2312" w:eastAsia="仿宋_GB2312" w:cs="仿宋_GB2312"/>
                <w:spacing w:val="11"/>
                <w:sz w:val="21"/>
                <w:szCs w:val="21"/>
                <w:lang w:eastAsia="zh-CN"/>
              </w:rPr>
              <w:t>、内吸磷</w:t>
            </w:r>
          </w:p>
          <w:p>
            <w:pPr>
              <w:spacing w:line="240" w:lineRule="auto"/>
              <w:ind w:firstLine="464" w:firstLineChars="200"/>
              <w:jc w:val="left"/>
              <w:rPr>
                <w:rFonts w:hint="default" w:ascii="仿宋_GB2312" w:eastAsia="仿宋_GB2312" w:cs="仿宋_GB2312"/>
                <w:spacing w:val="11"/>
                <w:sz w:val="21"/>
                <w:szCs w:val="21"/>
                <w:lang w:val="en-US" w:eastAsia="zh-CN"/>
              </w:rPr>
            </w:pPr>
            <w:r>
              <w:rPr>
                <w:rFonts w:hint="eastAsia" w:ascii="仿宋_GB2312" w:eastAsia="仿宋_GB2312" w:cs="仿宋_GB2312"/>
                <w:spacing w:val="11"/>
                <w:sz w:val="21"/>
                <w:szCs w:val="21"/>
              </w:rPr>
              <w:t>常规农药：敌敌畏、丙溴磷、杀螟硫磷、二嗪磷、马拉硫磷、亚胺硫磷、伏杀硫磷、辛硫磷、氯氰菊酯、甲氰菊酯、氯氟氰菊酯、氟氯氰菊酯、溴氰菊酯、联苯菊酯、氟胺氰菊酯、氰戊菊酯、氟氰戊菊酯、氯菊酯（异构体之和）</w:t>
            </w:r>
            <w:r>
              <w:rPr>
                <w:rFonts w:hint="eastAsia" w:ascii="仿宋_GB2312" w:eastAsia="仿宋_GB2312" w:cs="仿宋_GB2312"/>
                <w:spacing w:val="11"/>
                <w:sz w:val="21"/>
                <w:szCs w:val="21"/>
                <w:lang w:eastAsia="zh-CN"/>
              </w:rPr>
              <w:t>、</w:t>
            </w:r>
            <w:r>
              <w:rPr>
                <w:rFonts w:hint="eastAsia" w:ascii="仿宋_GB2312" w:eastAsia="仿宋_GB2312" w:cs="仿宋_GB2312"/>
                <w:spacing w:val="11"/>
                <w:sz w:val="21"/>
                <w:szCs w:val="21"/>
              </w:rPr>
              <w:t>三唑酮、异菌脲、腐霉利、五氯硝基苯、乙烯菌核利、</w:t>
            </w:r>
            <w:r>
              <w:rPr>
                <w:rFonts w:hint="eastAsia" w:ascii="仿宋_GB2312" w:eastAsia="仿宋_GB2312" w:cs="仿宋_GB2312"/>
                <w:spacing w:val="11"/>
                <w:sz w:val="21"/>
                <w:szCs w:val="21"/>
                <w:lang w:eastAsia="zh-CN"/>
              </w:rPr>
              <w:t>倍硫磷</w:t>
            </w:r>
          </w:p>
        </w:tc>
        <w:tc>
          <w:tcPr>
            <w:tcW w:w="3001" w:type="dxa"/>
            <w:noWrap w:val="0"/>
            <w:vAlign w:val="center"/>
          </w:tcPr>
          <w:p>
            <w:pPr>
              <w:spacing w:line="240" w:lineRule="auto"/>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rPr>
              <w:t>NY/T</w:t>
            </w:r>
            <w:r>
              <w:rPr>
                <w:rFonts w:hint="eastAsia" w:ascii="仿宋_GB2312" w:eastAsia="仿宋_GB2312" w:cs="仿宋_GB2312"/>
                <w:spacing w:val="11"/>
                <w:sz w:val="21"/>
                <w:szCs w:val="21"/>
                <w:lang w:val="en-US" w:eastAsia="zh-CN"/>
              </w:rPr>
              <w:t xml:space="preserve"> </w:t>
            </w:r>
            <w:r>
              <w:rPr>
                <w:rFonts w:hint="eastAsia" w:ascii="仿宋_GB2312" w:eastAsia="仿宋_GB2312" w:cs="仿宋_GB2312"/>
                <w:spacing w:val="11"/>
                <w:sz w:val="21"/>
                <w:szCs w:val="21"/>
              </w:rPr>
              <w:t>761或GB/T</w:t>
            </w:r>
            <w:r>
              <w:rPr>
                <w:rFonts w:hint="eastAsia" w:ascii="仿宋_GB2312" w:eastAsia="仿宋_GB2312" w:cs="仿宋_GB2312"/>
                <w:spacing w:val="11"/>
                <w:sz w:val="21"/>
                <w:szCs w:val="21"/>
                <w:lang w:val="en-US" w:eastAsia="zh-CN"/>
              </w:rPr>
              <w:t xml:space="preserve"> </w:t>
            </w:r>
            <w:r>
              <w:rPr>
                <w:rFonts w:hint="eastAsia" w:ascii="仿宋_GB2312" w:eastAsia="仿宋_GB2312" w:cs="仿宋_GB2312"/>
                <w:spacing w:val="11"/>
                <w:sz w:val="21"/>
                <w:szCs w:val="21"/>
              </w:rPr>
              <w:t>20769 或</w:t>
            </w:r>
          </w:p>
          <w:p>
            <w:pPr>
              <w:spacing w:line="240" w:lineRule="auto"/>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rPr>
              <w:t>GB</w:t>
            </w:r>
            <w:r>
              <w:rPr>
                <w:rFonts w:hint="eastAsia" w:ascii="仿宋_GB2312" w:eastAsia="仿宋_GB2312" w:cs="仿宋_GB2312"/>
                <w:spacing w:val="11"/>
                <w:sz w:val="21"/>
                <w:szCs w:val="21"/>
                <w:lang w:val="en-US" w:eastAsia="zh-CN"/>
              </w:rPr>
              <w:t xml:space="preserve"> </w:t>
            </w:r>
            <w:r>
              <w:rPr>
                <w:rFonts w:hint="eastAsia" w:ascii="仿宋_GB2312" w:eastAsia="仿宋_GB2312" w:cs="仿宋_GB2312"/>
                <w:spacing w:val="11"/>
                <w:sz w:val="21"/>
                <w:szCs w:val="21"/>
              </w:rPr>
              <w:t>23200.113 或GB</w:t>
            </w:r>
            <w:r>
              <w:rPr>
                <w:rFonts w:hint="eastAsia" w:ascii="仿宋_GB2312" w:eastAsia="仿宋_GB2312" w:cs="仿宋_GB2312"/>
                <w:spacing w:val="11"/>
                <w:sz w:val="21"/>
                <w:szCs w:val="21"/>
                <w:lang w:val="en-US" w:eastAsia="zh-CN"/>
              </w:rPr>
              <w:t xml:space="preserve"> </w:t>
            </w:r>
            <w:r>
              <w:rPr>
                <w:rFonts w:hint="eastAsia" w:ascii="仿宋_GB2312" w:eastAsia="仿宋_GB2312" w:cs="仿宋_GB2312"/>
                <w:spacing w:val="11"/>
                <w:sz w:val="21"/>
                <w:szCs w:val="21"/>
              </w:rPr>
              <w:t>23200.121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jc w:val="center"/>
        </w:trPr>
        <w:tc>
          <w:tcPr>
            <w:tcW w:w="6291" w:type="dxa"/>
            <w:noWrap w:val="0"/>
            <w:vAlign w:val="top"/>
          </w:tcPr>
          <w:p>
            <w:pPr>
              <w:spacing w:line="240" w:lineRule="auto"/>
              <w:ind w:firstLine="464" w:firstLineChars="200"/>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rPr>
              <w:t>限用农药：氟虫腈（包括氟甲腈、氟虫腈硫醚、氟虫腈砜)</w:t>
            </w:r>
            <w:r>
              <w:rPr>
                <w:rFonts w:hint="eastAsia" w:ascii="仿宋_GB2312" w:eastAsia="仿宋_GB2312" w:cs="仿宋_GB2312"/>
                <w:spacing w:val="11"/>
                <w:sz w:val="21"/>
                <w:szCs w:val="21"/>
                <w:lang w:eastAsia="zh-CN"/>
              </w:rPr>
              <w:t>、</w:t>
            </w:r>
            <w:r>
              <w:rPr>
                <w:rFonts w:hint="eastAsia" w:ascii="仿宋_GB2312" w:eastAsia="仿宋_GB2312" w:cs="仿宋_GB2312"/>
                <w:spacing w:val="11"/>
                <w:sz w:val="21"/>
                <w:szCs w:val="21"/>
              </w:rPr>
              <w:t>氯唑磷</w:t>
            </w:r>
          </w:p>
          <w:p>
            <w:pPr>
              <w:spacing w:line="240" w:lineRule="auto"/>
              <w:ind w:firstLine="464" w:firstLineChars="200"/>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rPr>
              <w:t>常规农药：多菌灵、吡虫啉</w:t>
            </w:r>
            <w:r>
              <w:rPr>
                <w:rFonts w:hint="eastAsia" w:ascii="仿宋_GB2312" w:eastAsia="仿宋_GB2312" w:cs="仿宋_GB2312"/>
                <w:spacing w:val="11"/>
                <w:sz w:val="21"/>
                <w:szCs w:val="21"/>
                <w:lang w:eastAsia="zh-CN"/>
              </w:rPr>
              <w:t>、</w:t>
            </w:r>
            <w:r>
              <w:rPr>
                <w:rFonts w:hint="eastAsia" w:ascii="仿宋_GB2312" w:eastAsia="仿宋_GB2312" w:cs="仿宋_GB2312"/>
                <w:spacing w:val="11"/>
                <w:sz w:val="21"/>
                <w:szCs w:val="21"/>
              </w:rPr>
              <w:t>啶虫脒、哒螨灵、苯醚甲环唑、嘧霉胺、甲氨基阿维菌素苯甲酸盐、烯酰吗啉、咪鲜胺、嘧菌酯、二甲戊乐灵、噻虫嗪、氟啶脲、灭幼脲、甲霜灵、霜霉威、多效唑、氯吡脲、氯虫苯甲酰胺、醚菊酯、虫酰肼、吡唑醚菌酯、腈菌唑、咪唑菌酮、三唑醇、氰霜唑（氰霜唑代谢物）、噻螨酮、茚虫威、唑螨酯、虱螨脲、戊唑醇、烯肟菌酯、烯效唑</w:t>
            </w:r>
          </w:p>
        </w:tc>
        <w:tc>
          <w:tcPr>
            <w:tcW w:w="3001" w:type="dxa"/>
            <w:noWrap w:val="0"/>
            <w:vAlign w:val="center"/>
          </w:tcPr>
          <w:p>
            <w:pPr>
              <w:spacing w:line="240" w:lineRule="auto"/>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rPr>
              <w:t>GB/T</w:t>
            </w:r>
            <w:r>
              <w:rPr>
                <w:rFonts w:hint="eastAsia" w:ascii="仿宋_GB2312" w:eastAsia="仿宋_GB2312" w:cs="仿宋_GB2312"/>
                <w:spacing w:val="11"/>
                <w:sz w:val="21"/>
                <w:szCs w:val="21"/>
                <w:lang w:val="en-US" w:eastAsia="zh-CN"/>
              </w:rPr>
              <w:t xml:space="preserve"> </w:t>
            </w:r>
            <w:r>
              <w:rPr>
                <w:rFonts w:hint="eastAsia" w:ascii="仿宋_GB2312" w:eastAsia="仿宋_GB2312" w:cs="仿宋_GB2312"/>
                <w:spacing w:val="11"/>
                <w:sz w:val="21"/>
                <w:szCs w:val="21"/>
              </w:rPr>
              <w:t>20769或GB</w:t>
            </w:r>
            <w:r>
              <w:rPr>
                <w:rFonts w:hint="eastAsia" w:ascii="仿宋_GB2312" w:eastAsia="仿宋_GB2312" w:cs="仿宋_GB2312"/>
                <w:spacing w:val="11"/>
                <w:sz w:val="21"/>
                <w:szCs w:val="21"/>
                <w:lang w:val="en-US" w:eastAsia="zh-CN"/>
              </w:rPr>
              <w:t xml:space="preserve"> </w:t>
            </w:r>
            <w:r>
              <w:rPr>
                <w:rFonts w:hint="eastAsia" w:ascii="仿宋_GB2312" w:eastAsia="仿宋_GB2312" w:cs="仿宋_GB2312"/>
                <w:spacing w:val="11"/>
                <w:sz w:val="21"/>
                <w:szCs w:val="21"/>
              </w:rPr>
              <w:t>23200.8 或GB</w:t>
            </w:r>
            <w:r>
              <w:rPr>
                <w:rFonts w:hint="eastAsia" w:ascii="仿宋_GB2312" w:eastAsia="仿宋_GB2312" w:cs="仿宋_GB2312"/>
                <w:spacing w:val="11"/>
                <w:sz w:val="21"/>
                <w:szCs w:val="21"/>
                <w:lang w:val="en-US" w:eastAsia="zh-CN"/>
              </w:rPr>
              <w:t xml:space="preserve"> </w:t>
            </w:r>
            <w:r>
              <w:rPr>
                <w:rFonts w:hint="eastAsia" w:ascii="仿宋_GB2312" w:eastAsia="仿宋_GB2312" w:cs="仿宋_GB2312"/>
                <w:spacing w:val="11"/>
                <w:sz w:val="21"/>
                <w:szCs w:val="21"/>
              </w:rPr>
              <w:t>23200.113 或GB</w:t>
            </w:r>
            <w:r>
              <w:rPr>
                <w:rFonts w:hint="eastAsia" w:ascii="仿宋_GB2312" w:eastAsia="仿宋_GB2312" w:cs="仿宋_GB2312"/>
                <w:spacing w:val="11"/>
                <w:sz w:val="21"/>
                <w:szCs w:val="21"/>
                <w:lang w:val="en-US" w:eastAsia="zh-CN"/>
              </w:rPr>
              <w:t xml:space="preserve"> </w:t>
            </w:r>
            <w:r>
              <w:rPr>
                <w:rFonts w:hint="eastAsia" w:ascii="仿宋_GB2312" w:eastAsia="仿宋_GB2312" w:cs="仿宋_GB2312"/>
                <w:spacing w:val="11"/>
                <w:sz w:val="21"/>
                <w:szCs w:val="21"/>
              </w:rPr>
              <w:t>23200.121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291" w:type="dxa"/>
            <w:noWrap w:val="0"/>
            <w:vAlign w:val="center"/>
          </w:tcPr>
          <w:p>
            <w:pPr>
              <w:spacing w:line="240" w:lineRule="auto"/>
              <w:ind w:firstLine="464" w:firstLineChars="200"/>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rPr>
              <w:t>常规农药：阿维菌素</w:t>
            </w:r>
          </w:p>
        </w:tc>
        <w:tc>
          <w:tcPr>
            <w:tcW w:w="3001"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rPr>
              <w:t>GB</w:t>
            </w:r>
            <w:r>
              <w:rPr>
                <w:rFonts w:hint="eastAsia" w:ascii="仿宋_GB2312" w:eastAsia="仿宋_GB2312" w:cs="仿宋_GB2312"/>
                <w:spacing w:val="11"/>
                <w:sz w:val="21"/>
                <w:szCs w:val="21"/>
                <w:lang w:val="en-US" w:eastAsia="zh-CN"/>
              </w:rPr>
              <w:t xml:space="preserve"> </w:t>
            </w:r>
            <w:r>
              <w:rPr>
                <w:rFonts w:hint="eastAsia" w:ascii="仿宋_GB2312" w:eastAsia="仿宋_GB2312" w:cs="仿宋_GB2312"/>
                <w:spacing w:val="11"/>
                <w:sz w:val="21"/>
                <w:szCs w:val="21"/>
              </w:rPr>
              <w:t>23200.19或GB 23200.121</w:t>
            </w:r>
            <w:r>
              <w:rPr>
                <w:rFonts w:hint="eastAsia" w:ascii="仿宋_GB2312" w:eastAsia="仿宋_GB2312" w:cs="仿宋_GB2312"/>
                <w:spacing w:val="11"/>
                <w:sz w:val="21"/>
                <w:szCs w:val="21"/>
                <w:lang w:eastAsia="zh-CN"/>
              </w:rPr>
              <w:t>或</w:t>
            </w:r>
            <w:r>
              <w:rPr>
                <w:rFonts w:hint="eastAsia" w:ascii="仿宋_GB2312" w:eastAsia="仿宋_GB2312" w:cs="仿宋_GB2312"/>
                <w:spacing w:val="11"/>
                <w:sz w:val="21"/>
                <w:szCs w:val="21"/>
              </w:rPr>
              <w:t>NY/T 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291" w:type="dxa"/>
            <w:noWrap w:val="0"/>
            <w:vAlign w:val="center"/>
          </w:tcPr>
          <w:p>
            <w:pPr>
              <w:spacing w:line="240" w:lineRule="auto"/>
              <w:ind w:firstLine="464" w:firstLineChars="200"/>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rPr>
              <w:t>常规农药：除虫脲</w:t>
            </w:r>
          </w:p>
        </w:tc>
        <w:tc>
          <w:tcPr>
            <w:tcW w:w="3001"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rPr>
              <w:t>GB/T</w:t>
            </w:r>
            <w:r>
              <w:rPr>
                <w:rFonts w:hint="eastAsia" w:ascii="仿宋_GB2312" w:eastAsia="仿宋_GB2312" w:cs="仿宋_GB2312"/>
                <w:spacing w:val="11"/>
                <w:sz w:val="21"/>
                <w:szCs w:val="21"/>
                <w:lang w:val="en-US" w:eastAsia="zh-CN"/>
              </w:rPr>
              <w:t xml:space="preserve"> </w:t>
            </w:r>
            <w:r>
              <w:rPr>
                <w:rFonts w:hint="eastAsia" w:ascii="仿宋_GB2312" w:eastAsia="仿宋_GB2312" w:cs="仿宋_GB2312"/>
                <w:spacing w:val="11"/>
                <w:sz w:val="21"/>
                <w:szCs w:val="21"/>
              </w:rPr>
              <w:t>5009.147或GB</w:t>
            </w:r>
            <w:r>
              <w:rPr>
                <w:rFonts w:hint="eastAsia" w:ascii="仿宋_GB2312" w:eastAsia="仿宋_GB2312" w:cs="仿宋_GB2312"/>
                <w:spacing w:val="11"/>
                <w:sz w:val="21"/>
                <w:szCs w:val="21"/>
                <w:lang w:val="en-US" w:eastAsia="zh-CN"/>
              </w:rPr>
              <w:t xml:space="preserve"> </w:t>
            </w:r>
            <w:r>
              <w:rPr>
                <w:rFonts w:hint="eastAsia" w:ascii="仿宋_GB2312" w:eastAsia="仿宋_GB2312" w:cs="仿宋_GB2312"/>
                <w:spacing w:val="11"/>
                <w:sz w:val="21"/>
                <w:szCs w:val="21"/>
              </w:rPr>
              <w:t>23200.121</w:t>
            </w:r>
            <w:r>
              <w:rPr>
                <w:rFonts w:hint="eastAsia" w:ascii="仿宋_GB2312" w:eastAsia="仿宋_GB2312" w:cs="仿宋_GB2312"/>
                <w:spacing w:val="11"/>
                <w:sz w:val="21"/>
                <w:szCs w:val="21"/>
                <w:lang w:eastAsia="zh-CN"/>
              </w:rPr>
              <w:t>或NY/T 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291" w:type="dxa"/>
            <w:noWrap w:val="0"/>
            <w:vAlign w:val="center"/>
          </w:tcPr>
          <w:p>
            <w:pPr>
              <w:spacing w:line="240" w:lineRule="auto"/>
              <w:ind w:firstLine="464" w:firstLineChars="200"/>
              <w:jc w:val="left"/>
              <w:rPr>
                <w:rFonts w:hint="default" w:ascii="仿宋_GB2312" w:eastAsia="仿宋_GB2312" w:cs="仿宋_GB2312"/>
                <w:spacing w:val="11"/>
                <w:sz w:val="21"/>
                <w:szCs w:val="21"/>
                <w:lang w:val="en-US" w:eastAsia="zh-CN"/>
              </w:rPr>
            </w:pPr>
            <w:r>
              <w:rPr>
                <w:rFonts w:hint="eastAsia" w:ascii="仿宋_GB2312" w:eastAsia="仿宋_GB2312" w:cs="仿宋_GB2312"/>
                <w:spacing w:val="11"/>
                <w:sz w:val="21"/>
                <w:szCs w:val="21"/>
                <w:lang w:eastAsia="zh-CN"/>
              </w:rPr>
              <w:t>常规农药：百菌清</w:t>
            </w:r>
          </w:p>
        </w:tc>
        <w:tc>
          <w:tcPr>
            <w:tcW w:w="3001" w:type="dxa"/>
            <w:noWrap w:val="0"/>
            <w:vAlign w:val="center"/>
          </w:tcPr>
          <w:p>
            <w:pPr>
              <w:spacing w:line="240" w:lineRule="auto"/>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rPr>
              <w:t>NY/T</w:t>
            </w:r>
            <w:r>
              <w:rPr>
                <w:rFonts w:hint="eastAsia" w:ascii="仿宋_GB2312" w:eastAsia="仿宋_GB2312" w:cs="仿宋_GB2312"/>
                <w:spacing w:val="11"/>
                <w:sz w:val="21"/>
                <w:szCs w:val="21"/>
                <w:lang w:val="en-US" w:eastAsia="zh-CN"/>
              </w:rPr>
              <w:t xml:space="preserve"> </w:t>
            </w:r>
            <w:r>
              <w:rPr>
                <w:rFonts w:hint="eastAsia" w:ascii="仿宋_GB2312" w:eastAsia="仿宋_GB2312" w:cs="仿宋_GB2312"/>
                <w:spacing w:val="11"/>
                <w:sz w:val="21"/>
                <w:szCs w:val="21"/>
              </w:rPr>
              <w: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291" w:type="dxa"/>
            <w:noWrap w:val="0"/>
            <w:vAlign w:val="center"/>
          </w:tcPr>
          <w:p>
            <w:pPr>
              <w:spacing w:line="240" w:lineRule="auto"/>
              <w:ind w:firstLine="464" w:firstLineChars="200"/>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lang w:eastAsia="zh-CN"/>
              </w:rPr>
              <w:t>常规农药：</w:t>
            </w:r>
            <w:r>
              <w:rPr>
                <w:rFonts w:hint="eastAsia" w:ascii="仿宋_GB2312" w:eastAsia="仿宋_GB2312" w:cs="仿宋_GB2312"/>
                <w:spacing w:val="11"/>
                <w:sz w:val="21"/>
                <w:szCs w:val="21"/>
              </w:rPr>
              <w:t>虫螨腈</w:t>
            </w:r>
          </w:p>
        </w:tc>
        <w:tc>
          <w:tcPr>
            <w:tcW w:w="3001"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rPr>
              <w:t>GB</w:t>
            </w:r>
            <w:r>
              <w:rPr>
                <w:rFonts w:hint="eastAsia" w:ascii="仿宋_GB2312" w:eastAsia="仿宋_GB2312" w:cs="仿宋_GB2312"/>
                <w:spacing w:val="11"/>
                <w:sz w:val="21"/>
                <w:szCs w:val="21"/>
                <w:lang w:val="en-US" w:eastAsia="zh-CN"/>
              </w:rPr>
              <w:t xml:space="preserve"> </w:t>
            </w:r>
            <w:r>
              <w:rPr>
                <w:rFonts w:hint="eastAsia" w:ascii="仿宋_GB2312" w:eastAsia="仿宋_GB2312" w:cs="仿宋_GB2312"/>
                <w:spacing w:val="11"/>
                <w:sz w:val="21"/>
                <w:szCs w:val="21"/>
              </w:rPr>
              <w:t xml:space="preserve">23200.8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291" w:type="dxa"/>
            <w:noWrap w:val="0"/>
            <w:vAlign w:val="center"/>
          </w:tcPr>
          <w:p>
            <w:pPr>
              <w:spacing w:line="240" w:lineRule="auto"/>
              <w:ind w:firstLine="464" w:firstLineChars="200"/>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常规农药：</w:t>
            </w:r>
            <w:r>
              <w:rPr>
                <w:rFonts w:hint="eastAsia" w:ascii="仿宋_GB2312" w:eastAsia="仿宋_GB2312" w:cs="仿宋_GB2312"/>
                <w:spacing w:val="11"/>
                <w:sz w:val="21"/>
                <w:szCs w:val="21"/>
              </w:rPr>
              <w:t>灭蝇胺</w:t>
            </w:r>
          </w:p>
        </w:tc>
        <w:tc>
          <w:tcPr>
            <w:tcW w:w="3001"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rPr>
              <w:t>GB/T</w:t>
            </w:r>
            <w:r>
              <w:rPr>
                <w:rFonts w:hint="eastAsia" w:ascii="仿宋_GB2312" w:eastAsia="仿宋_GB2312" w:cs="仿宋_GB2312"/>
                <w:spacing w:val="11"/>
                <w:sz w:val="21"/>
                <w:szCs w:val="21"/>
                <w:lang w:val="en-US" w:eastAsia="zh-CN"/>
              </w:rPr>
              <w:t xml:space="preserve"> </w:t>
            </w:r>
            <w:r>
              <w:rPr>
                <w:rFonts w:hint="eastAsia" w:ascii="仿宋_GB2312" w:eastAsia="仿宋_GB2312" w:cs="仿宋_GB2312"/>
                <w:spacing w:val="11"/>
                <w:sz w:val="21"/>
                <w:szCs w:val="21"/>
              </w:rPr>
              <w:t>20769</w:t>
            </w:r>
            <w:r>
              <w:rPr>
                <w:rFonts w:hint="eastAsia" w:ascii="仿宋_GB2312" w:eastAsia="仿宋_GB2312" w:cs="仿宋_GB2312"/>
                <w:spacing w:val="11"/>
                <w:sz w:val="21"/>
                <w:szCs w:val="21"/>
                <w:lang w:eastAsia="zh-CN"/>
              </w:rPr>
              <w:t>或NY/T 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291" w:type="dxa"/>
            <w:noWrap w:val="0"/>
            <w:vAlign w:val="center"/>
          </w:tcPr>
          <w:p>
            <w:pPr>
              <w:spacing w:line="240" w:lineRule="auto"/>
              <w:ind w:firstLine="464" w:firstLineChars="200"/>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限用</w:t>
            </w:r>
            <w:r>
              <w:rPr>
                <w:rFonts w:hint="eastAsia" w:ascii="仿宋_GB2312" w:eastAsia="仿宋_GB2312" w:cs="仿宋_GB2312"/>
                <w:spacing w:val="11"/>
                <w:sz w:val="21"/>
                <w:szCs w:val="21"/>
              </w:rPr>
              <w:t>农药：</w:t>
            </w:r>
            <w:r>
              <w:rPr>
                <w:rFonts w:hint="eastAsia" w:ascii="仿宋_GB2312" w:eastAsia="仿宋_GB2312" w:cs="仿宋_GB2312"/>
                <w:spacing w:val="11"/>
                <w:sz w:val="21"/>
                <w:szCs w:val="21"/>
                <w:lang w:eastAsia="zh-CN"/>
              </w:rPr>
              <w:t>丁硫克百威</w:t>
            </w:r>
          </w:p>
        </w:tc>
        <w:tc>
          <w:tcPr>
            <w:tcW w:w="3001" w:type="dxa"/>
            <w:noWrap w:val="0"/>
            <w:vAlign w:val="center"/>
          </w:tcPr>
          <w:p>
            <w:pPr>
              <w:spacing w:line="240" w:lineRule="auto"/>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lang w:val="en-US" w:eastAsia="zh-CN"/>
              </w:rPr>
              <w:t>GB 23200.13或GB/T 23204</w:t>
            </w:r>
          </w:p>
        </w:tc>
      </w:tr>
    </w:tbl>
    <w:p>
      <w:pPr>
        <w:spacing w:line="240" w:lineRule="auto"/>
        <w:ind w:firstLine="466" w:firstLineChars="200"/>
        <w:jc w:val="left"/>
        <w:rPr>
          <w:rFonts w:hint="eastAsia" w:ascii="仿宋_GB2312" w:eastAsia="仿宋_GB2312" w:cs="仿宋_GB2312"/>
          <w:b/>
          <w:bCs/>
          <w:spacing w:val="11"/>
          <w:sz w:val="21"/>
          <w:szCs w:val="21"/>
        </w:rPr>
      </w:pPr>
      <w:r>
        <w:rPr>
          <w:rFonts w:hint="eastAsia" w:ascii="仿宋_GB2312" w:eastAsia="仿宋_GB2312" w:cs="仿宋_GB2312"/>
          <w:b/>
          <w:bCs/>
          <w:spacing w:val="11"/>
          <w:sz w:val="21"/>
          <w:szCs w:val="21"/>
        </w:rPr>
        <w:t>（2）判定依据</w:t>
      </w:r>
    </w:p>
    <w:p>
      <w:pPr>
        <w:spacing w:line="240" w:lineRule="auto"/>
        <w:ind w:firstLine="464" w:firstLineChars="200"/>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rPr>
        <w:t>检测结果按GB 2763-2021</w:t>
      </w:r>
      <w:r>
        <w:rPr>
          <w:rFonts w:hint="eastAsia" w:ascii="仿宋_GB2312" w:eastAsia="仿宋_GB2312" w:cs="仿宋_GB2312"/>
          <w:spacing w:val="11"/>
          <w:sz w:val="21"/>
          <w:szCs w:val="21"/>
          <w:lang w:eastAsia="zh-CN"/>
        </w:rPr>
        <w:t>和</w:t>
      </w:r>
      <w:r>
        <w:rPr>
          <w:rFonts w:hint="eastAsia" w:ascii="仿宋_GB2312" w:eastAsia="仿宋_GB2312" w:cs="仿宋_GB2312"/>
          <w:spacing w:val="11"/>
          <w:sz w:val="21"/>
          <w:szCs w:val="21"/>
          <w:lang w:val="en-US" w:eastAsia="zh-CN"/>
        </w:rPr>
        <w:t>GB2763.1-2022</w:t>
      </w:r>
      <w:r>
        <w:rPr>
          <w:rFonts w:hint="eastAsia" w:ascii="仿宋_GB2312" w:eastAsia="仿宋_GB2312" w:cs="仿宋_GB2312"/>
          <w:spacing w:val="11"/>
          <w:sz w:val="21"/>
          <w:szCs w:val="21"/>
        </w:rPr>
        <w:t>的要求进行判定，所监测项目全部合格者，判定为“该产品所检项目符合GB 2763-2021</w:t>
      </w:r>
      <w:r>
        <w:rPr>
          <w:rFonts w:hint="eastAsia" w:ascii="仿宋_GB2312" w:eastAsia="仿宋_GB2312" w:cs="仿宋_GB2312"/>
          <w:spacing w:val="11"/>
          <w:sz w:val="21"/>
          <w:szCs w:val="21"/>
          <w:lang w:eastAsia="zh-CN"/>
        </w:rPr>
        <w:t>和</w:t>
      </w:r>
      <w:r>
        <w:rPr>
          <w:rFonts w:hint="eastAsia" w:ascii="仿宋_GB2312" w:eastAsia="仿宋_GB2312" w:cs="仿宋_GB2312"/>
          <w:spacing w:val="11"/>
          <w:sz w:val="21"/>
          <w:szCs w:val="21"/>
          <w:lang w:val="en-US" w:eastAsia="zh-CN"/>
        </w:rPr>
        <w:t>GB2763.1-2022</w:t>
      </w:r>
      <w:r>
        <w:rPr>
          <w:rFonts w:hint="eastAsia" w:ascii="仿宋_GB2312" w:eastAsia="仿宋_GB2312" w:cs="仿宋_GB2312"/>
          <w:spacing w:val="11"/>
          <w:sz w:val="21"/>
          <w:szCs w:val="21"/>
        </w:rPr>
        <w:t>的要求”；有一项指标不合格者，即判定为“该产品不合格”。</w:t>
      </w:r>
    </w:p>
    <w:p>
      <w:pPr>
        <w:spacing w:line="240" w:lineRule="auto"/>
        <w:ind w:firstLine="466" w:firstLineChars="200"/>
        <w:jc w:val="left"/>
        <w:rPr>
          <w:rFonts w:hint="eastAsia" w:ascii="仿宋_GB2312" w:eastAsia="仿宋_GB2312" w:cs="仿宋_GB2312"/>
          <w:b/>
          <w:bCs/>
          <w:spacing w:val="11"/>
          <w:sz w:val="21"/>
          <w:szCs w:val="21"/>
        </w:rPr>
      </w:pPr>
      <w:r>
        <w:rPr>
          <w:rFonts w:hint="eastAsia" w:ascii="仿宋_GB2312" w:eastAsia="仿宋_GB2312" w:cs="仿宋_GB2312"/>
          <w:b/>
          <w:bCs/>
          <w:spacing w:val="11"/>
          <w:sz w:val="21"/>
          <w:szCs w:val="21"/>
        </w:rPr>
        <w:t>2.茶叶</w:t>
      </w:r>
    </w:p>
    <w:p>
      <w:pPr>
        <w:spacing w:line="240" w:lineRule="auto"/>
        <w:ind w:firstLine="466" w:firstLineChars="200"/>
        <w:jc w:val="left"/>
        <w:rPr>
          <w:rFonts w:hint="eastAsia" w:ascii="仿宋_GB2312" w:eastAsia="仿宋_GB2312" w:cs="仿宋_GB2312"/>
          <w:b/>
          <w:bCs/>
          <w:spacing w:val="11"/>
          <w:sz w:val="21"/>
          <w:szCs w:val="21"/>
        </w:rPr>
      </w:pPr>
      <w:r>
        <w:rPr>
          <w:rFonts w:hint="eastAsia" w:ascii="仿宋_GB2312" w:eastAsia="仿宋_GB2312" w:cs="仿宋_GB2312"/>
          <w:b/>
          <w:bCs/>
          <w:spacing w:val="11"/>
          <w:sz w:val="21"/>
          <w:szCs w:val="21"/>
        </w:rPr>
        <w:t>（1）检测方法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6"/>
        <w:gridCol w:w="3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exact"/>
          <w:jc w:val="center"/>
        </w:trPr>
        <w:tc>
          <w:tcPr>
            <w:tcW w:w="520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466" w:firstLineChars="200"/>
              <w:jc w:val="center"/>
              <w:rPr>
                <w:rFonts w:hint="eastAsia" w:ascii="仿宋_GB2312" w:eastAsia="仿宋_GB2312" w:cs="仿宋_GB2312"/>
                <w:b/>
                <w:bCs/>
                <w:spacing w:val="11"/>
                <w:sz w:val="21"/>
                <w:szCs w:val="21"/>
                <w:lang w:val="en-US" w:eastAsia="zh-CN"/>
              </w:rPr>
            </w:pPr>
            <w:r>
              <w:rPr>
                <w:rFonts w:hint="eastAsia" w:ascii="仿宋_GB2312" w:eastAsia="仿宋_GB2312" w:cs="仿宋_GB2312"/>
                <w:b/>
                <w:bCs/>
                <w:spacing w:val="11"/>
                <w:sz w:val="21"/>
                <w:szCs w:val="21"/>
                <w:lang w:eastAsia="zh-CN"/>
              </w:rPr>
              <w:t>检测参数</w:t>
            </w:r>
          </w:p>
        </w:tc>
        <w:tc>
          <w:tcPr>
            <w:tcW w:w="383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466" w:firstLineChars="200"/>
              <w:jc w:val="center"/>
              <w:rPr>
                <w:rFonts w:hint="eastAsia" w:ascii="仿宋_GB2312" w:eastAsia="仿宋_GB2312" w:cs="仿宋_GB2312"/>
                <w:b/>
                <w:bCs/>
                <w:spacing w:val="11"/>
                <w:sz w:val="21"/>
                <w:szCs w:val="21"/>
                <w:lang w:val="en-US" w:eastAsia="zh-CN"/>
              </w:rPr>
            </w:pPr>
            <w:r>
              <w:rPr>
                <w:rFonts w:hint="eastAsia" w:ascii="仿宋_GB2312" w:eastAsia="仿宋_GB2312" w:cs="仿宋_GB2312"/>
                <w:b/>
                <w:bCs/>
                <w:spacing w:val="11"/>
                <w:sz w:val="21"/>
                <w:szCs w:val="21"/>
                <w:lang w:val="en-US" w:eastAsia="zh-CN"/>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2" w:hRule="exact"/>
          <w:jc w:val="center"/>
        </w:trPr>
        <w:tc>
          <w:tcPr>
            <w:tcW w:w="5206" w:type="dxa"/>
            <w:tcBorders>
              <w:top w:val="single" w:color="auto" w:sz="4" w:space="0"/>
              <w:left w:val="single" w:color="auto" w:sz="4" w:space="0"/>
              <w:right w:val="single" w:color="auto" w:sz="4" w:space="0"/>
            </w:tcBorders>
            <w:noWrap w:val="0"/>
            <w:vAlign w:val="center"/>
          </w:tcPr>
          <w:p>
            <w:pPr>
              <w:spacing w:line="240" w:lineRule="auto"/>
              <w:jc w:val="left"/>
              <w:rPr>
                <w:rFonts w:hint="default"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禁用农药：</w:t>
            </w:r>
            <w:r>
              <w:rPr>
                <w:rFonts w:hint="eastAsia" w:ascii="仿宋_GB2312" w:eastAsia="仿宋_GB2312" w:cs="仿宋_GB2312"/>
                <w:spacing w:val="11"/>
                <w:sz w:val="21"/>
                <w:szCs w:val="21"/>
              </w:rPr>
              <w:t>六六六、滴滴涕(DDT)</w:t>
            </w:r>
            <w:r>
              <w:rPr>
                <w:rFonts w:hint="eastAsia" w:ascii="仿宋_GB2312" w:eastAsia="仿宋_GB2312" w:cs="仿宋_GB2312"/>
                <w:spacing w:val="11"/>
                <w:sz w:val="21"/>
                <w:szCs w:val="21"/>
                <w:lang w:eastAsia="zh-CN"/>
              </w:rPr>
              <w:t>、水胺硫磷、硫丹</w:t>
            </w:r>
          </w:p>
          <w:p>
            <w:pPr>
              <w:spacing w:line="240" w:lineRule="auto"/>
              <w:jc w:val="left"/>
              <w:rPr>
                <w:rFonts w:hint="eastAsia" w:ascii="仿宋_GB2312" w:eastAsia="仿宋_GB2312" w:cs="仿宋_GB2312"/>
                <w:spacing w:val="11"/>
                <w:sz w:val="21"/>
                <w:szCs w:val="21"/>
                <w:lang w:val="en-US" w:eastAsia="zh-CN"/>
              </w:rPr>
            </w:pPr>
            <w:r>
              <w:rPr>
                <w:rFonts w:hint="eastAsia" w:ascii="仿宋_GB2312" w:eastAsia="仿宋_GB2312" w:cs="仿宋_GB2312"/>
                <w:spacing w:val="11"/>
                <w:sz w:val="21"/>
                <w:szCs w:val="21"/>
              </w:rPr>
              <w:t>限用农药</w:t>
            </w:r>
            <w:r>
              <w:rPr>
                <w:rFonts w:hint="eastAsia" w:ascii="仿宋_GB2312" w:eastAsia="仿宋_GB2312" w:cs="仿宋_GB2312"/>
                <w:spacing w:val="11"/>
                <w:sz w:val="21"/>
                <w:szCs w:val="21"/>
                <w:lang w:eastAsia="zh-CN"/>
              </w:rPr>
              <w:t>：</w:t>
            </w:r>
            <w:r>
              <w:rPr>
                <w:rFonts w:hint="eastAsia" w:ascii="仿宋_GB2312" w:eastAsia="仿宋_GB2312" w:cs="仿宋_GB2312"/>
                <w:spacing w:val="11"/>
                <w:sz w:val="21"/>
                <w:szCs w:val="21"/>
              </w:rPr>
              <w:t>氰戊菊酯</w:t>
            </w:r>
          </w:p>
          <w:p>
            <w:pPr>
              <w:spacing w:line="240" w:lineRule="auto"/>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rPr>
              <w:t>常规农药</w:t>
            </w:r>
            <w:r>
              <w:rPr>
                <w:rFonts w:hint="eastAsia" w:ascii="仿宋_GB2312" w:eastAsia="仿宋_GB2312" w:cs="仿宋_GB2312"/>
                <w:spacing w:val="11"/>
                <w:sz w:val="21"/>
                <w:szCs w:val="21"/>
                <w:lang w:eastAsia="zh-CN"/>
              </w:rPr>
              <w:t>：</w:t>
            </w:r>
            <w:r>
              <w:rPr>
                <w:rFonts w:hint="eastAsia" w:ascii="仿宋_GB2312" w:eastAsia="仿宋_GB2312" w:cs="仿宋_GB2312"/>
                <w:spacing w:val="11"/>
                <w:sz w:val="21"/>
                <w:szCs w:val="21"/>
              </w:rPr>
              <w:t>联苯菊酯、氯氰菊酯、溴氰菊酯、氟氰戊菊酯、氯菊酯、氯氟氰菊酯、甲氰菊酯</w:t>
            </w:r>
          </w:p>
        </w:tc>
        <w:tc>
          <w:tcPr>
            <w:tcW w:w="383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464" w:firstLineChars="200"/>
              <w:jc w:val="left"/>
              <w:rPr>
                <w:rFonts w:hint="eastAsia"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ab/>
            </w:r>
          </w:p>
          <w:p>
            <w:pPr>
              <w:spacing w:line="240" w:lineRule="auto"/>
              <w:jc w:val="left"/>
              <w:rPr>
                <w:rFonts w:hint="eastAsia" w:ascii="仿宋_GB2312" w:eastAsia="仿宋_GB2312" w:cs="仿宋_GB2312"/>
                <w:spacing w:val="11"/>
                <w:sz w:val="21"/>
                <w:szCs w:val="21"/>
                <w:lang w:val="en-US" w:eastAsia="zh-CN"/>
              </w:rPr>
            </w:pPr>
            <w:r>
              <w:rPr>
                <w:rFonts w:hint="eastAsia" w:ascii="仿宋_GB2312" w:eastAsia="仿宋_GB2312" w:cs="仿宋_GB2312"/>
                <w:spacing w:val="11"/>
                <w:sz w:val="21"/>
                <w:szCs w:val="21"/>
              </w:rPr>
              <w:t>GB/T 23204</w:t>
            </w:r>
            <w:r>
              <w:rPr>
                <w:rFonts w:hint="eastAsia" w:ascii="仿宋_GB2312" w:eastAsia="仿宋_GB2312" w:cs="仿宋_GB2312"/>
                <w:spacing w:val="11"/>
                <w:sz w:val="21"/>
                <w:szCs w:val="21"/>
                <w:lang w:eastAsia="zh-CN"/>
              </w:rPr>
              <w:t>或</w:t>
            </w:r>
            <w:r>
              <w:rPr>
                <w:rFonts w:hint="eastAsia" w:ascii="仿宋_GB2312" w:eastAsia="仿宋_GB2312" w:cs="仿宋_GB2312"/>
                <w:spacing w:val="11"/>
                <w:sz w:val="21"/>
                <w:szCs w:val="21"/>
                <w:lang w:val="en-US" w:eastAsia="zh-CN"/>
              </w:rPr>
              <w:t>GB23200.113或GB/T 23376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520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rPr>
              <w:t>禁用农药</w:t>
            </w:r>
            <w:r>
              <w:rPr>
                <w:rFonts w:hint="eastAsia" w:ascii="仿宋_GB2312" w:eastAsia="仿宋_GB2312" w:cs="仿宋_GB2312"/>
                <w:spacing w:val="11"/>
                <w:sz w:val="21"/>
                <w:szCs w:val="21"/>
                <w:lang w:eastAsia="zh-CN"/>
              </w:rPr>
              <w:t>：</w:t>
            </w:r>
            <w:r>
              <w:rPr>
                <w:rFonts w:hint="eastAsia" w:ascii="仿宋_GB2312" w:eastAsia="仿宋_GB2312" w:cs="仿宋_GB2312"/>
                <w:spacing w:val="11"/>
                <w:sz w:val="21"/>
                <w:szCs w:val="21"/>
              </w:rPr>
              <w:t>三氯杀螨醇</w:t>
            </w:r>
          </w:p>
        </w:tc>
        <w:tc>
          <w:tcPr>
            <w:tcW w:w="383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GB 23200.113或GB/T 23204或GB/T 5009.176或GB/T 23376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520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rPr>
              <w:t>禁用农药</w:t>
            </w:r>
            <w:r>
              <w:rPr>
                <w:rFonts w:hint="eastAsia" w:ascii="仿宋_GB2312" w:eastAsia="仿宋_GB2312" w:cs="仿宋_GB2312"/>
                <w:spacing w:val="11"/>
                <w:sz w:val="21"/>
                <w:szCs w:val="21"/>
                <w:lang w:eastAsia="zh-CN"/>
              </w:rPr>
              <w:t>：</w:t>
            </w:r>
            <w:r>
              <w:rPr>
                <w:rFonts w:hint="eastAsia" w:ascii="仿宋_GB2312" w:eastAsia="仿宋_GB2312" w:cs="仿宋_GB2312"/>
                <w:spacing w:val="11"/>
                <w:sz w:val="21"/>
                <w:szCs w:val="21"/>
              </w:rPr>
              <w:t>甲胺磷</w:t>
            </w:r>
          </w:p>
          <w:p>
            <w:pPr>
              <w:spacing w:line="240" w:lineRule="auto"/>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lang w:val="en-US" w:eastAsia="zh-CN"/>
              </w:rPr>
              <w:t>限用农药：</w:t>
            </w:r>
            <w:r>
              <w:rPr>
                <w:rFonts w:hint="eastAsia" w:ascii="仿宋_GB2312" w:eastAsia="仿宋_GB2312" w:cs="仿宋_GB2312"/>
                <w:spacing w:val="11"/>
                <w:sz w:val="21"/>
                <w:szCs w:val="21"/>
              </w:rPr>
              <w:t>乙酰甲胺磷</w:t>
            </w:r>
          </w:p>
        </w:tc>
        <w:tc>
          <w:tcPr>
            <w:tcW w:w="383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default"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GB 23200.113或GB23200.121或GB 23200.116或GB/T 23376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exact"/>
          <w:jc w:val="center"/>
        </w:trPr>
        <w:tc>
          <w:tcPr>
            <w:tcW w:w="520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rPr>
              <w:t>常规农药</w:t>
            </w:r>
            <w:r>
              <w:rPr>
                <w:rFonts w:hint="eastAsia" w:ascii="仿宋_GB2312" w:eastAsia="仿宋_GB2312" w:cs="仿宋_GB2312"/>
                <w:spacing w:val="11"/>
                <w:sz w:val="21"/>
                <w:szCs w:val="21"/>
                <w:lang w:eastAsia="zh-CN"/>
              </w:rPr>
              <w:t>：</w:t>
            </w:r>
            <w:r>
              <w:rPr>
                <w:rFonts w:hint="eastAsia" w:ascii="仿宋_GB2312" w:eastAsia="仿宋_GB2312" w:cs="仿宋_GB2312"/>
                <w:spacing w:val="11"/>
                <w:sz w:val="21"/>
                <w:szCs w:val="21"/>
              </w:rPr>
              <w:t>杀螟硫磷</w:t>
            </w:r>
            <w:r>
              <w:rPr>
                <w:rFonts w:hint="eastAsia" w:ascii="仿宋_GB2312" w:eastAsia="仿宋_GB2312" w:cs="仿宋_GB2312"/>
                <w:spacing w:val="11"/>
                <w:sz w:val="21"/>
                <w:szCs w:val="21"/>
                <w:lang w:eastAsia="zh-CN"/>
              </w:rPr>
              <w:t>、毒死蜱、三唑磷</w:t>
            </w:r>
          </w:p>
        </w:tc>
        <w:tc>
          <w:tcPr>
            <w:tcW w:w="383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default"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GB23200.113或GB/T 23204或GB/T 23376或GB23200.116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exact"/>
          <w:jc w:val="center"/>
        </w:trPr>
        <w:tc>
          <w:tcPr>
            <w:tcW w:w="5206"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限用农药：灭多威、克百威</w:t>
            </w:r>
          </w:p>
          <w:p>
            <w:pPr>
              <w:spacing w:line="240" w:lineRule="auto"/>
              <w:jc w:val="left"/>
              <w:rPr>
                <w:rFonts w:hint="eastAsia"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常规农药：吡虫啉、多菌灵、茚虫威、噻嗪酮、啶虫脒</w:t>
            </w:r>
          </w:p>
          <w:p>
            <w:pPr>
              <w:spacing w:line="240" w:lineRule="auto"/>
              <w:ind w:firstLine="464" w:firstLineChars="200"/>
              <w:jc w:val="left"/>
              <w:rPr>
                <w:rFonts w:hint="eastAsia" w:ascii="仿宋_GB2312" w:eastAsia="仿宋_GB2312" w:cs="仿宋_GB2312"/>
                <w:spacing w:val="11"/>
                <w:sz w:val="21"/>
                <w:szCs w:val="21"/>
                <w:lang w:val="en-US" w:eastAsia="zh-CN"/>
              </w:rPr>
            </w:pPr>
          </w:p>
          <w:p>
            <w:pPr>
              <w:spacing w:line="240" w:lineRule="auto"/>
              <w:ind w:firstLine="464" w:firstLineChars="200"/>
              <w:jc w:val="left"/>
              <w:rPr>
                <w:rFonts w:hint="eastAsia" w:ascii="仿宋_GB2312" w:eastAsia="仿宋_GB2312" w:cs="仿宋_GB2312"/>
                <w:spacing w:val="11"/>
                <w:sz w:val="21"/>
                <w:szCs w:val="21"/>
                <w:lang w:val="en-US" w:eastAsia="zh-CN"/>
              </w:rPr>
            </w:pPr>
          </w:p>
          <w:p>
            <w:pPr>
              <w:spacing w:line="240" w:lineRule="auto"/>
              <w:ind w:firstLine="464" w:firstLineChars="200"/>
              <w:jc w:val="left"/>
              <w:rPr>
                <w:rFonts w:hint="eastAsia" w:ascii="仿宋_GB2312" w:eastAsia="仿宋_GB2312" w:cs="仿宋_GB2312"/>
                <w:spacing w:val="11"/>
                <w:sz w:val="21"/>
                <w:szCs w:val="21"/>
                <w:lang w:val="en-US" w:eastAsia="zh-CN"/>
              </w:rPr>
            </w:pPr>
          </w:p>
        </w:tc>
        <w:tc>
          <w:tcPr>
            <w:tcW w:w="383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GB 23200.13或GB23200.121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exact"/>
          <w:jc w:val="center"/>
        </w:trPr>
        <w:tc>
          <w:tcPr>
            <w:tcW w:w="5206"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限用农药：丁硫克百威</w:t>
            </w:r>
          </w:p>
        </w:tc>
        <w:tc>
          <w:tcPr>
            <w:tcW w:w="383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default"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GB 23200.13或GB/T 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exact"/>
          <w:jc w:val="center"/>
        </w:trPr>
        <w:tc>
          <w:tcPr>
            <w:tcW w:w="5206"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常规农药：哒螨灵、苯醚甲环唑、乙螨唑</w:t>
            </w:r>
          </w:p>
        </w:tc>
        <w:tc>
          <w:tcPr>
            <w:tcW w:w="383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GB23200.121或GB23200.113或GB/T 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exact"/>
          <w:jc w:val="center"/>
        </w:trPr>
        <w:tc>
          <w:tcPr>
            <w:tcW w:w="5206"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常规农药：呋虫胺</w:t>
            </w:r>
          </w:p>
        </w:tc>
        <w:tc>
          <w:tcPr>
            <w:tcW w:w="383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GB23200.121</w:t>
            </w:r>
          </w:p>
        </w:tc>
      </w:tr>
    </w:tbl>
    <w:p>
      <w:pPr>
        <w:spacing w:line="240" w:lineRule="auto"/>
        <w:ind w:firstLine="466" w:firstLineChars="200"/>
        <w:jc w:val="left"/>
        <w:rPr>
          <w:rFonts w:hint="eastAsia" w:ascii="仿宋_GB2312" w:eastAsia="仿宋_GB2312" w:cs="仿宋_GB2312"/>
          <w:b/>
          <w:bCs/>
          <w:spacing w:val="11"/>
          <w:sz w:val="21"/>
          <w:szCs w:val="21"/>
        </w:rPr>
      </w:pPr>
      <w:r>
        <w:rPr>
          <w:rFonts w:hint="eastAsia" w:ascii="仿宋_GB2312" w:eastAsia="仿宋_GB2312" w:cs="仿宋_GB2312"/>
          <w:b/>
          <w:bCs/>
          <w:spacing w:val="11"/>
          <w:sz w:val="21"/>
          <w:szCs w:val="21"/>
        </w:rPr>
        <w:t>（2）判定依据</w:t>
      </w:r>
    </w:p>
    <w:p>
      <w:pPr>
        <w:spacing w:line="240" w:lineRule="auto"/>
        <w:ind w:firstLine="464" w:firstLineChars="200"/>
        <w:jc w:val="left"/>
        <w:rPr>
          <w:rFonts w:hint="eastAsia" w:ascii="仿宋_GB2312" w:eastAsia="仿宋_GB2312" w:cs="仿宋_GB2312"/>
          <w:spacing w:val="11"/>
          <w:sz w:val="21"/>
          <w:szCs w:val="21"/>
          <w:lang w:val="en-US" w:eastAsia="zh-CN"/>
        </w:rPr>
      </w:pPr>
      <w:r>
        <w:rPr>
          <w:rFonts w:hint="eastAsia" w:ascii="仿宋_GB2312" w:eastAsia="仿宋_GB2312" w:cs="仿宋_GB2312"/>
          <w:spacing w:val="11"/>
          <w:sz w:val="21"/>
          <w:szCs w:val="21"/>
        </w:rPr>
        <w:t>检测结果按GB 2763-2021</w:t>
      </w:r>
      <w:r>
        <w:rPr>
          <w:rFonts w:hint="eastAsia" w:ascii="仿宋_GB2312" w:eastAsia="仿宋_GB2312" w:cs="仿宋_GB2312"/>
          <w:spacing w:val="11"/>
          <w:sz w:val="21"/>
          <w:szCs w:val="21"/>
          <w:lang w:eastAsia="zh-CN"/>
        </w:rPr>
        <w:t>和</w:t>
      </w:r>
      <w:r>
        <w:rPr>
          <w:rFonts w:hint="eastAsia" w:ascii="仿宋_GB2312" w:eastAsia="仿宋_GB2312" w:cs="仿宋_GB2312"/>
          <w:spacing w:val="11"/>
          <w:sz w:val="21"/>
          <w:szCs w:val="21"/>
          <w:lang w:val="en-US" w:eastAsia="zh-CN"/>
        </w:rPr>
        <w:t>GB2763.1-2022</w:t>
      </w:r>
      <w:r>
        <w:rPr>
          <w:rFonts w:hint="eastAsia" w:ascii="仿宋_GB2312" w:eastAsia="仿宋_GB2312" w:cs="仿宋_GB2312"/>
          <w:spacing w:val="11"/>
          <w:sz w:val="21"/>
          <w:szCs w:val="21"/>
        </w:rPr>
        <w:t>的要求进行判定，所监测项目全部合格者，判定为“该产品所检项目符合GB 2763-2021</w:t>
      </w:r>
      <w:r>
        <w:rPr>
          <w:rFonts w:hint="eastAsia" w:ascii="仿宋_GB2312" w:eastAsia="仿宋_GB2312" w:cs="仿宋_GB2312"/>
          <w:spacing w:val="11"/>
          <w:sz w:val="21"/>
          <w:szCs w:val="21"/>
          <w:lang w:eastAsia="zh-CN"/>
        </w:rPr>
        <w:t>和</w:t>
      </w:r>
      <w:r>
        <w:rPr>
          <w:rFonts w:hint="eastAsia" w:ascii="仿宋_GB2312" w:eastAsia="仿宋_GB2312" w:cs="仿宋_GB2312"/>
          <w:spacing w:val="11"/>
          <w:sz w:val="21"/>
          <w:szCs w:val="21"/>
          <w:lang w:val="en-US" w:eastAsia="zh-CN"/>
        </w:rPr>
        <w:t>GB2763.1-2022</w:t>
      </w:r>
      <w:r>
        <w:rPr>
          <w:rFonts w:hint="eastAsia" w:ascii="仿宋_GB2312" w:eastAsia="仿宋_GB2312" w:cs="仿宋_GB2312"/>
          <w:spacing w:val="11"/>
          <w:sz w:val="21"/>
          <w:szCs w:val="21"/>
        </w:rPr>
        <w:t>的要求”；有一项指标不合格者，即判定为“该产品不合格”。</w:t>
      </w:r>
    </w:p>
    <w:p>
      <w:pPr>
        <w:spacing w:line="240" w:lineRule="auto"/>
        <w:ind w:firstLine="466" w:firstLineChars="200"/>
        <w:jc w:val="left"/>
        <w:rPr>
          <w:rFonts w:hint="eastAsia" w:ascii="仿宋_GB2312" w:eastAsia="仿宋_GB2312" w:cs="仿宋_GB2312"/>
          <w:b/>
          <w:bCs/>
          <w:spacing w:val="11"/>
          <w:sz w:val="21"/>
          <w:szCs w:val="21"/>
          <w:lang w:val="en-US" w:eastAsia="zh-CN"/>
        </w:rPr>
      </w:pPr>
      <w:r>
        <w:rPr>
          <w:rFonts w:hint="eastAsia" w:ascii="仿宋_GB2312" w:eastAsia="仿宋_GB2312" w:cs="仿宋_GB2312"/>
          <w:b/>
          <w:bCs/>
          <w:spacing w:val="11"/>
          <w:sz w:val="21"/>
          <w:szCs w:val="21"/>
          <w:lang w:val="en-US" w:eastAsia="zh-CN"/>
        </w:rPr>
        <w:t>3.畜禽产品</w:t>
      </w:r>
    </w:p>
    <w:p>
      <w:pPr>
        <w:spacing w:line="240" w:lineRule="auto"/>
        <w:ind w:firstLine="466" w:firstLineChars="200"/>
        <w:jc w:val="left"/>
        <w:rPr>
          <w:rFonts w:hint="eastAsia" w:ascii="仿宋_GB2312" w:eastAsia="仿宋_GB2312" w:cs="仿宋_GB2312"/>
          <w:b/>
          <w:bCs/>
          <w:spacing w:val="11"/>
          <w:sz w:val="21"/>
          <w:szCs w:val="21"/>
          <w:lang w:val="en-US" w:eastAsia="zh-CN"/>
        </w:rPr>
      </w:pPr>
      <w:r>
        <w:rPr>
          <w:rFonts w:hint="eastAsia" w:ascii="仿宋_GB2312" w:eastAsia="仿宋_GB2312" w:cs="仿宋_GB2312"/>
          <w:b/>
          <w:bCs/>
          <w:spacing w:val="11"/>
          <w:sz w:val="21"/>
          <w:szCs w:val="21"/>
          <w:lang w:val="en-US" w:eastAsia="zh-CN"/>
        </w:rPr>
        <w:t>（1）检测方法</w:t>
      </w:r>
    </w:p>
    <w:p>
      <w:pPr>
        <w:spacing w:line="240" w:lineRule="auto"/>
        <w:ind w:firstLine="466" w:firstLineChars="200"/>
        <w:jc w:val="left"/>
        <w:rPr>
          <w:rFonts w:hint="eastAsia" w:ascii="仿宋_GB2312" w:eastAsia="仿宋_GB2312" w:cs="仿宋_GB2312"/>
          <w:b/>
          <w:bCs/>
          <w:spacing w:val="11"/>
          <w:sz w:val="21"/>
          <w:szCs w:val="21"/>
          <w:lang w:val="en-US" w:eastAsia="zh-CN"/>
        </w:rPr>
      </w:pPr>
      <w:r>
        <w:rPr>
          <w:rFonts w:hint="eastAsia" w:ascii="仿宋_GB2312" w:eastAsia="仿宋_GB2312" w:cs="仿宋_GB2312"/>
          <w:b/>
          <w:bCs/>
          <w:spacing w:val="11"/>
          <w:sz w:val="21"/>
          <w:szCs w:val="21"/>
          <w:lang w:val="en-US" w:eastAsia="zh-CN"/>
        </w:rPr>
        <w:t>①禽肉</w:t>
      </w:r>
    </w:p>
    <w:tbl>
      <w:tblPr>
        <w:tblStyle w:val="10"/>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905" w:type="dxa"/>
            <w:noWrap w:val="0"/>
            <w:vAlign w:val="center"/>
          </w:tcPr>
          <w:p>
            <w:pPr>
              <w:spacing w:line="240" w:lineRule="auto"/>
              <w:ind w:firstLine="466" w:firstLineChars="200"/>
              <w:jc w:val="left"/>
              <w:rPr>
                <w:rFonts w:hint="eastAsia" w:ascii="仿宋_GB2312" w:eastAsia="仿宋_GB2312" w:cs="仿宋_GB2312"/>
                <w:b/>
                <w:bCs/>
                <w:spacing w:val="11"/>
                <w:sz w:val="21"/>
                <w:szCs w:val="21"/>
                <w:lang w:eastAsia="zh-CN"/>
              </w:rPr>
            </w:pPr>
            <w:r>
              <w:rPr>
                <w:rFonts w:hint="eastAsia" w:ascii="仿宋_GB2312" w:eastAsia="仿宋_GB2312" w:cs="仿宋_GB2312"/>
                <w:b/>
                <w:bCs/>
                <w:spacing w:val="11"/>
                <w:sz w:val="21"/>
                <w:szCs w:val="21"/>
                <w:lang w:eastAsia="zh-CN"/>
              </w:rPr>
              <w:t>检测参数</w:t>
            </w:r>
          </w:p>
        </w:tc>
        <w:tc>
          <w:tcPr>
            <w:tcW w:w="6105" w:type="dxa"/>
            <w:noWrap w:val="0"/>
            <w:vAlign w:val="top"/>
          </w:tcPr>
          <w:p>
            <w:pPr>
              <w:spacing w:line="240" w:lineRule="auto"/>
              <w:ind w:firstLine="466" w:firstLineChars="200"/>
              <w:jc w:val="left"/>
              <w:rPr>
                <w:rFonts w:hint="eastAsia" w:ascii="仿宋_GB2312" w:eastAsia="仿宋_GB2312" w:cs="仿宋_GB2312"/>
                <w:b/>
                <w:bCs/>
                <w:spacing w:val="11"/>
                <w:sz w:val="21"/>
                <w:szCs w:val="21"/>
                <w:lang w:eastAsia="zh-CN"/>
              </w:rPr>
            </w:pPr>
            <w:r>
              <w:rPr>
                <w:rFonts w:hint="eastAsia" w:ascii="仿宋_GB2312" w:eastAsia="仿宋_GB2312" w:cs="仿宋_GB2312"/>
                <w:b/>
                <w:bCs/>
                <w:spacing w:val="11"/>
                <w:sz w:val="21"/>
                <w:szCs w:val="21"/>
                <w:lang w:eastAsia="zh-CN"/>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905" w:type="dxa"/>
            <w:noWrap w:val="0"/>
            <w:vAlign w:val="top"/>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常规药物：氟喹诺酮类（恩诺沙星、环丙沙星、沙拉沙星、达氟沙星）</w:t>
            </w:r>
          </w:p>
        </w:tc>
        <w:tc>
          <w:tcPr>
            <w:tcW w:w="6105" w:type="dxa"/>
            <w:vMerge w:val="restart"/>
            <w:noWrap w:val="0"/>
            <w:vAlign w:val="center"/>
          </w:tcPr>
          <w:p>
            <w:pPr>
              <w:spacing w:line="240" w:lineRule="auto"/>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rPr>
              <w:t>食品安全国家标准 动物性食品中四环素类、磺胺类和喹诺酮类药物残留量的测定 液相色谱－串联质谱法（GB 31658.17-2021）。</w:t>
            </w:r>
          </w:p>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动物源产品中喹诺酮类残留量的测定 液相色谱-串联质谱法（GB/T 20366-2006）。</w:t>
            </w:r>
          </w:p>
          <w:p>
            <w:pPr>
              <w:spacing w:line="240" w:lineRule="auto"/>
              <w:ind w:firstLine="464" w:firstLineChars="200"/>
              <w:jc w:val="left"/>
              <w:rPr>
                <w:rFonts w:hint="eastAsia" w:ascii="仿宋_GB2312" w:eastAsia="仿宋_GB2312" w:cs="仿宋_GB2312"/>
                <w:spacing w:val="11"/>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905" w:type="dxa"/>
            <w:noWrap w:val="0"/>
            <w:vAlign w:val="top"/>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食品动物中停止使用药物：氟喹诺酮类（氧氟沙星、培氟沙星、诺氟沙星、洛美沙星）</w:t>
            </w:r>
          </w:p>
        </w:tc>
        <w:tc>
          <w:tcPr>
            <w:tcW w:w="6105" w:type="dxa"/>
            <w:vMerge w:val="continue"/>
            <w:noWrap w:val="0"/>
            <w:vAlign w:val="top"/>
          </w:tcPr>
          <w:p>
            <w:pPr>
              <w:spacing w:line="240" w:lineRule="auto"/>
              <w:ind w:firstLine="464" w:firstLineChars="200"/>
              <w:jc w:val="left"/>
              <w:rPr>
                <w:rFonts w:hint="eastAsia" w:ascii="仿宋_GB2312" w:eastAsia="仿宋_GB2312" w:cs="仿宋_GB2312"/>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905"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禁用药物：金刚烷胺</w:t>
            </w:r>
          </w:p>
        </w:tc>
        <w:tc>
          <w:tcPr>
            <w:tcW w:w="6105"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动物源性食品中金刚烷胺残留量的测定 液相色谱-串联质谱法（GB31660.5-2019）。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905"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常规药物：酰胺醇类（甲</w:t>
            </w:r>
            <w:r>
              <w:rPr>
                <w:rFonts w:hint="eastAsia" w:ascii="仿宋_GB2312" w:eastAsia="仿宋_GB2312" w:cs="仿宋_GB2312"/>
                <w:spacing w:val="11"/>
                <w:sz w:val="21"/>
                <w:szCs w:val="21"/>
                <w:lang w:val="en-US" w:eastAsia="zh-CN"/>
              </w:rPr>
              <w:t>砜</w:t>
            </w:r>
            <w:r>
              <w:rPr>
                <w:rFonts w:hint="eastAsia" w:ascii="仿宋_GB2312" w:eastAsia="仿宋_GB2312" w:cs="仿宋_GB2312"/>
                <w:spacing w:val="11"/>
                <w:sz w:val="21"/>
                <w:szCs w:val="21"/>
                <w:lang w:eastAsia="zh-CN"/>
              </w:rPr>
              <w:t>霉素）</w:t>
            </w:r>
          </w:p>
        </w:tc>
        <w:tc>
          <w:tcPr>
            <w:tcW w:w="6105"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动物源性食品中氯霉素类药物残留量测定（GB/T 22338-2008）。</w:t>
            </w:r>
          </w:p>
          <w:p>
            <w:pPr>
              <w:spacing w:line="240" w:lineRule="auto"/>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lang w:eastAsia="zh-CN"/>
              </w:rPr>
              <w:t xml:space="preserve"> 食品安全国家标准 动物性食品中酰胺醇类药物及其代谢物残留量的测定 液相色谱-串联质谱法（GB 31658.20-2022）。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905"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常规药物：酰胺醇类（氟苯尼考、氟苯尼考胺）</w:t>
            </w:r>
          </w:p>
        </w:tc>
        <w:tc>
          <w:tcPr>
            <w:tcW w:w="6105"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rPr>
              <w:t>食品安全国家标准 动物性食品中氟苯尼考及氟苯尼考胺残留量的测定 液相色谱－串联质谱法（GB 31658.5-2021）。</w:t>
            </w:r>
          </w:p>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rPr>
              <w:t>动物性食品中氟苯尼考及代谢物多残留的测定液相色谱-串联质谱法 （全国兽药残留专家委员会办公室关于发布2021年兽药残留监控计划推荐检测方法的通知  残留办〔2021〕23号）</w:t>
            </w:r>
            <w:r>
              <w:rPr>
                <w:rFonts w:hint="eastAsia" w:ascii="仿宋_GB2312" w:eastAsia="仿宋_GB2312" w:cs="仿宋_GB2312"/>
                <w:spacing w:val="11"/>
                <w:sz w:val="21"/>
                <w:szCs w:val="21"/>
                <w:lang w:eastAsia="zh-CN"/>
              </w:rPr>
              <w:t>。</w:t>
            </w:r>
          </w:p>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rPr>
              <w:t>食品安全国家标准 动物性食品中酰胺醇类药物及其代谢物残留量的测定 液相色谱-串联质谱法</w:t>
            </w:r>
            <w:r>
              <w:rPr>
                <w:rFonts w:hint="eastAsia" w:ascii="仿宋_GB2312" w:eastAsia="仿宋_GB2312" w:cs="仿宋_GB2312"/>
                <w:spacing w:val="11"/>
                <w:sz w:val="21"/>
                <w:szCs w:val="21"/>
                <w:lang w:eastAsia="zh-CN"/>
              </w:rPr>
              <w:t>（</w:t>
            </w:r>
            <w:r>
              <w:rPr>
                <w:rFonts w:hint="eastAsia" w:ascii="仿宋_GB2312" w:eastAsia="仿宋_GB2312" w:cs="仿宋_GB2312"/>
                <w:spacing w:val="11"/>
                <w:sz w:val="21"/>
                <w:szCs w:val="21"/>
              </w:rPr>
              <w:t xml:space="preserve">GB 31658.20-2022 </w:t>
            </w:r>
            <w:r>
              <w:rPr>
                <w:rFonts w:hint="eastAsia" w:ascii="仿宋_GB2312" w:eastAsia="仿宋_GB2312" w:cs="仿宋_GB2312"/>
                <w:spacing w:val="1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905"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禁用药物：酰胺醇类（氯霉素）</w:t>
            </w:r>
          </w:p>
        </w:tc>
        <w:tc>
          <w:tcPr>
            <w:tcW w:w="6105" w:type="dxa"/>
            <w:noWrap w:val="0"/>
            <w:vAlign w:val="center"/>
          </w:tcPr>
          <w:p>
            <w:pPr>
              <w:spacing w:line="240" w:lineRule="auto"/>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rPr>
              <w:t>动物源性食品中氯霉素类药物残留量测定（GB/T 22338-2008）</w:t>
            </w:r>
            <w:r>
              <w:rPr>
                <w:rFonts w:hint="eastAsia" w:ascii="仿宋_GB2312" w:eastAsia="仿宋_GB2312" w:cs="仿宋_GB2312"/>
                <w:spacing w:val="11"/>
                <w:sz w:val="21"/>
                <w:szCs w:val="21"/>
                <w:lang w:eastAsia="zh-CN"/>
              </w:rPr>
              <w:t>。</w:t>
            </w:r>
          </w:p>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rPr>
              <w:t>食品安全国家标准 动物性食品中氯霉素残留量的测定 液相色谱－串联质谱法（GB 31658.2-2021）</w:t>
            </w:r>
            <w:r>
              <w:rPr>
                <w:rFonts w:hint="eastAsia" w:ascii="仿宋_GB2312" w:eastAsia="仿宋_GB2312" w:cs="仿宋_GB2312"/>
                <w:spacing w:val="11"/>
                <w:sz w:val="21"/>
                <w:szCs w:val="21"/>
                <w:lang w:eastAsia="zh-CN"/>
              </w:rPr>
              <w:t>。</w:t>
            </w:r>
          </w:p>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rPr>
              <w:t>食品安全国家标准 动物性食品中酰胺醇类药物及其代谢物残留量的测定 液相色谱-串联质谱法</w:t>
            </w:r>
            <w:r>
              <w:rPr>
                <w:rFonts w:hint="eastAsia" w:ascii="仿宋_GB2312" w:eastAsia="仿宋_GB2312" w:cs="仿宋_GB2312"/>
                <w:spacing w:val="11"/>
                <w:sz w:val="21"/>
                <w:szCs w:val="21"/>
                <w:lang w:eastAsia="zh-CN"/>
              </w:rPr>
              <w:t>（</w:t>
            </w:r>
            <w:r>
              <w:rPr>
                <w:rFonts w:hint="eastAsia" w:ascii="仿宋_GB2312" w:eastAsia="仿宋_GB2312" w:cs="仿宋_GB2312"/>
                <w:spacing w:val="11"/>
                <w:sz w:val="21"/>
                <w:szCs w:val="21"/>
              </w:rPr>
              <w:t xml:space="preserve">GB 31658.20-2022 </w:t>
            </w:r>
            <w:r>
              <w:rPr>
                <w:rFonts w:hint="eastAsia" w:ascii="仿宋_GB2312" w:eastAsia="仿宋_GB2312" w:cs="仿宋_GB2312"/>
                <w:spacing w:val="1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905"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限用药物：替米考星</w:t>
            </w:r>
          </w:p>
        </w:tc>
        <w:tc>
          <w:tcPr>
            <w:tcW w:w="6105" w:type="dxa"/>
            <w:noWrap w:val="0"/>
            <w:vAlign w:val="top"/>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禽肉中林可霉素、竹桃霉素、红霉素、替米考星、泰乐菌素、克林霉素、螺旋霉素、吉它霉素、交沙霉素残留量的测定 液相色谱-串联质谱法（GB/T 20762-2006 ）。</w:t>
            </w:r>
          </w:p>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动物性食品中替米考星残留检测高效液相色谱法（农业部1025号公告-10-2008）。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905" w:type="dxa"/>
            <w:noWrap w:val="0"/>
            <w:vAlign w:val="center"/>
          </w:tcPr>
          <w:p>
            <w:pPr>
              <w:spacing w:line="240" w:lineRule="auto"/>
              <w:jc w:val="left"/>
              <w:rPr>
                <w:rFonts w:hint="default"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常规药物：甲氧苄啶</w:t>
            </w:r>
          </w:p>
        </w:tc>
        <w:tc>
          <w:tcPr>
            <w:tcW w:w="6105" w:type="dxa"/>
            <w:noWrap w:val="0"/>
            <w:vAlign w:val="top"/>
          </w:tcPr>
          <w:p>
            <w:pPr>
              <w:spacing w:line="240" w:lineRule="auto"/>
              <w:ind w:firstLine="464" w:firstLineChars="200"/>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rPr>
              <w:t>动物源性食品中磺胺类药物残留量的测定 液相色谱-质谱/质谱法</w:t>
            </w:r>
            <w:r>
              <w:rPr>
                <w:rFonts w:hint="eastAsia" w:ascii="仿宋_GB2312" w:eastAsia="仿宋_GB2312" w:cs="仿宋_GB2312"/>
                <w:spacing w:val="11"/>
                <w:sz w:val="21"/>
                <w:szCs w:val="21"/>
                <w:lang w:eastAsia="zh-CN"/>
              </w:rPr>
              <w:t>（GB/T 21316-2007）。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905" w:type="dxa"/>
            <w:noWrap w:val="0"/>
            <w:vAlign w:val="center"/>
          </w:tcPr>
          <w:p>
            <w:pPr>
              <w:spacing w:line="240" w:lineRule="auto"/>
              <w:jc w:val="left"/>
              <w:rPr>
                <w:rFonts w:hint="default"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禁用药物：硝基呋喃类（3-氨基-2-恶唑酮、5-吗啉甲基-3-氨基-2-恶唑烷基酮、1-氨基-乙内酰脲、氨基脲）</w:t>
            </w:r>
          </w:p>
        </w:tc>
        <w:tc>
          <w:tcPr>
            <w:tcW w:w="6105" w:type="dxa"/>
            <w:noWrap w:val="0"/>
            <w:vAlign w:val="top"/>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rPr>
              <w:t>动物源性食品中硝基呋喃类药物代谢物残留量检测方法 高效液相色谱/串联质谱法</w:t>
            </w:r>
            <w:r>
              <w:rPr>
                <w:rFonts w:hint="eastAsia" w:ascii="仿宋_GB2312" w:eastAsia="仿宋_GB2312" w:cs="仿宋_GB2312"/>
                <w:spacing w:val="11"/>
                <w:sz w:val="21"/>
                <w:szCs w:val="21"/>
                <w:lang w:eastAsia="zh-CN"/>
              </w:rPr>
              <w:t>（</w:t>
            </w:r>
            <w:r>
              <w:rPr>
                <w:rFonts w:hint="eastAsia" w:ascii="仿宋_GB2312" w:eastAsia="仿宋_GB2312" w:cs="仿宋_GB2312"/>
                <w:spacing w:val="11"/>
                <w:sz w:val="21"/>
                <w:szCs w:val="21"/>
              </w:rPr>
              <w:t>GB/T 21311-2007</w:t>
            </w:r>
            <w:r>
              <w:rPr>
                <w:rFonts w:hint="eastAsia" w:ascii="仿宋_GB2312" w:eastAsia="仿宋_GB2312" w:cs="仿宋_GB2312"/>
                <w:spacing w:val="11"/>
                <w:sz w:val="21"/>
                <w:szCs w:val="21"/>
                <w:lang w:eastAsia="zh-CN"/>
              </w:rPr>
              <w:t>）。</w:t>
            </w:r>
          </w:p>
        </w:tc>
      </w:tr>
    </w:tbl>
    <w:p>
      <w:pPr>
        <w:spacing w:line="240" w:lineRule="auto"/>
        <w:ind w:firstLine="466" w:firstLineChars="200"/>
        <w:jc w:val="left"/>
        <w:rPr>
          <w:rFonts w:hint="eastAsia" w:ascii="仿宋_GB2312" w:eastAsia="仿宋_GB2312" w:cs="仿宋_GB2312"/>
          <w:b/>
          <w:bCs/>
          <w:spacing w:val="11"/>
          <w:sz w:val="21"/>
          <w:szCs w:val="21"/>
          <w:lang w:val="en-US" w:eastAsia="zh-CN"/>
        </w:rPr>
      </w:pPr>
      <w:r>
        <w:rPr>
          <w:rFonts w:hint="eastAsia" w:ascii="仿宋_GB2312" w:eastAsia="仿宋_GB2312" w:cs="仿宋_GB2312"/>
          <w:b/>
          <w:bCs/>
          <w:spacing w:val="11"/>
          <w:sz w:val="21"/>
          <w:szCs w:val="21"/>
          <w:lang w:val="en-US" w:eastAsia="zh-CN"/>
        </w:rPr>
        <w:t>②禽蛋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3"/>
        <w:gridCol w:w="6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13" w:type="dxa"/>
            <w:noWrap w:val="0"/>
            <w:vAlign w:val="center"/>
          </w:tcPr>
          <w:p>
            <w:pPr>
              <w:spacing w:line="240" w:lineRule="auto"/>
              <w:ind w:firstLine="466" w:firstLineChars="200"/>
              <w:jc w:val="center"/>
              <w:rPr>
                <w:rFonts w:hint="eastAsia" w:ascii="仿宋_GB2312" w:eastAsia="仿宋_GB2312" w:cs="仿宋_GB2312"/>
                <w:b/>
                <w:bCs/>
                <w:spacing w:val="11"/>
                <w:sz w:val="21"/>
                <w:szCs w:val="21"/>
                <w:lang w:eastAsia="zh-CN"/>
              </w:rPr>
            </w:pPr>
            <w:r>
              <w:rPr>
                <w:rFonts w:hint="eastAsia" w:ascii="仿宋_GB2312" w:eastAsia="仿宋_GB2312" w:cs="仿宋_GB2312"/>
                <w:b/>
                <w:bCs/>
                <w:spacing w:val="11"/>
                <w:sz w:val="21"/>
                <w:szCs w:val="21"/>
                <w:lang w:eastAsia="zh-CN"/>
              </w:rPr>
              <w:t>检测参数</w:t>
            </w:r>
          </w:p>
        </w:tc>
        <w:tc>
          <w:tcPr>
            <w:tcW w:w="6107" w:type="dxa"/>
            <w:noWrap w:val="0"/>
            <w:vAlign w:val="center"/>
          </w:tcPr>
          <w:p>
            <w:pPr>
              <w:spacing w:line="240" w:lineRule="auto"/>
              <w:ind w:firstLine="466" w:firstLineChars="200"/>
              <w:jc w:val="center"/>
              <w:rPr>
                <w:rFonts w:hint="eastAsia" w:ascii="仿宋_GB2312" w:eastAsia="仿宋_GB2312" w:cs="仿宋_GB2312"/>
                <w:b/>
                <w:bCs/>
                <w:spacing w:val="11"/>
                <w:sz w:val="21"/>
                <w:szCs w:val="21"/>
                <w:lang w:eastAsia="zh-CN"/>
              </w:rPr>
            </w:pPr>
            <w:r>
              <w:rPr>
                <w:rFonts w:hint="eastAsia" w:ascii="仿宋_GB2312" w:eastAsia="仿宋_GB2312" w:cs="仿宋_GB2312"/>
                <w:b/>
                <w:bCs/>
                <w:spacing w:val="11"/>
                <w:sz w:val="21"/>
                <w:szCs w:val="21"/>
                <w:lang w:eastAsia="zh-CN"/>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13" w:type="dxa"/>
            <w:noWrap w:val="0"/>
            <w:vAlign w:val="top"/>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食品动物中停止使用药物：氟喹诺酮类（氧氟沙星、培氟沙星、诺氟沙星、洛美沙星）</w:t>
            </w:r>
          </w:p>
        </w:tc>
        <w:tc>
          <w:tcPr>
            <w:tcW w:w="6107" w:type="dxa"/>
            <w:vMerge w:val="restart"/>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动物源性食品中14种喹诺酮药物残留检测方法 液相色谱-质谱/质谱法</w:t>
            </w:r>
            <w:r>
              <w:rPr>
                <w:rFonts w:hint="eastAsia" w:ascii="仿宋_GB2312" w:eastAsia="仿宋_GB2312" w:cs="仿宋_GB2312"/>
                <w:spacing w:val="11"/>
                <w:sz w:val="21"/>
                <w:szCs w:val="21"/>
                <w:lang w:val="en-US" w:eastAsia="zh-CN"/>
              </w:rPr>
              <w:t>(</w:t>
            </w:r>
            <w:r>
              <w:rPr>
                <w:rFonts w:hint="eastAsia" w:ascii="仿宋_GB2312" w:eastAsia="仿宋_GB2312" w:cs="仿宋_GB2312"/>
                <w:spacing w:val="11"/>
                <w:sz w:val="21"/>
                <w:szCs w:val="21"/>
                <w:lang w:eastAsia="zh-CN"/>
              </w:rPr>
              <w:t xml:space="preserve">GB/T 21312-2007 </w:t>
            </w:r>
            <w:r>
              <w:rPr>
                <w:rFonts w:hint="eastAsia" w:ascii="仿宋_GB2312" w:eastAsia="仿宋_GB2312" w:cs="仿宋_GB2312"/>
                <w:spacing w:val="11"/>
                <w:sz w:val="21"/>
                <w:szCs w:val="21"/>
                <w:lang w:val="en-US" w:eastAsia="zh-CN"/>
              </w:rPr>
              <w:t>)</w:t>
            </w:r>
            <w:r>
              <w:rPr>
                <w:rFonts w:hint="eastAsia" w:ascii="仿宋_GB2312" w:eastAsia="仿宋_GB2312" w:cs="仿宋_GB2312"/>
                <w:spacing w:val="11"/>
                <w:sz w:val="21"/>
                <w:szCs w:val="21"/>
                <w:lang w:eastAsia="zh-CN"/>
              </w:rPr>
              <w:t>。</w:t>
            </w:r>
          </w:p>
          <w:p>
            <w:pPr>
              <w:spacing w:line="240" w:lineRule="auto"/>
              <w:ind w:firstLine="464" w:firstLineChars="200"/>
              <w:jc w:val="left"/>
              <w:rPr>
                <w:rFonts w:hint="eastAsia" w:ascii="仿宋_GB2312" w:eastAsia="仿宋_GB2312" w:cs="仿宋_GB2312"/>
                <w:spacing w:val="11"/>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13"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产蛋期</w:t>
            </w:r>
            <w:r>
              <w:rPr>
                <w:rFonts w:hint="eastAsia" w:ascii="仿宋_GB2312" w:eastAsia="仿宋_GB2312" w:cs="仿宋_GB2312"/>
                <w:spacing w:val="11"/>
                <w:sz w:val="21"/>
                <w:szCs w:val="21"/>
                <w:lang w:val="en-US" w:eastAsia="zh-CN"/>
              </w:rPr>
              <w:t>不得使用</w:t>
            </w:r>
            <w:r>
              <w:rPr>
                <w:rFonts w:hint="eastAsia" w:ascii="仿宋_GB2312" w:eastAsia="仿宋_GB2312" w:cs="仿宋_GB2312"/>
                <w:spacing w:val="11"/>
                <w:sz w:val="21"/>
                <w:szCs w:val="21"/>
                <w:lang w:eastAsia="zh-CN"/>
              </w:rPr>
              <w:t>药物：氟喹诺酮类（恩诺沙星、环丙沙星、沙拉沙星、达氟沙星）</w:t>
            </w:r>
          </w:p>
        </w:tc>
        <w:tc>
          <w:tcPr>
            <w:tcW w:w="6107" w:type="dxa"/>
            <w:vMerge w:val="continue"/>
            <w:noWrap w:val="0"/>
            <w:vAlign w:val="center"/>
          </w:tcPr>
          <w:p>
            <w:pPr>
              <w:spacing w:line="240" w:lineRule="auto"/>
              <w:ind w:firstLine="464" w:firstLineChars="200"/>
              <w:jc w:val="left"/>
              <w:rPr>
                <w:rFonts w:hint="eastAsia" w:ascii="仿宋_GB2312" w:eastAsia="仿宋_GB2312" w:cs="仿宋_GB2312"/>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13"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禁用药物：金刚烷胺</w:t>
            </w:r>
          </w:p>
        </w:tc>
        <w:tc>
          <w:tcPr>
            <w:tcW w:w="6107"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动物源性食品中金刚烷胺残留量的测定 液相色谱-串联质谱法（GB31660.5-2019）</w:t>
            </w:r>
            <w:r>
              <w:rPr>
                <w:rFonts w:hint="default" w:ascii="仿宋_GB2312" w:eastAsia="仿宋_GB2312" w:cs="仿宋_GB2312"/>
                <w:spacing w:val="1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13"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常规药物：四环素类（金霉素、土霉素、四环素、多西环素）</w:t>
            </w:r>
          </w:p>
        </w:tc>
        <w:tc>
          <w:tcPr>
            <w:tcW w:w="6107"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食品安全国家标准 禽蛋、奶和奶粉中多西环素残留量的测定液相色谱-串联质谱法（GB 31659.2-2022）。</w:t>
            </w:r>
          </w:p>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食品安全国家标准  动物性食品中四环素类药物残留量的测定 高效液相色谱法（GB 31658.6-2021）。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13"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产蛋期</w:t>
            </w:r>
            <w:r>
              <w:rPr>
                <w:rFonts w:hint="eastAsia" w:ascii="仿宋_GB2312" w:eastAsia="仿宋_GB2312" w:cs="仿宋_GB2312"/>
                <w:spacing w:val="11"/>
                <w:sz w:val="21"/>
                <w:szCs w:val="21"/>
                <w:lang w:val="en-US" w:eastAsia="zh-CN"/>
              </w:rPr>
              <w:t>不得使用</w:t>
            </w:r>
            <w:r>
              <w:rPr>
                <w:rFonts w:hint="eastAsia" w:ascii="仿宋_GB2312" w:eastAsia="仿宋_GB2312" w:cs="仿宋_GB2312"/>
                <w:spacing w:val="11"/>
                <w:sz w:val="21"/>
                <w:szCs w:val="21"/>
                <w:lang w:eastAsia="zh-CN"/>
              </w:rPr>
              <w:t>药物：酰胺醇类（氟苯尼考、甲</w:t>
            </w:r>
            <w:r>
              <w:rPr>
                <w:rFonts w:hint="eastAsia" w:ascii="仿宋_GB2312" w:eastAsia="仿宋_GB2312" w:cs="仿宋_GB2312"/>
                <w:spacing w:val="11"/>
                <w:sz w:val="21"/>
                <w:szCs w:val="21"/>
                <w:lang w:val="en-US" w:eastAsia="zh-CN"/>
              </w:rPr>
              <w:t>砜</w:t>
            </w:r>
            <w:r>
              <w:rPr>
                <w:rFonts w:hint="eastAsia" w:ascii="仿宋_GB2312" w:eastAsia="仿宋_GB2312" w:cs="仿宋_GB2312"/>
                <w:spacing w:val="11"/>
                <w:sz w:val="21"/>
                <w:szCs w:val="21"/>
                <w:lang w:eastAsia="zh-CN"/>
              </w:rPr>
              <w:t>霉素、氟苯尼考胺）</w:t>
            </w:r>
          </w:p>
        </w:tc>
        <w:tc>
          <w:tcPr>
            <w:tcW w:w="6107"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食品安全国家标准 动物性食品中酰胺醇类药物及其代谢物残留量的测定 液相色谱-串联质谱法（GB 31658.20-2022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13"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禁用药物：酰胺醇类（氯霉素）</w:t>
            </w:r>
          </w:p>
        </w:tc>
        <w:tc>
          <w:tcPr>
            <w:tcW w:w="6107" w:type="dxa"/>
            <w:noWrap w:val="0"/>
            <w:vAlign w:val="top"/>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食品安全国家标准 动物性食品中酰胺醇类药物及其代谢物残留量的测定 液相色谱-串联质谱法（GB 31658.20-2022 ）。</w:t>
            </w:r>
          </w:p>
        </w:tc>
      </w:tr>
    </w:tbl>
    <w:p>
      <w:pPr>
        <w:spacing w:line="240" w:lineRule="auto"/>
        <w:ind w:firstLine="466" w:firstLineChars="200"/>
        <w:jc w:val="left"/>
        <w:rPr>
          <w:rFonts w:hint="eastAsia" w:ascii="仿宋_GB2312" w:eastAsia="仿宋_GB2312" w:cs="仿宋_GB2312"/>
          <w:b/>
          <w:bCs/>
          <w:spacing w:val="11"/>
          <w:sz w:val="21"/>
          <w:szCs w:val="21"/>
          <w:lang w:val="en-US" w:eastAsia="zh-CN"/>
        </w:rPr>
      </w:pPr>
      <w:r>
        <w:rPr>
          <w:rFonts w:hint="eastAsia" w:ascii="仿宋_GB2312" w:eastAsia="仿宋_GB2312" w:cs="仿宋_GB2312"/>
          <w:b/>
          <w:bCs/>
          <w:spacing w:val="11"/>
          <w:sz w:val="21"/>
          <w:szCs w:val="21"/>
          <w:lang w:val="en-US" w:eastAsia="zh-CN"/>
        </w:rPr>
        <w:t>③猪肉、牛肉、羊肉、猪肝、牛肝、羊肝</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045" w:type="dxa"/>
            <w:noWrap w:val="0"/>
            <w:vAlign w:val="center"/>
          </w:tcPr>
          <w:p>
            <w:pPr>
              <w:spacing w:line="240" w:lineRule="auto"/>
              <w:ind w:firstLine="466" w:firstLineChars="200"/>
              <w:jc w:val="center"/>
              <w:rPr>
                <w:rFonts w:hint="eastAsia" w:ascii="仿宋_GB2312" w:eastAsia="仿宋_GB2312" w:cs="仿宋_GB2312"/>
                <w:b/>
                <w:bCs/>
                <w:spacing w:val="11"/>
                <w:sz w:val="21"/>
                <w:szCs w:val="21"/>
                <w:lang w:eastAsia="zh-CN"/>
              </w:rPr>
            </w:pPr>
            <w:r>
              <w:rPr>
                <w:rFonts w:hint="eastAsia" w:ascii="仿宋_GB2312" w:eastAsia="仿宋_GB2312" w:cs="仿宋_GB2312"/>
                <w:b/>
                <w:bCs/>
                <w:spacing w:val="11"/>
                <w:sz w:val="21"/>
                <w:szCs w:val="21"/>
                <w:lang w:eastAsia="zh-CN"/>
              </w:rPr>
              <w:t>检测参数</w:t>
            </w:r>
          </w:p>
        </w:tc>
        <w:tc>
          <w:tcPr>
            <w:tcW w:w="6075" w:type="dxa"/>
            <w:noWrap w:val="0"/>
            <w:vAlign w:val="center"/>
          </w:tcPr>
          <w:p>
            <w:pPr>
              <w:spacing w:line="240" w:lineRule="auto"/>
              <w:ind w:firstLine="466" w:firstLineChars="200"/>
              <w:jc w:val="center"/>
              <w:rPr>
                <w:rFonts w:hint="eastAsia" w:ascii="仿宋_GB2312" w:eastAsia="仿宋_GB2312" w:cs="仿宋_GB2312"/>
                <w:b/>
                <w:bCs/>
                <w:spacing w:val="11"/>
                <w:sz w:val="21"/>
                <w:szCs w:val="21"/>
                <w:lang w:eastAsia="zh-CN"/>
              </w:rPr>
            </w:pPr>
            <w:r>
              <w:rPr>
                <w:rFonts w:hint="eastAsia" w:ascii="仿宋_GB2312" w:eastAsia="仿宋_GB2312" w:cs="仿宋_GB2312"/>
                <w:b/>
                <w:bCs/>
                <w:spacing w:val="11"/>
                <w:sz w:val="21"/>
                <w:szCs w:val="21"/>
                <w:lang w:eastAsia="zh-CN"/>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045" w:type="dxa"/>
            <w:noWrap w:val="0"/>
            <w:vAlign w:val="top"/>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禁用药物：β-受体激动剂类（克伦特罗、莱克多巴胺、沙丁胺醇、特布他林、西马特罗、氯丙那林、妥布特罗、</w:t>
            </w:r>
            <w:r>
              <w:rPr>
                <w:rFonts w:hint="eastAsia" w:ascii="仿宋_GB2312" w:eastAsia="仿宋_GB2312" w:cs="仿宋_GB2312"/>
                <w:spacing w:val="11"/>
                <w:sz w:val="21"/>
                <w:szCs w:val="21"/>
                <w:lang w:val="en-US" w:eastAsia="zh-CN"/>
              </w:rPr>
              <w:t>非诺特罗、喷布特罗</w:t>
            </w:r>
            <w:r>
              <w:rPr>
                <w:rFonts w:hint="eastAsia" w:ascii="仿宋_GB2312" w:eastAsia="仿宋_GB2312" w:cs="仿宋_GB2312"/>
                <w:spacing w:val="11"/>
                <w:sz w:val="21"/>
                <w:szCs w:val="21"/>
                <w:lang w:eastAsia="zh-CN"/>
              </w:rPr>
              <w:t>）</w:t>
            </w:r>
          </w:p>
        </w:tc>
        <w:tc>
          <w:tcPr>
            <w:tcW w:w="6075"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动物源性食品中β-受体激动剂残留检测</w:t>
            </w:r>
            <w:r>
              <w:rPr>
                <w:rFonts w:hint="eastAsia" w:ascii="仿宋_GB2312" w:eastAsia="仿宋_GB2312" w:cs="仿宋_GB2312"/>
                <w:spacing w:val="11"/>
                <w:sz w:val="21"/>
                <w:szCs w:val="21"/>
                <w:lang w:val="en-US" w:eastAsia="zh-CN"/>
              </w:rPr>
              <w:t xml:space="preserve"> </w:t>
            </w:r>
            <w:r>
              <w:rPr>
                <w:rFonts w:hint="eastAsia" w:ascii="仿宋_GB2312" w:eastAsia="仿宋_GB2312" w:cs="仿宋_GB2312"/>
                <w:spacing w:val="11"/>
                <w:sz w:val="21"/>
                <w:szCs w:val="21"/>
                <w:lang w:eastAsia="zh-CN"/>
              </w:rPr>
              <w:t>液相色谱</w:t>
            </w:r>
            <w:r>
              <w:rPr>
                <w:rFonts w:hint="eastAsia" w:ascii="仿宋_GB2312" w:eastAsia="仿宋_GB2312" w:cs="仿宋_GB2312"/>
                <w:spacing w:val="11"/>
                <w:sz w:val="21"/>
                <w:szCs w:val="21"/>
                <w:lang w:val="en-US" w:eastAsia="zh-CN"/>
              </w:rPr>
              <w:t>-</w:t>
            </w:r>
            <w:r>
              <w:rPr>
                <w:rFonts w:hint="eastAsia" w:ascii="仿宋_GB2312" w:eastAsia="仿宋_GB2312" w:cs="仿宋_GB2312"/>
                <w:spacing w:val="11"/>
                <w:sz w:val="21"/>
                <w:szCs w:val="21"/>
                <w:lang w:eastAsia="zh-CN"/>
              </w:rPr>
              <w:t>串联质谱法（农业部1025公告-18-2008）。</w:t>
            </w:r>
          </w:p>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食品安全国家标准 动物性食品中β－受体激动剂残留量的测定 液相色谱-串联质谱法（GB 31658.22-2022）。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045"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常规药物：磺胺类（磺胺间甲氧嘧啶、磺胺二甲嘧啶、磺胺甲噁唑、磺胺二甲氧嘧啶、</w:t>
            </w:r>
            <w:r>
              <w:rPr>
                <w:rFonts w:hint="eastAsia" w:ascii="仿宋_GB2312" w:eastAsia="仿宋_GB2312" w:cs="仿宋_GB2312"/>
                <w:spacing w:val="11"/>
                <w:sz w:val="21"/>
                <w:szCs w:val="21"/>
                <w:lang w:val="en-US" w:eastAsia="zh-CN"/>
              </w:rPr>
              <w:t>磺胺喹噁啉</w:t>
            </w:r>
            <w:r>
              <w:rPr>
                <w:rFonts w:hint="eastAsia" w:ascii="仿宋_GB2312" w:eastAsia="仿宋_GB2312" w:cs="仿宋_GB2312"/>
                <w:spacing w:val="11"/>
                <w:sz w:val="21"/>
                <w:szCs w:val="21"/>
                <w:lang w:eastAsia="zh-CN"/>
              </w:rPr>
              <w:t>）</w:t>
            </w:r>
          </w:p>
        </w:tc>
        <w:tc>
          <w:tcPr>
            <w:tcW w:w="6075" w:type="dxa"/>
            <w:noWrap w:val="0"/>
            <w:vAlign w:val="top"/>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食品安全国家标准 动物性食品中四环素类、磺胺类和喹诺酮类药物残留量的测定 液相色谱－串联质谱法（GB 31658.17-2021）。</w:t>
            </w:r>
          </w:p>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磺胺类药物在动物可食性组织中残留的高效液相色谱检测方法（参见农质发〔2014〕5号文件附录）。</w:t>
            </w:r>
          </w:p>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畜禽中十六种磺胺类药物残留量的测定 液相色谱</w:t>
            </w:r>
            <w:r>
              <w:rPr>
                <w:rFonts w:hint="eastAsia" w:ascii="仿宋_GB2312" w:eastAsia="仿宋_GB2312" w:cs="仿宋_GB2312"/>
                <w:spacing w:val="11"/>
                <w:sz w:val="21"/>
                <w:szCs w:val="21"/>
                <w:lang w:val="en-US" w:eastAsia="zh-CN"/>
              </w:rPr>
              <w:t>-</w:t>
            </w:r>
            <w:r>
              <w:rPr>
                <w:rFonts w:hint="eastAsia" w:ascii="仿宋_GB2312" w:eastAsia="仿宋_GB2312" w:cs="仿宋_GB2312"/>
                <w:spacing w:val="11"/>
                <w:sz w:val="21"/>
                <w:szCs w:val="21"/>
                <w:lang w:eastAsia="zh-CN"/>
              </w:rPr>
              <w:t>串联质谱法（GB/T</w:t>
            </w:r>
            <w:r>
              <w:rPr>
                <w:rFonts w:hint="eastAsia" w:ascii="仿宋_GB2312" w:eastAsia="仿宋_GB2312" w:cs="仿宋_GB2312"/>
                <w:spacing w:val="11"/>
                <w:sz w:val="21"/>
                <w:szCs w:val="21"/>
                <w:lang w:val="en-US" w:eastAsia="zh-CN"/>
              </w:rPr>
              <w:t xml:space="preserve"> </w:t>
            </w:r>
            <w:r>
              <w:rPr>
                <w:rFonts w:hint="eastAsia" w:ascii="仿宋_GB2312" w:eastAsia="仿宋_GB2312" w:cs="仿宋_GB2312"/>
                <w:spacing w:val="11"/>
                <w:sz w:val="21"/>
                <w:szCs w:val="21"/>
                <w:lang w:eastAsia="zh-CN"/>
              </w:rPr>
              <w:t>20759</w:t>
            </w:r>
            <w:r>
              <w:rPr>
                <w:rFonts w:hint="eastAsia" w:ascii="仿宋_GB2312" w:eastAsia="仿宋_GB2312" w:cs="仿宋_GB2312"/>
                <w:spacing w:val="11"/>
                <w:sz w:val="21"/>
                <w:szCs w:val="21"/>
                <w:lang w:val="en-US" w:eastAsia="zh-CN"/>
              </w:rPr>
              <w:t>-2006</w:t>
            </w:r>
            <w:r>
              <w:rPr>
                <w:rFonts w:hint="eastAsia" w:ascii="仿宋_GB2312" w:eastAsia="仿宋_GB2312" w:cs="仿宋_GB2312"/>
                <w:spacing w:val="1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045"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常规药物：四环素类（金霉素、土霉素、四环素、多西环素）</w:t>
            </w:r>
          </w:p>
        </w:tc>
        <w:tc>
          <w:tcPr>
            <w:tcW w:w="6075" w:type="dxa"/>
            <w:noWrap w:val="0"/>
            <w:vAlign w:val="top"/>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动物源性食品中四环素类兽药残留检测方法 液相色谱-质谱/质谱法与高效液相法（GB/T</w:t>
            </w:r>
            <w:r>
              <w:rPr>
                <w:rFonts w:hint="eastAsia" w:ascii="仿宋_GB2312" w:eastAsia="仿宋_GB2312" w:cs="仿宋_GB2312"/>
                <w:spacing w:val="11"/>
                <w:sz w:val="21"/>
                <w:szCs w:val="21"/>
                <w:lang w:val="en-US" w:eastAsia="zh-CN"/>
              </w:rPr>
              <w:t xml:space="preserve"> </w:t>
            </w:r>
            <w:r>
              <w:rPr>
                <w:rFonts w:hint="eastAsia" w:ascii="仿宋_GB2312" w:eastAsia="仿宋_GB2312" w:cs="仿宋_GB2312"/>
                <w:spacing w:val="11"/>
                <w:sz w:val="21"/>
                <w:szCs w:val="21"/>
                <w:lang w:eastAsia="zh-CN"/>
              </w:rPr>
              <w:t>21317</w:t>
            </w:r>
            <w:r>
              <w:rPr>
                <w:rFonts w:hint="eastAsia" w:ascii="仿宋_GB2312" w:eastAsia="仿宋_GB2312" w:cs="仿宋_GB2312"/>
                <w:spacing w:val="11"/>
                <w:sz w:val="21"/>
                <w:szCs w:val="21"/>
                <w:lang w:val="en-US" w:eastAsia="zh-CN"/>
              </w:rPr>
              <w:t>-2007</w:t>
            </w:r>
            <w:r>
              <w:rPr>
                <w:rFonts w:hint="eastAsia" w:ascii="仿宋_GB2312" w:eastAsia="仿宋_GB2312" w:cs="仿宋_GB2312"/>
                <w:spacing w:val="11"/>
                <w:sz w:val="21"/>
                <w:szCs w:val="21"/>
                <w:lang w:eastAsia="zh-CN"/>
              </w:rPr>
              <w:t>）。</w:t>
            </w:r>
          </w:p>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食品安全国家标准  动物性食品中四环素类药物残留量的测定 高效液相色谱法（GB 31658.6-2021）。</w:t>
            </w:r>
          </w:p>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食品安全国家标准 动物性食品中四环素类、磺胺类和喹诺酮类药物残留量的测定 液相色谱－串联质谱法（GB 31658.17-2021）。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045" w:type="dxa"/>
            <w:noWrap w:val="0"/>
            <w:vAlign w:val="center"/>
          </w:tcPr>
          <w:p>
            <w:pPr>
              <w:spacing w:line="240" w:lineRule="auto"/>
              <w:jc w:val="left"/>
              <w:rPr>
                <w:rFonts w:hint="default"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禁用</w:t>
            </w:r>
            <w:r>
              <w:rPr>
                <w:rFonts w:hint="eastAsia" w:ascii="仿宋_GB2312" w:eastAsia="仿宋_GB2312" w:cs="仿宋_GB2312"/>
                <w:spacing w:val="11"/>
                <w:sz w:val="21"/>
                <w:szCs w:val="21"/>
                <w:lang w:eastAsia="zh-CN"/>
              </w:rPr>
              <w:t>药物：</w:t>
            </w:r>
            <w:r>
              <w:rPr>
                <w:rFonts w:hint="eastAsia" w:ascii="仿宋_GB2312" w:eastAsia="仿宋_GB2312" w:cs="仿宋_GB2312"/>
                <w:spacing w:val="11"/>
                <w:sz w:val="21"/>
                <w:szCs w:val="21"/>
                <w:lang w:val="en-US" w:eastAsia="zh-CN"/>
              </w:rPr>
              <w:t>氯霉素</w:t>
            </w:r>
          </w:p>
        </w:tc>
        <w:tc>
          <w:tcPr>
            <w:tcW w:w="6075" w:type="dxa"/>
            <w:noWrap w:val="0"/>
            <w:vAlign w:val="top"/>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食品安全国家标准 动物性食品中酰胺醇类药物及其代谢物残留量的测定 液相色谱-串联质谱法(GB 31658.20-2022）。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045"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val="en-US" w:eastAsia="zh-CN"/>
              </w:rPr>
              <w:t>常规用药：糖皮质激素（地塞米松、倍他米松）</w:t>
            </w:r>
          </w:p>
        </w:tc>
        <w:tc>
          <w:tcPr>
            <w:tcW w:w="6075" w:type="dxa"/>
            <w:noWrap w:val="0"/>
            <w:vAlign w:val="top"/>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动物源性食品中糖皮质激素类药物多残留检测 液相色谱-串联质谱法</w:t>
            </w:r>
            <w:r>
              <w:rPr>
                <w:rFonts w:hint="eastAsia" w:ascii="仿宋_GB2312" w:eastAsia="仿宋_GB2312" w:cs="仿宋_GB2312"/>
                <w:spacing w:val="11"/>
                <w:sz w:val="21"/>
                <w:szCs w:val="21"/>
                <w:lang w:val="en-US" w:eastAsia="zh-CN"/>
              </w:rPr>
              <w:t xml:space="preserve"> （</w:t>
            </w:r>
            <w:r>
              <w:rPr>
                <w:rFonts w:hint="eastAsia" w:ascii="仿宋_GB2312" w:eastAsia="仿宋_GB2312" w:cs="仿宋_GB2312"/>
                <w:spacing w:val="11"/>
                <w:sz w:val="21"/>
                <w:szCs w:val="21"/>
                <w:lang w:eastAsia="zh-CN"/>
              </w:rPr>
              <w:t>农业部公告第1031号-2-2008</w:t>
            </w:r>
            <w:r>
              <w:rPr>
                <w:rFonts w:hint="eastAsia" w:ascii="仿宋_GB2312" w:eastAsia="仿宋_GB2312" w:cs="仿宋_GB2312"/>
                <w:spacing w:val="11"/>
                <w:sz w:val="21"/>
                <w:szCs w:val="21"/>
                <w:lang w:val="en-US" w:eastAsia="zh-CN"/>
              </w:rPr>
              <w:t>）。</w:t>
            </w:r>
          </w:p>
        </w:tc>
      </w:tr>
    </w:tbl>
    <w:p>
      <w:pPr>
        <w:spacing w:line="240" w:lineRule="auto"/>
        <w:ind w:firstLine="466" w:firstLineChars="200"/>
        <w:jc w:val="left"/>
        <w:rPr>
          <w:rFonts w:hint="eastAsia" w:ascii="仿宋_GB2312" w:eastAsia="仿宋_GB2312" w:cs="仿宋_GB2312"/>
          <w:b/>
          <w:bCs/>
          <w:spacing w:val="11"/>
          <w:sz w:val="21"/>
          <w:szCs w:val="21"/>
          <w:lang w:val="en-US" w:eastAsia="zh-CN"/>
        </w:rPr>
      </w:pPr>
      <w:r>
        <w:rPr>
          <w:rFonts w:hint="eastAsia" w:ascii="仿宋_GB2312" w:eastAsia="仿宋_GB2312" w:cs="仿宋_GB2312"/>
          <w:b/>
          <w:bCs/>
          <w:spacing w:val="11"/>
          <w:sz w:val="21"/>
          <w:szCs w:val="21"/>
          <w:lang w:val="en-US" w:eastAsia="zh-CN"/>
        </w:rPr>
        <w:t>④生猪尿样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0"/>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10" w:type="dxa"/>
            <w:noWrap w:val="0"/>
            <w:vAlign w:val="center"/>
          </w:tcPr>
          <w:p>
            <w:pPr>
              <w:spacing w:line="240" w:lineRule="auto"/>
              <w:ind w:firstLine="466" w:firstLineChars="200"/>
              <w:jc w:val="center"/>
              <w:rPr>
                <w:rFonts w:hint="eastAsia" w:ascii="仿宋_GB2312" w:eastAsia="仿宋_GB2312" w:cs="仿宋_GB2312"/>
                <w:b/>
                <w:bCs/>
                <w:spacing w:val="11"/>
                <w:sz w:val="21"/>
                <w:szCs w:val="21"/>
                <w:lang w:eastAsia="zh-CN"/>
              </w:rPr>
            </w:pPr>
            <w:r>
              <w:rPr>
                <w:rFonts w:hint="eastAsia" w:ascii="仿宋_GB2312" w:eastAsia="仿宋_GB2312" w:cs="仿宋_GB2312"/>
                <w:b/>
                <w:bCs/>
                <w:spacing w:val="11"/>
                <w:sz w:val="21"/>
                <w:szCs w:val="21"/>
                <w:lang w:eastAsia="zh-CN"/>
              </w:rPr>
              <w:t>检测参数</w:t>
            </w:r>
          </w:p>
        </w:tc>
        <w:tc>
          <w:tcPr>
            <w:tcW w:w="5925" w:type="dxa"/>
            <w:noWrap w:val="0"/>
            <w:vAlign w:val="center"/>
          </w:tcPr>
          <w:p>
            <w:pPr>
              <w:spacing w:line="240" w:lineRule="auto"/>
              <w:ind w:firstLine="466" w:firstLineChars="200"/>
              <w:jc w:val="center"/>
              <w:rPr>
                <w:rFonts w:hint="eastAsia" w:ascii="仿宋_GB2312" w:eastAsia="仿宋_GB2312" w:cs="仿宋_GB2312"/>
                <w:b/>
                <w:bCs/>
                <w:spacing w:val="11"/>
                <w:sz w:val="21"/>
                <w:szCs w:val="21"/>
                <w:lang w:eastAsia="zh-CN"/>
              </w:rPr>
            </w:pPr>
            <w:r>
              <w:rPr>
                <w:rFonts w:hint="eastAsia" w:ascii="仿宋_GB2312" w:eastAsia="仿宋_GB2312" w:cs="仿宋_GB2312"/>
                <w:b/>
                <w:bCs/>
                <w:spacing w:val="11"/>
                <w:sz w:val="21"/>
                <w:szCs w:val="21"/>
                <w:lang w:eastAsia="zh-CN"/>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10" w:type="dxa"/>
            <w:noWrap w:val="0"/>
            <w:vAlign w:val="top"/>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lang w:eastAsia="zh-CN"/>
              </w:rPr>
              <w:t>禁用药物：β-受体激动剂类（克仑特罗、莱克多巴胺、沙丁胺醇）</w:t>
            </w:r>
          </w:p>
        </w:tc>
        <w:tc>
          <w:tcPr>
            <w:tcW w:w="5925" w:type="dxa"/>
            <w:noWrap w:val="0"/>
            <w:vAlign w:val="center"/>
          </w:tcPr>
          <w:p>
            <w:pPr>
              <w:spacing w:line="240" w:lineRule="auto"/>
              <w:jc w:val="left"/>
              <w:rPr>
                <w:rFonts w:hint="eastAsia" w:ascii="仿宋_GB2312" w:eastAsia="仿宋_GB2312" w:cs="仿宋_GB2312"/>
                <w:spacing w:val="11"/>
                <w:sz w:val="21"/>
                <w:szCs w:val="21"/>
                <w:lang w:eastAsia="zh-CN"/>
              </w:rPr>
            </w:pPr>
            <w:r>
              <w:rPr>
                <w:rFonts w:hint="eastAsia" w:ascii="仿宋_GB2312" w:eastAsia="仿宋_GB2312" w:cs="仿宋_GB2312"/>
                <w:spacing w:val="11"/>
                <w:sz w:val="21"/>
                <w:szCs w:val="21"/>
              </w:rPr>
              <w:t>猪尿中β-受体激动剂多残留检测 液相色谱-串联质谱法农业部1025号公告-11-2008</w:t>
            </w:r>
          </w:p>
        </w:tc>
      </w:tr>
    </w:tbl>
    <w:p>
      <w:pPr>
        <w:spacing w:line="240" w:lineRule="auto"/>
        <w:ind w:firstLine="466" w:firstLineChars="200"/>
        <w:jc w:val="left"/>
        <w:rPr>
          <w:rFonts w:hint="eastAsia" w:ascii="仿宋_GB2312" w:eastAsia="仿宋_GB2312" w:cs="仿宋_GB2312"/>
          <w:b/>
          <w:bCs/>
          <w:spacing w:val="11"/>
          <w:sz w:val="21"/>
          <w:szCs w:val="21"/>
          <w:lang w:val="en-US" w:eastAsia="zh-CN"/>
        </w:rPr>
      </w:pPr>
      <w:r>
        <w:rPr>
          <w:rFonts w:hint="eastAsia" w:ascii="仿宋_GB2312" w:eastAsia="仿宋_GB2312" w:cs="仿宋_GB2312"/>
          <w:b/>
          <w:bCs/>
          <w:spacing w:val="11"/>
          <w:sz w:val="21"/>
          <w:szCs w:val="21"/>
          <w:lang w:val="en-US" w:eastAsia="zh-CN"/>
        </w:rPr>
        <w:t>(2)判定依据</w:t>
      </w:r>
    </w:p>
    <w:p>
      <w:pPr>
        <w:spacing w:line="240" w:lineRule="auto"/>
        <w:ind w:firstLine="464" w:firstLineChars="200"/>
        <w:jc w:val="left"/>
        <w:rPr>
          <w:rFonts w:hint="eastAsia"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①禁用药物β-受体激动剂类（克伦特罗、莱克多巴胺、沙丁胺醇、特布他林、西马特罗、氯丙那林、妥布特罗、非诺特罗、喷布特罗）在猪肉、猪肝、牛肉、牛肝和羊肉、羊肝中不得检出，判定限为0.5μg/kg;</w:t>
      </w:r>
    </w:p>
    <w:p>
      <w:pPr>
        <w:spacing w:line="240" w:lineRule="auto"/>
        <w:ind w:firstLine="464" w:firstLineChars="200"/>
        <w:jc w:val="left"/>
        <w:rPr>
          <w:rFonts w:hint="eastAsia"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②禁用药物氯霉素、金刚烷胺在禽肉和禽蛋中不得检出，判定限为检测方法的定量限。</w:t>
      </w:r>
    </w:p>
    <w:p>
      <w:pPr>
        <w:spacing w:line="240" w:lineRule="auto"/>
        <w:ind w:firstLine="464" w:firstLineChars="200"/>
        <w:jc w:val="left"/>
        <w:rPr>
          <w:rFonts w:hint="eastAsia"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③食品动物中停止使用的药物氧氟沙星、培氟沙星、诺氟沙星和洛美沙星在禽肉和禽蛋中的判定值按GB 31650.1-2022《食品安全国家标准 食品中41种兽药最大残留限量》判定，判定值均为2μg/kg。</w:t>
      </w:r>
    </w:p>
    <w:p>
      <w:pPr>
        <w:spacing w:line="240" w:lineRule="auto"/>
        <w:ind w:firstLine="464" w:firstLineChars="200"/>
        <w:jc w:val="left"/>
        <w:rPr>
          <w:rFonts w:hint="default"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④产蛋期不得使用药物恩诺沙星（以恩诺沙星和环丙沙星之和计）、达氟沙星、沙拉沙星、氟苯尼考（以氟苯尼考和氟苯尼考胺之和计）、</w:t>
      </w:r>
      <w:r>
        <w:rPr>
          <w:rFonts w:hint="eastAsia" w:ascii="仿宋_GB2312" w:eastAsia="仿宋_GB2312" w:cs="仿宋_GB2312"/>
          <w:spacing w:val="11"/>
          <w:sz w:val="21"/>
          <w:szCs w:val="21"/>
          <w:lang w:eastAsia="zh-CN"/>
        </w:rPr>
        <w:t>甲</w:t>
      </w:r>
      <w:r>
        <w:rPr>
          <w:rFonts w:hint="eastAsia" w:ascii="仿宋_GB2312" w:eastAsia="仿宋_GB2312" w:cs="仿宋_GB2312"/>
          <w:spacing w:val="11"/>
          <w:sz w:val="21"/>
          <w:szCs w:val="21"/>
          <w:lang w:val="en-US" w:eastAsia="zh-CN"/>
        </w:rPr>
        <w:t>砜霉素和多西环素（强力霉素）在禽蛋中的判定值按GB 31650.1-2022《食品安全国家标准 食品中41种兽药最大残留限量》判定，恩诺沙星（以恩诺沙星和环丙沙星之和计）、达氟沙星、氟苯尼考（以氟苯尼考和氟苯尼考胺之和计）、</w:t>
      </w:r>
      <w:r>
        <w:rPr>
          <w:rFonts w:hint="eastAsia" w:ascii="仿宋_GB2312" w:eastAsia="仿宋_GB2312" w:cs="仿宋_GB2312"/>
          <w:spacing w:val="11"/>
          <w:sz w:val="21"/>
          <w:szCs w:val="21"/>
          <w:lang w:eastAsia="zh-CN"/>
        </w:rPr>
        <w:t>甲</w:t>
      </w:r>
      <w:r>
        <w:rPr>
          <w:rFonts w:hint="eastAsia" w:ascii="仿宋_GB2312" w:eastAsia="仿宋_GB2312" w:cs="仿宋_GB2312"/>
          <w:spacing w:val="11"/>
          <w:sz w:val="21"/>
          <w:szCs w:val="21"/>
          <w:lang w:val="en-US" w:eastAsia="zh-CN"/>
        </w:rPr>
        <w:t>砜霉素和多西环素（强力霉素）的判定值均为10μg/kg，沙拉沙星判定值为5μg/kg。</w:t>
      </w:r>
    </w:p>
    <w:p>
      <w:pPr>
        <w:spacing w:line="240" w:lineRule="auto"/>
        <w:ind w:firstLine="464" w:firstLineChars="200"/>
        <w:jc w:val="left"/>
        <w:rPr>
          <w:rFonts w:hint="eastAsia"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⑤常规药物磺胺类（含甲氧苄啶）和四环素类在禽肉、禽肝、猪肉、猪肝、牛肉、牛肝和羊肉、羊肝中的残留按《食品中兽药最大残留限量》（GB 31650-2019）判定;磺胺二甲嘧啶在肌肉、脂肪、肝、肾组织中限量值均为100μg/kg。四环素、土霉素、金霉素、单个或组合在牛、羊、猪、家禽肌肉中限量值为200μg/kg、在肝中限量值为600μg/kg，在家禽蛋中限量值为400μg/kg。强力霉素（盐酸多西环素）在牛、猪、禽肌肉中限量值为100μg/kg、牛、猪、禽肝中中限量值为300μg/kg，家禽产蛋期不得使用，在禽蛋中限量值为10μg/kg。</w:t>
      </w:r>
    </w:p>
    <w:p>
      <w:pPr>
        <w:spacing w:line="240" w:lineRule="auto"/>
        <w:ind w:firstLine="464" w:firstLineChars="200"/>
        <w:jc w:val="left"/>
        <w:rPr>
          <w:rFonts w:hint="eastAsia"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⑥常规药物恩诺沙星、环丙沙星、沙拉沙星、达氟沙星、甲砜霉素和氟苯尼考（以氟苯尼考和氟苯尼考胺之和计）在鸡肉中的残留按《食品中兽药最大残留限量》（GB 31650-2019）判定，鸡肉中恩诺沙星与环丙沙星之和计限量值为100μg/kg，沙拉沙星限量值为10μg/kg，禽肉中达氟沙星限量值为200μg/kg，禽肉中甲砜霉素限量值为50μg/kg，禽肉中氟苯尼考（以氟苯尼考和氟苯尼考胺之和计）限量值为100μg/kg。</w:t>
      </w:r>
    </w:p>
    <w:p>
      <w:pPr>
        <w:spacing w:line="240" w:lineRule="auto"/>
        <w:ind w:firstLine="464" w:firstLineChars="200"/>
        <w:jc w:val="left"/>
        <w:rPr>
          <w:rFonts w:hint="eastAsia"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⑦常规药物替米考星在鸡肌肉中限量值为150μg/kg。</w:t>
      </w:r>
    </w:p>
    <w:p>
      <w:pPr>
        <w:spacing w:line="240" w:lineRule="auto"/>
        <w:ind w:firstLine="464" w:firstLineChars="200"/>
        <w:jc w:val="left"/>
        <w:rPr>
          <w:rFonts w:hint="eastAsia"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⑧常规药物倍他米松在牛、猪肉中残留限量为0.75μg/kg在牛、猪肝中残留限量为2.0μg/kg；地塞米松在牛、猪肉中残留限量为1.0μg/kg，在牛、猪肝中残留限量为2.0μg/kg。</w:t>
      </w:r>
    </w:p>
    <w:p>
      <w:pPr>
        <w:spacing w:line="240" w:lineRule="auto"/>
        <w:ind w:firstLine="464" w:firstLineChars="200"/>
        <w:jc w:val="left"/>
        <w:rPr>
          <w:rFonts w:hint="eastAsia" w:ascii="仿宋_GB2312" w:eastAsia="仿宋_GB2312" w:cs="仿宋_GB2312"/>
          <w:spacing w:val="11"/>
          <w:sz w:val="21"/>
          <w:szCs w:val="21"/>
          <w:lang w:val="en-US" w:eastAsia="zh-CN"/>
        </w:rPr>
      </w:pPr>
      <w:r>
        <w:rPr>
          <w:rFonts w:hint="eastAsia" w:ascii="仿宋_GB2312" w:eastAsia="仿宋_GB2312" w:cs="仿宋_GB2312"/>
          <w:spacing w:val="11"/>
          <w:sz w:val="21"/>
          <w:szCs w:val="21"/>
        </w:rPr>
        <w:t>⑨</w:t>
      </w:r>
      <w:r>
        <w:rPr>
          <w:rFonts w:hint="eastAsia" w:ascii="仿宋_GB2312" w:eastAsia="仿宋_GB2312" w:cs="仿宋_GB2312"/>
          <w:spacing w:val="11"/>
          <w:sz w:val="21"/>
          <w:szCs w:val="21"/>
          <w:lang w:val="en-US" w:eastAsia="zh-CN"/>
        </w:rPr>
        <w:t>禁用药物硝基呋喃类（3-氨基-2-恶唑酮、5-吗啉甲基-3-氨基-2-恶唑烷基酮、1-氨基-乙内酰脲、氨基脲）在禽肉中不得检出，判定限为0.5μg/kg。</w:t>
      </w:r>
    </w:p>
    <w:p>
      <w:pPr>
        <w:spacing w:line="240" w:lineRule="auto"/>
        <w:ind w:firstLine="464" w:firstLineChars="200"/>
        <w:jc w:val="left"/>
        <w:rPr>
          <w:rFonts w:hint="eastAsia" w:ascii="仿宋_GB2312" w:eastAsia="仿宋_GB2312" w:cs="仿宋_GB2312"/>
          <w:spacing w:val="11"/>
          <w:sz w:val="21"/>
          <w:szCs w:val="21"/>
          <w:lang w:val="en-US" w:eastAsia="zh-CN"/>
        </w:rPr>
      </w:pPr>
      <w:r>
        <w:rPr>
          <w:rFonts w:hint="eastAsia" w:ascii="仿宋_GB2312" w:eastAsia="仿宋_GB2312" w:cs="仿宋_GB2312"/>
          <w:spacing w:val="11"/>
          <w:sz w:val="21"/>
          <w:szCs w:val="21"/>
          <w:lang w:val="en-US" w:eastAsia="zh-CN"/>
        </w:rPr>
        <w:t>检测参数、判定值和检测方法标准若应农产品质量安全监管司要求更新，将另行通知。</w:t>
      </w:r>
    </w:p>
    <w:p>
      <w:pPr>
        <w:keepNext w:val="0"/>
        <w:keepLines w:val="0"/>
        <w:pageBreakBefore w:val="0"/>
        <w:kinsoku/>
        <w:wordWrap/>
        <w:overflowPunct/>
        <w:topLinePunct w:val="0"/>
        <w:autoSpaceDE/>
        <w:autoSpaceDN/>
        <w:bidi w:val="0"/>
        <w:adjustRightInd/>
        <w:spacing w:line="340" w:lineRule="exact"/>
        <w:ind w:firstLine="420" w:firstLineChars="200"/>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二、水产品监督抽样必检检测参数</w:t>
      </w:r>
    </w:p>
    <w:p>
      <w:pPr>
        <w:keepNext w:val="0"/>
        <w:keepLines w:val="0"/>
        <w:pageBreakBefore w:val="0"/>
        <w:numPr>
          <w:ilvl w:val="0"/>
          <w:numId w:val="0"/>
        </w:numPr>
        <w:tabs>
          <w:tab w:val="left" w:pos="0"/>
        </w:tabs>
        <w:kinsoku/>
        <w:wordWrap/>
        <w:overflowPunct/>
        <w:topLinePunct w:val="0"/>
        <w:autoSpaceDE/>
        <w:autoSpaceDN/>
        <w:bidi w:val="0"/>
        <w:adjustRightInd/>
        <w:spacing w:line="340" w:lineRule="exact"/>
        <w:ind w:firstLine="422" w:firstLineChars="200"/>
        <w:textAlignment w:val="auto"/>
        <w:outlineLvl w:val="0"/>
        <w:rPr>
          <w:rFonts w:hint="eastAsia" w:ascii="仿宋_GB2312" w:eastAsia="仿宋_GB2312" w:cs="仿宋_GB2312"/>
          <w:b/>
          <w:bCs/>
          <w:spacing w:val="11"/>
          <w:sz w:val="21"/>
          <w:szCs w:val="21"/>
        </w:rPr>
      </w:pPr>
      <w:r>
        <w:rPr>
          <w:rFonts w:hint="eastAsia" w:ascii="仿宋_GB2312" w:hAnsi="仿宋_GB2312" w:eastAsia="仿宋_GB2312" w:cs="仿宋_GB2312"/>
          <w:b/>
          <w:bCs/>
          <w:color w:val="auto"/>
          <w:kern w:val="28"/>
          <w:sz w:val="21"/>
          <w:szCs w:val="21"/>
          <w:lang w:val="en-US" w:eastAsia="zh-CN"/>
        </w:rPr>
        <w:t>1.水产品监督抽查</w:t>
      </w:r>
      <w:r>
        <w:rPr>
          <w:rFonts w:hint="eastAsia" w:ascii="仿宋_GB2312" w:hAnsi="仿宋_GB2312" w:eastAsia="仿宋_GB2312" w:cs="仿宋_GB2312"/>
          <w:b/>
          <w:bCs/>
          <w:color w:val="auto"/>
          <w:kern w:val="28"/>
          <w:sz w:val="21"/>
          <w:szCs w:val="21"/>
        </w:rPr>
        <w:t>检测方法</w:t>
      </w:r>
      <w:r>
        <w:rPr>
          <w:rFonts w:hint="eastAsia" w:ascii="仿宋_GB2312" w:hAnsi="仿宋_GB2312" w:eastAsia="仿宋_GB2312" w:cs="仿宋_GB2312"/>
          <w:b/>
          <w:bCs/>
          <w:color w:val="auto"/>
          <w:kern w:val="28"/>
          <w:sz w:val="21"/>
          <w:szCs w:val="21"/>
          <w:lang w:eastAsia="zh-CN"/>
        </w:rPr>
        <w:t>和</w:t>
      </w:r>
      <w:r>
        <w:rPr>
          <w:rFonts w:hint="eastAsia" w:ascii="仿宋_GB2312" w:eastAsia="仿宋_GB2312" w:cs="仿宋_GB2312"/>
          <w:b/>
          <w:bCs/>
          <w:spacing w:val="11"/>
          <w:sz w:val="21"/>
          <w:szCs w:val="21"/>
        </w:rPr>
        <w:t>检测结果判定要求</w:t>
      </w:r>
    </w:p>
    <w:p>
      <w:pPr>
        <w:spacing w:line="240" w:lineRule="auto"/>
        <w:ind w:firstLine="464" w:firstLineChars="200"/>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rPr>
        <w:t>氯霉素:SC/T3018-2004《水产品中氯霉素残留量的测定气相色谱法》、农业部781号公告-2-2006《动物源食品中氯霉素残留量的测定》、农业部 958号公告-13-2007《水产品中氯霉素、甲砜霉素、氟甲砜霉素残留量的测定》、农业部958号公告-14-2007《水产品中氯霉素、甲砜霉素、氟甲砜霉素残留量的测定》、GB/T</w:t>
      </w:r>
      <w:r>
        <w:rPr>
          <w:rFonts w:hint="eastAsia" w:ascii="仿宋_GB2312" w:eastAsia="仿宋_GB2312" w:cs="仿宋_GB2312"/>
          <w:spacing w:val="11"/>
          <w:sz w:val="21"/>
          <w:szCs w:val="21"/>
          <w:lang w:val="en-US" w:eastAsia="zh-CN"/>
        </w:rPr>
        <w:t xml:space="preserve"> </w:t>
      </w:r>
      <w:r>
        <w:rPr>
          <w:rFonts w:hint="eastAsia" w:ascii="仿宋_GB2312" w:eastAsia="仿宋_GB2312" w:cs="仿宋_GB2312"/>
          <w:spacing w:val="11"/>
          <w:sz w:val="21"/>
          <w:szCs w:val="21"/>
        </w:rPr>
        <w:t>20756-2006《可食动物肌肉、肝脏和水产品中氯霉素、甲砜霉素、氟苯尼考残留量的测定》</w:t>
      </w:r>
      <w:r>
        <w:rPr>
          <w:rFonts w:hint="eastAsia" w:ascii="仿宋_GB2312" w:eastAsia="仿宋_GB2312" w:cs="仿宋_GB2312"/>
          <w:spacing w:val="11"/>
          <w:sz w:val="21"/>
          <w:szCs w:val="21"/>
          <w:lang w:eastAsia="zh-CN"/>
        </w:rPr>
        <w:t>，</w:t>
      </w:r>
      <w:r>
        <w:rPr>
          <w:rFonts w:hint="eastAsia" w:ascii="仿宋_GB2312" w:eastAsia="仿宋_GB2312" w:cs="仿宋_GB2312"/>
          <w:spacing w:val="11"/>
          <w:sz w:val="21"/>
          <w:szCs w:val="21"/>
        </w:rPr>
        <w:t>判定限量0.3μg/kg。</w:t>
      </w:r>
    </w:p>
    <w:p>
      <w:pPr>
        <w:spacing w:line="240" w:lineRule="auto"/>
        <w:ind w:firstLine="464" w:firstLineChars="200"/>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rPr>
        <w:t>孔雀石绿:GB/T19857-2005《水产品中孔雀石绿和结晶紫残留量的测定》、</w:t>
      </w:r>
    </w:p>
    <w:p>
      <w:pPr>
        <w:spacing w:line="240" w:lineRule="auto"/>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rPr>
        <w:t>GB/T20361-2006《水产品中孔雀石绿和结晶紫残留量的测定》，判定限量显色孔雀石绿和隐色孔雀石绿总量1μg/kg。</w:t>
      </w:r>
    </w:p>
    <w:p>
      <w:pPr>
        <w:spacing w:line="240" w:lineRule="auto"/>
        <w:ind w:firstLine="464" w:firstLineChars="200"/>
        <w:jc w:val="left"/>
        <w:rPr>
          <w:rFonts w:hint="eastAsia" w:ascii="仿宋_GB2312" w:eastAsia="仿宋_GB2312" w:cs="仿宋_GB2312"/>
          <w:spacing w:val="11"/>
          <w:sz w:val="21"/>
          <w:szCs w:val="21"/>
        </w:rPr>
      </w:pPr>
      <w:r>
        <w:rPr>
          <w:rFonts w:hint="eastAsia" w:ascii="仿宋_GB2312" w:eastAsia="仿宋_GB2312" w:cs="仿宋_GB2312"/>
          <w:spacing w:val="11"/>
          <w:sz w:val="21"/>
          <w:szCs w:val="21"/>
        </w:rPr>
        <w:t>硝基呋喃类代谢物:农业部783号公告-1-2006《水产品中硝基呋喃类代谢物残留量的测定》、农业部1077号公告-2-2008《水产品中硝基呋喃类代谢物残留量的测定》,各项硝基呋喃类代谢物(AOZ、AMOZ、AHD和SEM)判定限量1μg/kg。</w:t>
      </w:r>
    </w:p>
    <w:p>
      <w:pPr>
        <w:spacing w:line="240" w:lineRule="auto"/>
        <w:ind w:firstLine="464" w:firstLineChars="200"/>
        <w:jc w:val="left"/>
        <w:rPr>
          <w:rFonts w:hint="eastAsia" w:ascii="黑体" w:hAnsi="黑体" w:eastAsia="黑体" w:cs="黑体"/>
          <w:b w:val="0"/>
          <w:bCs w:val="0"/>
          <w:color w:val="auto"/>
          <w:kern w:val="0"/>
          <w:sz w:val="32"/>
          <w:szCs w:val="32"/>
          <w:lang w:eastAsia="zh-CN"/>
        </w:rPr>
      </w:pPr>
      <w:r>
        <w:rPr>
          <w:rFonts w:hint="eastAsia" w:ascii="仿宋_GB2312" w:eastAsia="仿宋_GB2312" w:cs="仿宋_GB2312"/>
          <w:spacing w:val="11"/>
          <w:sz w:val="21"/>
          <w:szCs w:val="21"/>
        </w:rPr>
        <w:t>备注:各检测项目除采用上述所列检测方法外，如有其他国家标准、行业标准以及部文公告的检测方法，且其最低检出限能满足限量值要求时，在检测中可以采用。</w:t>
      </w: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before="75" w:after="75" w:line="340" w:lineRule="exac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eastAsia="zh-CN"/>
        </w:rPr>
        <w:t>附件</w:t>
      </w:r>
      <w:r>
        <w:rPr>
          <w:rFonts w:hint="eastAsia" w:ascii="黑体" w:hAnsi="黑体" w:eastAsia="黑体" w:cs="黑体"/>
          <w:b w:val="0"/>
          <w:bCs w:val="0"/>
          <w:color w:val="auto"/>
          <w:kern w:val="0"/>
          <w:sz w:val="32"/>
          <w:szCs w:val="32"/>
          <w:lang w:val="en-US" w:eastAsia="zh-CN"/>
        </w:rPr>
        <w:t>3</w:t>
      </w:r>
    </w:p>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bCs/>
          <w:color w:val="auto"/>
          <w:kern w:val="0"/>
          <w:sz w:val="24"/>
          <w:szCs w:val="24"/>
          <w:lang w:val="en-US" w:eastAsia="zh-CN"/>
        </w:rPr>
      </w:pPr>
      <w:r>
        <w:rPr>
          <w:rFonts w:hint="eastAsia"/>
          <w:b/>
          <w:bCs/>
          <w:sz w:val="24"/>
          <w:szCs w:val="24"/>
          <w:lang w:val="en-US" w:eastAsia="zh-CN"/>
        </w:rPr>
        <w:t>农产品(水产品）任务分解表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9"/>
        <w:gridCol w:w="345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vMerge w:val="restart"/>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default"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种植业产品</w:t>
            </w:r>
          </w:p>
        </w:tc>
        <w:tc>
          <w:tcPr>
            <w:tcW w:w="3452"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default"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果蔬</w:t>
            </w:r>
          </w:p>
        </w:tc>
        <w:tc>
          <w:tcPr>
            <w:tcW w:w="2841"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default"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225批次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vMerge w:val="continue"/>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default" w:ascii="仿宋" w:hAnsi="宋体" w:eastAsia="仿宋" w:cs="宋体"/>
                <w:b w:val="0"/>
                <w:bCs w:val="0"/>
                <w:color w:val="auto"/>
                <w:kern w:val="0"/>
                <w:sz w:val="24"/>
                <w:szCs w:val="24"/>
                <w:vertAlign w:val="baseline"/>
                <w:lang w:val="en-US" w:eastAsia="zh-CN"/>
              </w:rPr>
            </w:pPr>
          </w:p>
        </w:tc>
        <w:tc>
          <w:tcPr>
            <w:tcW w:w="3452"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default"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茶叶</w:t>
            </w:r>
          </w:p>
        </w:tc>
        <w:tc>
          <w:tcPr>
            <w:tcW w:w="2841"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default"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10批次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vMerge w:val="restart"/>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default"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畜禽产品</w:t>
            </w:r>
          </w:p>
        </w:tc>
        <w:tc>
          <w:tcPr>
            <w:tcW w:w="3452"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default"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禽肉</w:t>
            </w:r>
          </w:p>
        </w:tc>
        <w:tc>
          <w:tcPr>
            <w:tcW w:w="2841"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default"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20批次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vMerge w:val="continue"/>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val="0"/>
                <w:bCs w:val="0"/>
                <w:color w:val="auto"/>
                <w:kern w:val="0"/>
                <w:sz w:val="24"/>
                <w:szCs w:val="24"/>
                <w:vertAlign w:val="baseline"/>
                <w:lang w:val="en-US" w:eastAsia="zh-CN"/>
              </w:rPr>
            </w:pPr>
          </w:p>
        </w:tc>
        <w:tc>
          <w:tcPr>
            <w:tcW w:w="3452"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猪肉</w:t>
            </w:r>
          </w:p>
        </w:tc>
        <w:tc>
          <w:tcPr>
            <w:tcW w:w="2841"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35批次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vMerge w:val="continue"/>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val="0"/>
                <w:bCs w:val="0"/>
                <w:color w:val="auto"/>
                <w:kern w:val="0"/>
                <w:sz w:val="24"/>
                <w:szCs w:val="24"/>
                <w:vertAlign w:val="baseline"/>
                <w:lang w:val="en-US" w:eastAsia="zh-CN"/>
              </w:rPr>
            </w:pPr>
          </w:p>
        </w:tc>
        <w:tc>
          <w:tcPr>
            <w:tcW w:w="3452"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禽蛋</w:t>
            </w:r>
          </w:p>
        </w:tc>
        <w:tc>
          <w:tcPr>
            <w:tcW w:w="2841"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default"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35批次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vMerge w:val="continue"/>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val="0"/>
                <w:bCs w:val="0"/>
                <w:color w:val="auto"/>
                <w:kern w:val="0"/>
                <w:sz w:val="24"/>
                <w:szCs w:val="24"/>
                <w:vertAlign w:val="baseline"/>
                <w:lang w:val="en-US" w:eastAsia="zh-CN"/>
              </w:rPr>
            </w:pPr>
          </w:p>
        </w:tc>
        <w:tc>
          <w:tcPr>
            <w:tcW w:w="3452"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生猪尿样</w:t>
            </w:r>
          </w:p>
        </w:tc>
        <w:tc>
          <w:tcPr>
            <w:tcW w:w="2841"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default"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110批次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29"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水产品</w:t>
            </w:r>
          </w:p>
        </w:tc>
        <w:tc>
          <w:tcPr>
            <w:tcW w:w="3452" w:type="dxa"/>
            <w:vAlign w:val="top"/>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产地水产品质量安全监督抽查</w:t>
            </w:r>
          </w:p>
        </w:tc>
        <w:tc>
          <w:tcPr>
            <w:tcW w:w="2841" w:type="dxa"/>
            <w:vAlign w:val="center"/>
          </w:tcPr>
          <w:p>
            <w:pPr>
              <w:keepNext w:val="0"/>
              <w:keepLines w:val="0"/>
              <w:pageBreakBefore w:val="0"/>
              <w:widowControl/>
              <w:kinsoku/>
              <w:wordWrap/>
              <w:overflowPunct/>
              <w:topLinePunct w:val="0"/>
              <w:autoSpaceDE/>
              <w:autoSpaceDN/>
              <w:bidi w:val="0"/>
              <w:adjustRightInd/>
              <w:spacing w:before="75" w:after="75" w:line="340" w:lineRule="exact"/>
              <w:jc w:val="center"/>
              <w:textAlignment w:val="auto"/>
              <w:rPr>
                <w:rFonts w:hint="eastAsia" w:ascii="仿宋" w:hAnsi="宋体" w:eastAsia="仿宋" w:cs="宋体"/>
                <w:b w:val="0"/>
                <w:bCs w:val="0"/>
                <w:color w:val="auto"/>
                <w:kern w:val="0"/>
                <w:sz w:val="24"/>
                <w:szCs w:val="24"/>
                <w:vertAlign w:val="baseline"/>
                <w:lang w:val="en-US" w:eastAsia="zh-CN"/>
              </w:rPr>
            </w:pPr>
            <w:r>
              <w:rPr>
                <w:rFonts w:hint="eastAsia" w:ascii="仿宋" w:hAnsi="宋体" w:eastAsia="仿宋" w:cs="宋体"/>
                <w:b w:val="0"/>
                <w:bCs w:val="0"/>
                <w:color w:val="auto"/>
                <w:kern w:val="0"/>
                <w:sz w:val="24"/>
                <w:szCs w:val="24"/>
                <w:vertAlign w:val="baseline"/>
                <w:lang w:val="en-US" w:eastAsia="zh-CN"/>
              </w:rPr>
              <w:t>100批次</w:t>
            </w:r>
          </w:p>
        </w:tc>
      </w:tr>
    </w:tbl>
    <w:p>
      <w:pPr>
        <w:rPr>
          <w:rFonts w:hint="default" w:ascii="黑体" w:hAnsi="黑体" w:eastAsia="黑体" w:cs="黑体"/>
          <w:b w:val="0"/>
          <w:bCs w:val="0"/>
          <w:color w:val="auto"/>
          <w:kern w:val="0"/>
          <w:sz w:val="32"/>
          <w:szCs w:val="32"/>
          <w:lang w:val="en-US" w:eastAsia="zh-CN"/>
        </w:rPr>
      </w:pPr>
    </w:p>
    <w:sectPr>
      <w:footerReference r:id="rId3" w:type="default"/>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43189"/>
      <w:docPartObj>
        <w:docPartGallery w:val="autotext"/>
      </w:docPartObj>
    </w:sdtPr>
    <w:sdtContent>
      <w:p>
        <w:pPr>
          <w:pStyle w:val="8"/>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1OTk5OGM3MDhhZThhZGUwMmZiNzE0MzQzNTRkOWEifQ=="/>
  </w:docVars>
  <w:rsids>
    <w:rsidRoot w:val="004A41D3"/>
    <w:rsid w:val="000B3548"/>
    <w:rsid w:val="000E0C08"/>
    <w:rsid w:val="00104F2A"/>
    <w:rsid w:val="00127200"/>
    <w:rsid w:val="001317DB"/>
    <w:rsid w:val="001C182B"/>
    <w:rsid w:val="00250F6F"/>
    <w:rsid w:val="00392A27"/>
    <w:rsid w:val="003D3B1A"/>
    <w:rsid w:val="004201BF"/>
    <w:rsid w:val="00495925"/>
    <w:rsid w:val="004A41D3"/>
    <w:rsid w:val="004B0D73"/>
    <w:rsid w:val="004E3184"/>
    <w:rsid w:val="005934EA"/>
    <w:rsid w:val="005B2B3F"/>
    <w:rsid w:val="00685A2A"/>
    <w:rsid w:val="006E2853"/>
    <w:rsid w:val="006E5939"/>
    <w:rsid w:val="007421F7"/>
    <w:rsid w:val="00762F90"/>
    <w:rsid w:val="007B7718"/>
    <w:rsid w:val="007C691A"/>
    <w:rsid w:val="008B365D"/>
    <w:rsid w:val="009729E0"/>
    <w:rsid w:val="0099439B"/>
    <w:rsid w:val="009B0134"/>
    <w:rsid w:val="009D12B1"/>
    <w:rsid w:val="009E6338"/>
    <w:rsid w:val="00A104D6"/>
    <w:rsid w:val="00A211C2"/>
    <w:rsid w:val="00BA4416"/>
    <w:rsid w:val="00BB1824"/>
    <w:rsid w:val="00BD3D26"/>
    <w:rsid w:val="00BE6DB7"/>
    <w:rsid w:val="00C6652D"/>
    <w:rsid w:val="00C71D62"/>
    <w:rsid w:val="00C76578"/>
    <w:rsid w:val="00CA1119"/>
    <w:rsid w:val="00CD1D75"/>
    <w:rsid w:val="00D40D6F"/>
    <w:rsid w:val="00E41E63"/>
    <w:rsid w:val="00F310D9"/>
    <w:rsid w:val="011E217D"/>
    <w:rsid w:val="049771B0"/>
    <w:rsid w:val="055A0B3A"/>
    <w:rsid w:val="0D366907"/>
    <w:rsid w:val="0DD027B3"/>
    <w:rsid w:val="0DF512D7"/>
    <w:rsid w:val="0F155F26"/>
    <w:rsid w:val="10C35721"/>
    <w:rsid w:val="126167C8"/>
    <w:rsid w:val="1749190E"/>
    <w:rsid w:val="17784968"/>
    <w:rsid w:val="1CEB3647"/>
    <w:rsid w:val="1F4C7D7A"/>
    <w:rsid w:val="209A51DE"/>
    <w:rsid w:val="213E0D91"/>
    <w:rsid w:val="230F5ACA"/>
    <w:rsid w:val="24121725"/>
    <w:rsid w:val="24224493"/>
    <w:rsid w:val="29586338"/>
    <w:rsid w:val="29D11019"/>
    <w:rsid w:val="2A8820F8"/>
    <w:rsid w:val="2ABB6C4C"/>
    <w:rsid w:val="2E3F258F"/>
    <w:rsid w:val="30182689"/>
    <w:rsid w:val="310B3699"/>
    <w:rsid w:val="31817446"/>
    <w:rsid w:val="337D2A5D"/>
    <w:rsid w:val="348E04A2"/>
    <w:rsid w:val="35CB2F91"/>
    <w:rsid w:val="38197BC1"/>
    <w:rsid w:val="39BF18AF"/>
    <w:rsid w:val="3A5455ED"/>
    <w:rsid w:val="3E231234"/>
    <w:rsid w:val="42CC7290"/>
    <w:rsid w:val="44981418"/>
    <w:rsid w:val="45835E86"/>
    <w:rsid w:val="467E6EBF"/>
    <w:rsid w:val="49746D0E"/>
    <w:rsid w:val="4EEC684A"/>
    <w:rsid w:val="5D015BB7"/>
    <w:rsid w:val="61A016EE"/>
    <w:rsid w:val="62804404"/>
    <w:rsid w:val="63881CA0"/>
    <w:rsid w:val="64924635"/>
    <w:rsid w:val="66090676"/>
    <w:rsid w:val="6AEB4BB5"/>
    <w:rsid w:val="6CA1081C"/>
    <w:rsid w:val="70826138"/>
    <w:rsid w:val="70E026AC"/>
    <w:rsid w:val="718C0629"/>
    <w:rsid w:val="77AB69F3"/>
    <w:rsid w:val="796E0F6C"/>
    <w:rsid w:val="7BC65648"/>
    <w:rsid w:val="7C1B33F5"/>
    <w:rsid w:val="7CB30184"/>
    <w:rsid w:val="7D68370F"/>
    <w:rsid w:val="7E5756BB"/>
    <w:rsid w:val="7EC0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autoRedefine/>
    <w:qFormat/>
    <w:uiPriority w:val="0"/>
    <w:pPr>
      <w:widowControl/>
      <w:jc w:val="left"/>
      <w:outlineLvl w:val="0"/>
    </w:pPr>
    <w:rPr>
      <w:rFonts w:ascii="宋体" w:hAnsi="宋体" w:eastAsia="宋体" w:cs="宋体"/>
      <w:kern w:val="36"/>
      <w:sz w:val="48"/>
      <w:szCs w:val="48"/>
    </w:rPr>
  </w:style>
  <w:style w:type="paragraph" w:styleId="3">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semiHidden/>
    <w:unhideWhenUsed/>
    <w:qFormat/>
    <w:uiPriority w:val="99"/>
    <w:pPr>
      <w:ind w:firstLine="420" w:firstLineChars="200"/>
    </w:pPr>
  </w:style>
  <w:style w:type="paragraph" w:styleId="5">
    <w:name w:val="Body Text"/>
    <w:basedOn w:val="1"/>
    <w:autoRedefine/>
    <w:qFormat/>
    <w:uiPriority w:val="1"/>
    <w:pPr>
      <w:spacing w:before="161"/>
      <w:ind w:left="120"/>
    </w:pPr>
    <w:rPr>
      <w:rFonts w:ascii="宋体" w:hAnsi="宋体" w:eastAsia="宋体" w:cs="宋体"/>
      <w:sz w:val="24"/>
      <w:lang w:val="zh-CN" w:bidi="zh-CN"/>
    </w:rPr>
  </w:style>
  <w:style w:type="paragraph" w:styleId="6">
    <w:name w:val="Date"/>
    <w:basedOn w:val="1"/>
    <w:next w:val="1"/>
    <w:link w:val="18"/>
    <w:autoRedefine/>
    <w:semiHidden/>
    <w:unhideWhenUsed/>
    <w:qFormat/>
    <w:uiPriority w:val="99"/>
    <w:pPr>
      <w:ind w:left="100" w:leftChars="2500"/>
    </w:pPr>
  </w:style>
  <w:style w:type="paragraph" w:styleId="7">
    <w:name w:val="Balloon Text"/>
    <w:basedOn w:val="1"/>
    <w:link w:val="17"/>
    <w:autoRedefine/>
    <w:semiHidden/>
    <w:unhideWhenUsed/>
    <w:qFormat/>
    <w:uiPriority w:val="99"/>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semiHidden/>
    <w:unhideWhenUsed/>
    <w:qFormat/>
    <w:uiPriority w:val="99"/>
    <w:rPr>
      <w:color w:val="0000FF"/>
      <w:u w:val="single"/>
    </w:rPr>
  </w:style>
  <w:style w:type="character" w:customStyle="1" w:styleId="14">
    <w:name w:val="标题 1 Char"/>
    <w:basedOn w:val="12"/>
    <w:link w:val="2"/>
    <w:autoRedefine/>
    <w:qFormat/>
    <w:uiPriority w:val="0"/>
    <w:rPr>
      <w:rFonts w:ascii="宋体" w:hAnsi="宋体" w:eastAsia="宋体" w:cs="宋体"/>
      <w:kern w:val="36"/>
      <w:sz w:val="48"/>
      <w:szCs w:val="48"/>
    </w:rPr>
  </w:style>
  <w:style w:type="character" w:customStyle="1" w:styleId="15">
    <w:name w:val="页眉 Char"/>
    <w:basedOn w:val="12"/>
    <w:link w:val="9"/>
    <w:autoRedefine/>
    <w:semiHidden/>
    <w:qFormat/>
    <w:uiPriority w:val="99"/>
    <w:rPr>
      <w:sz w:val="18"/>
      <w:szCs w:val="18"/>
    </w:rPr>
  </w:style>
  <w:style w:type="character" w:customStyle="1" w:styleId="16">
    <w:name w:val="页脚 Char"/>
    <w:basedOn w:val="12"/>
    <w:link w:val="8"/>
    <w:autoRedefine/>
    <w:qFormat/>
    <w:uiPriority w:val="99"/>
    <w:rPr>
      <w:sz w:val="18"/>
      <w:szCs w:val="18"/>
    </w:rPr>
  </w:style>
  <w:style w:type="character" w:customStyle="1" w:styleId="17">
    <w:name w:val="批注框文本 Char"/>
    <w:basedOn w:val="12"/>
    <w:link w:val="7"/>
    <w:autoRedefine/>
    <w:semiHidden/>
    <w:qFormat/>
    <w:uiPriority w:val="99"/>
    <w:rPr>
      <w:sz w:val="18"/>
      <w:szCs w:val="18"/>
    </w:rPr>
  </w:style>
  <w:style w:type="character" w:customStyle="1" w:styleId="18">
    <w:name w:val="日期 Char"/>
    <w:basedOn w:val="12"/>
    <w:link w:val="6"/>
    <w:autoRedefine/>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14</Pages>
  <Words>11671</Words>
  <Characters>12855</Characters>
  <Lines>23</Lines>
  <Paragraphs>6</Paragraphs>
  <TotalTime>9</TotalTime>
  <ScaleCrop>false</ScaleCrop>
  <LinksUpToDate>false</LinksUpToDate>
  <CharactersWithSpaces>13029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2020-08-03T03:27:00Z</dcterms:created>
  <dc:creator>深度联盟http:/sdwm.org</dc:creator>
  <cp:lastModifiedBy>Administrator</cp:lastModifiedBy>
  <cp:lastPrinted>2024-01-02T01:03:00Z</cp:lastPrinted>
  <dcterms:modified xsi:type="dcterms:W3CDTF">2024-01-03T03:10:21Z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16EB0B0570C5414996DC20B154A46CC4_13</vt:lpwstr>
  </property>
</Properties>
</file>