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kern w:val="0"/>
          <w:sz w:val="24"/>
          <w:szCs w:val="24"/>
        </w:rPr>
      </w:pPr>
      <w:r>
        <w:rPr>
          <w:rFonts w:hint="eastAsia" w:ascii="方正小标宋简体" w:hAnsi="微软雅黑" w:eastAsia="方正小标宋简体" w:cs="宋体"/>
          <w:sz w:val="44"/>
          <w:szCs w:val="44"/>
        </w:rPr>
        <w:t>惠安县应急管理局行政处罚公示</w:t>
      </w:r>
    </w:p>
    <w:p>
      <w:pPr>
        <w:spacing w:line="580" w:lineRule="exact"/>
        <w:jc w:val="center"/>
        <w:rPr>
          <w:rFonts w:ascii="宋体" w:hAnsi="宋体" w:cs="宋体"/>
          <w:kern w:val="0"/>
          <w:sz w:val="24"/>
          <w:szCs w:val="24"/>
        </w:rPr>
      </w:pP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一、执法对象基本信息</w:t>
      </w:r>
    </w:p>
    <w:p>
      <w:pPr>
        <w:spacing w:line="580" w:lineRule="exact"/>
        <w:ind w:firstLine="640" w:firstLineChars="200"/>
        <w:jc w:val="left"/>
        <w:rPr>
          <w:rFonts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泉州市瓯昌树脂化工有限公司</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惠安县辋川镇泉惠石化园区（南星村）</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叶新民</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二、执法内容</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安全生产建设工程项目类违法</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泉州市瓯昌树脂化工有限公司未进行安全评价案</w:t>
      </w:r>
    </w:p>
    <w:p>
      <w:pPr>
        <w:spacing w:line="580" w:lineRule="exact"/>
        <w:ind w:firstLine="640" w:firstLineChars="200"/>
        <w:jc w:val="left"/>
        <w:rPr>
          <w:rFonts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根据群众举报，在泉州市瓯昌树脂化工有限公司内有未进行安全评价建设项目的行为。经现场核实，当事人在泉州市瓯昌树脂化工有限公司在甲类树脂车间内新增一个容量约为80立方米的立式液体顺酐伴热储罐（原料罐）以及在甲类车间旁旧车间内建设乙类液体储罐2个（成品罐）。</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三、执法决定</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当事人行为违反了《中华人民共和国安全生产法》第三十二条的规定，依据《中华人民共和国安全生产法》第九十八条第一项的规定，决定给予罚款人民币10万元（人民币壹拾万元整）的行政处罚。</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惠应急罚〔2022〕12号</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2022年5月20日</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四、执法机关</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惠安县应急管理局</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五、公示时间</w:t>
      </w:r>
    </w:p>
    <w:p>
      <w:pPr>
        <w:spacing w:line="580" w:lineRule="exact"/>
        <w:ind w:firstLine="640" w:firstLineChars="200"/>
        <w:jc w:val="left"/>
        <w:rPr>
          <w:rFonts w:ascii="宋体" w:hAnsi="宋体" w:cs="宋体"/>
          <w:kern w:val="0"/>
          <w:sz w:val="24"/>
          <w:szCs w:val="24"/>
        </w:rPr>
      </w:pPr>
      <w:r>
        <w:rPr>
          <w:rFonts w:hint="eastAsia" w:ascii="仿宋_GB2312" w:hAnsi="宋体" w:eastAsia="仿宋_GB2312" w:cs="宋体"/>
          <w:sz w:val="32"/>
          <w:szCs w:val="32"/>
        </w:rPr>
        <w:t>2022年5月27日</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1906" w:h="16838"/>
          <w:pgMar w:top="1701" w:right="1531" w:bottom="1701" w:left="1531" w:header="851" w:footer="992" w:gutter="0"/>
          <w:cols w:space="720" w:num="1"/>
          <w:docGrid w:type="lines" w:linePitch="312" w:charSpace="0"/>
        </w:sectPr>
      </w:pPr>
    </w:p>
    <w:tbl>
      <w:tblPr>
        <w:tblStyle w:val="5"/>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泉州市瓯昌树脂化工有限公司未进行安全评价案</w:t>
            </w:r>
          </w:p>
        </w:tc>
        <w:tc>
          <w:tcPr>
            <w:tcW w:w="2205"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泉州市瓯昌树脂化工有限公司</w:t>
            </w:r>
          </w:p>
        </w:tc>
        <w:tc>
          <w:tcPr>
            <w:tcW w:w="1114"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叶新民</w:t>
            </w:r>
          </w:p>
        </w:tc>
        <w:tc>
          <w:tcPr>
            <w:tcW w:w="298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t>根据群众举报，在泉州市瓯昌树脂化工有限公司内有未进行安全评价建设项目的行为。经现场核实，当事人在泉州市瓯昌树脂化工有限公司在甲类树脂车间内新增一个容量约为80立方米的立式液体顺酐伴热储罐（原料罐）以及在甲类车间旁旧车间内建设乙类液体储罐2个（成品罐）</w:t>
            </w:r>
          </w:p>
        </w:tc>
        <w:tc>
          <w:tcPr>
            <w:tcW w:w="250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当事人行为违反了《中华人民共和国安全生产法》第三十二条的规定，依据《中华人民共和国安全生产法》第九十八条第一项的规定，决定给予</w:t>
            </w:r>
            <w:r>
              <w:rPr>
                <w:rFonts w:hint="eastAsia" w:ascii="仿宋_GB2312" w:hAnsi="仿宋_GB2312" w:eastAsia="仿宋_GB2312" w:cs="仿宋_GB2312"/>
                <w:bCs/>
                <w:sz w:val="24"/>
                <w:szCs w:val="24"/>
                <w:lang w:eastAsia="zh-CN"/>
              </w:rPr>
              <w:t>行政处罚：</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罚款</w:t>
            </w:r>
            <w:bookmarkStart w:id="0" w:name="_GoBack"/>
            <w:bookmarkEnd w:id="0"/>
          </w:p>
        </w:tc>
        <w:tc>
          <w:tcPr>
            <w:tcW w:w="1697" w:type="dxa"/>
          </w:tcPr>
          <w:p>
            <w:p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惠安县应急管理局</w:t>
            </w:r>
          </w:p>
        </w:tc>
        <w:tc>
          <w:tcPr>
            <w:tcW w:w="1114"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2022年5月27日</w:t>
            </w:r>
          </w:p>
        </w:tc>
      </w:tr>
    </w:tbl>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05</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27</w:t>
      </w:r>
      <w:r>
        <w:rPr>
          <w:rFonts w:hint="eastAsia" w:ascii="黑体" w:hAnsi="黑体" w:eastAsia="黑体" w:cs="黑体"/>
          <w:b/>
          <w:bCs/>
          <w:sz w:val="32"/>
          <w:szCs w:val="32"/>
          <w:lang w:eastAsia="zh-CN"/>
        </w:rPr>
        <w:t>）</w:t>
      </w:r>
    </w:p>
    <w:p>
      <w:pPr>
        <w:rPr>
          <w:rFonts w:hint="eastAsia" w:ascii="黑体" w:hAnsi="黑体" w:eastAsia="黑体" w:cs="黑体"/>
          <w:sz w:val="28"/>
          <w:szCs w:val="28"/>
          <w:lang w:eastAsia="zh-CN"/>
        </w:rPr>
      </w:pPr>
    </w:p>
    <w:p>
      <w:pPr>
        <w:rPr>
          <w:rFonts w:hint="eastAsia" w:ascii="黑体" w:hAnsi="黑体" w:eastAsia="黑体" w:cs="黑体"/>
          <w:sz w:val="28"/>
          <w:szCs w:val="28"/>
          <w:lang w:eastAsia="zh-CN"/>
        </w:rPr>
      </w:pPr>
    </w:p>
    <w:p>
      <w:pPr>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仿宋_GB2312" w:hAnsi="仿宋_GB2312" w:eastAsia="仿宋_GB2312" w:cs="仿宋_GB2312"/>
          <w:bCs/>
          <w:sz w:val="24"/>
          <w:szCs w:val="24"/>
        </w:rPr>
        <w:t>泉州市瓯昌树脂化工有限公司未进行安全评价案</w:t>
      </w:r>
      <w:r>
        <w:rPr>
          <w:rFonts w:hint="eastAsia" w:ascii="宋体" w:hAnsi="宋体" w:eastAsia="宋体" w:cs="宋体"/>
          <w:bCs/>
          <w:sz w:val="24"/>
          <w:szCs w:val="24"/>
          <w:lang w:eastAsia="zh-CN"/>
        </w:rPr>
        <w:t>）</w:t>
      </w:r>
    </w:p>
    <w:p>
      <w:pPr>
        <w:spacing w:line="580" w:lineRule="exact"/>
      </w:pPr>
    </w:p>
    <w:p>
      <w:pPr>
        <w:spacing w:line="580" w:lineRule="exact"/>
      </w:pPr>
    </w:p>
    <w:sectPr>
      <w:pgSz w:w="16838" w:h="11906" w:orient="landscape"/>
      <w:pgMar w:top="1531" w:right="1701" w:bottom="153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11068B"/>
    <w:rsid w:val="001D26AC"/>
    <w:rsid w:val="00251628"/>
    <w:rsid w:val="00314204"/>
    <w:rsid w:val="00353971"/>
    <w:rsid w:val="00354EDE"/>
    <w:rsid w:val="003637AC"/>
    <w:rsid w:val="003A55B8"/>
    <w:rsid w:val="00517387"/>
    <w:rsid w:val="005B166D"/>
    <w:rsid w:val="005D5B62"/>
    <w:rsid w:val="00610858"/>
    <w:rsid w:val="007470DF"/>
    <w:rsid w:val="00783E75"/>
    <w:rsid w:val="009229CE"/>
    <w:rsid w:val="009739FF"/>
    <w:rsid w:val="00A45819"/>
    <w:rsid w:val="00B51E5B"/>
    <w:rsid w:val="00B5218A"/>
    <w:rsid w:val="00C1194B"/>
    <w:rsid w:val="00C61031"/>
    <w:rsid w:val="00D74EDA"/>
    <w:rsid w:val="00F857F2"/>
    <w:rsid w:val="07C81BD2"/>
    <w:rsid w:val="376F0996"/>
    <w:rsid w:val="3E561C53"/>
    <w:rsid w:val="3F0C538C"/>
    <w:rsid w:val="566A1271"/>
    <w:rsid w:val="76123DD1"/>
    <w:rsid w:val="7F9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824</Words>
  <Characters>853</Characters>
  <Lines>3</Lines>
  <Paragraphs>1</Paragraphs>
  <TotalTime>1</TotalTime>
  <ScaleCrop>false</ScaleCrop>
  <LinksUpToDate>false</LinksUpToDate>
  <CharactersWithSpaces>853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2022-08-02T09:05:00Z</cp:lastPrinted>
  <dcterms:modified xsi:type="dcterms:W3CDTF">2022-08-23T08:27:09Z</dcterms:modified>
  <dc:title>惠安县应急管理局行政处罚公示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671C782D226F4C24B494CDE44B20CECF</vt:lpwstr>
  </property>
</Properties>
</file>