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cs="宋体"/>
          <w:kern w:val="0"/>
          <w:sz w:val="24"/>
          <w:szCs w:val="24"/>
        </w:rPr>
      </w:pPr>
      <w:r>
        <w:rPr>
          <w:rFonts w:hint="eastAsia" w:ascii="方正小标宋简体" w:hAnsi="微软雅黑" w:eastAsia="方正小标宋简体" w:cs="宋体"/>
          <w:sz w:val="44"/>
          <w:szCs w:val="44"/>
        </w:rPr>
        <w:t>惠安县应急管理局行政处罚公示</w:t>
      </w:r>
    </w:p>
    <w:p>
      <w:pPr>
        <w:spacing w:line="580" w:lineRule="exact"/>
        <w:jc w:val="center"/>
        <w:rPr>
          <w:rFonts w:ascii="宋体" w:hAnsi="宋体" w:cs="宋体"/>
          <w:kern w:val="0"/>
          <w:sz w:val="24"/>
          <w:szCs w:val="24"/>
        </w:rPr>
      </w:pP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一、执法对象基本信息</w:t>
      </w:r>
    </w:p>
    <w:p>
      <w:pPr>
        <w:spacing w:line="580" w:lineRule="exact"/>
        <w:ind w:firstLine="640" w:firstLineChars="200"/>
        <w:jc w:val="left"/>
        <w:rPr>
          <w:rFonts w:ascii="仿宋" w:hAnsi="仿宋" w:eastAsia="仿宋" w:cs="宋体"/>
          <w:sz w:val="32"/>
          <w:szCs w:val="32"/>
        </w:rPr>
      </w:pPr>
      <w:r>
        <w:rPr>
          <w:rFonts w:hint="eastAsia" w:ascii="楷体_GB2312" w:hAnsi="楷体_GB2312" w:eastAsia="楷体_GB2312" w:cs="楷体_GB2312"/>
          <w:sz w:val="32"/>
          <w:szCs w:val="32"/>
        </w:rPr>
        <w:t>执法对象：</w:t>
      </w:r>
      <w:r>
        <w:rPr>
          <w:rFonts w:hint="eastAsia" w:ascii="仿宋" w:hAnsi="仿宋" w:eastAsia="仿宋" w:cs="宋体"/>
          <w:sz w:val="32"/>
          <w:szCs w:val="32"/>
        </w:rPr>
        <w:t>泉州精杰机械配件有限公司</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惠安县黄塘镇接待村</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_GB2312" w:hAnsi="宋体" w:eastAsia="仿宋_GB2312" w:cs="宋体"/>
          <w:bCs/>
          <w:sz w:val="32"/>
          <w:szCs w:val="32"/>
        </w:rPr>
        <w:t>叶奕淡</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二、执法内容</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安全生产培训教育类违法</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泉州精杰机械配件有限公司特种作业操作人员未持证上岗案</w:t>
      </w:r>
    </w:p>
    <w:p>
      <w:pPr>
        <w:spacing w:line="580" w:lineRule="exact"/>
        <w:ind w:firstLine="640" w:firstLineChars="200"/>
        <w:jc w:val="left"/>
        <w:rPr>
          <w:rFonts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2023年5月24日，我局执法人员对泉州精杰机械配件有限公司进行双随机检查时，发现该公司焊工李立国未持证上岗和自2022年以来无应急演练记录。</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三、执法决定</w:t>
      </w:r>
    </w:p>
    <w:p>
      <w:pPr>
        <w:spacing w:line="580" w:lineRule="exact"/>
        <w:ind w:firstLine="640" w:firstLineChars="200"/>
        <w:jc w:val="left"/>
        <w:rPr>
          <w:rFonts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三十条和《生产安全事故应急预案管理办法》第三十三条的规定，依据《中华人民共和国安全生产法》第九十七条第六项和第七项规定，参照《福建省安全生产行政处罚裁量标准2022版》，决定给予罚款人民币1万元（人民币壹万元整）的行政处罚。</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惠应急罚〔2023〕25号</w:t>
      </w:r>
    </w:p>
    <w:p>
      <w:pPr>
        <w:spacing w:line="58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2023年8月11日</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四、执法机关</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惠安县应急管理局</w:t>
      </w:r>
    </w:p>
    <w:p>
      <w:pPr>
        <w:spacing w:line="58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五、公示时间</w:t>
      </w:r>
    </w:p>
    <w:p>
      <w:pPr>
        <w:spacing w:line="580" w:lineRule="exact"/>
        <w:ind w:firstLine="640" w:firstLineChars="200"/>
        <w:jc w:val="left"/>
        <w:rPr>
          <w:rFonts w:ascii="宋体" w:hAnsi="宋体" w:cs="宋体"/>
          <w:kern w:val="0"/>
          <w:sz w:val="24"/>
          <w:szCs w:val="24"/>
        </w:rPr>
      </w:pPr>
      <w:r>
        <w:rPr>
          <w:rFonts w:hint="eastAsia" w:ascii="仿宋_GB2312" w:hAnsi="宋体" w:eastAsia="仿宋_GB2312" w:cs="宋体"/>
          <w:sz w:val="32"/>
          <w:szCs w:val="32"/>
        </w:rPr>
        <w:t>2023年8月15日</w:t>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sectPr>
          <w:pgSz w:w="11906" w:h="16838"/>
          <w:pgMar w:top="1701" w:right="1531" w:bottom="1701" w:left="1531" w:header="851" w:footer="992" w:gutter="0"/>
          <w:cols w:space="720" w:num="1"/>
          <w:docGrid w:type="lines" w:linePitch="312" w:charSpace="0"/>
        </w:sectPr>
      </w:pPr>
    </w:p>
    <w:p>
      <w:pPr>
        <w:jc w:val="center"/>
        <w:rPr>
          <w:rFonts w:ascii="黑体" w:hAnsi="宋体" w:eastAsia="黑体"/>
          <w:b/>
          <w:bCs/>
          <w:sz w:val="32"/>
          <w:szCs w:val="32"/>
        </w:rPr>
      </w:pPr>
      <w:bookmarkStart w:id="0" w:name="_GoBack"/>
      <w:r>
        <w:rPr>
          <w:rFonts w:hint="eastAsia" w:ascii="黑体" w:hAnsi="黑体" w:eastAsia="黑体"/>
          <w:b/>
          <w:bCs/>
          <w:sz w:val="32"/>
          <w:szCs w:val="32"/>
        </w:rPr>
        <w:t>惠安县应急管理局安全生产行政处罚信息公开表（2023.8. 15）</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2268"/>
        <w:gridCol w:w="1134"/>
        <w:gridCol w:w="3402"/>
        <w:gridCol w:w="2409"/>
        <w:gridCol w:w="1701"/>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533"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bCs/>
                <w:sz w:val="28"/>
                <w:szCs w:val="28"/>
              </w:rPr>
            </w:pPr>
            <w:r>
              <w:rPr>
                <w:rFonts w:hint="eastAsia" w:ascii="仿宋_GB2312" w:eastAsia="仿宋_GB2312"/>
                <w:b/>
                <w:bCs/>
                <w:sz w:val="28"/>
                <w:szCs w:val="28"/>
              </w:rPr>
              <w:t>行政处罚案件名称</w:t>
            </w:r>
          </w:p>
        </w:tc>
        <w:tc>
          <w:tcPr>
            <w:tcW w:w="2268" w:type="dxa"/>
            <w:tcBorders>
              <w:top w:val="single" w:color="auto" w:sz="4" w:space="0"/>
              <w:left w:val="nil"/>
              <w:bottom w:val="single" w:color="auto" w:sz="4" w:space="0"/>
              <w:right w:val="single" w:color="auto" w:sz="4" w:space="0"/>
            </w:tcBorders>
          </w:tcPr>
          <w:p>
            <w:pPr>
              <w:jc w:val="left"/>
              <w:rPr>
                <w:rFonts w:ascii="仿宋_GB2312" w:eastAsia="仿宋_GB2312"/>
                <w:b/>
                <w:bCs/>
                <w:sz w:val="28"/>
                <w:szCs w:val="28"/>
              </w:rPr>
            </w:pPr>
            <w:r>
              <w:rPr>
                <w:rFonts w:hint="eastAsia" w:ascii="仿宋_GB2312" w:eastAsia="仿宋_GB2312"/>
                <w:b/>
                <w:bCs/>
                <w:sz w:val="28"/>
                <w:szCs w:val="28"/>
              </w:rPr>
              <w:t>被处罚的自然人姓名、企业或者其他组织的名称</w:t>
            </w:r>
          </w:p>
        </w:tc>
        <w:tc>
          <w:tcPr>
            <w:tcW w:w="1134" w:type="dxa"/>
            <w:tcBorders>
              <w:top w:val="single" w:color="auto" w:sz="4" w:space="0"/>
              <w:left w:val="nil"/>
              <w:bottom w:val="single" w:color="auto" w:sz="4" w:space="0"/>
              <w:right w:val="single" w:color="auto" w:sz="4" w:space="0"/>
            </w:tcBorders>
          </w:tcPr>
          <w:p>
            <w:pPr>
              <w:jc w:val="left"/>
              <w:rPr>
                <w:rFonts w:ascii="仿宋_GB2312" w:eastAsia="仿宋_GB2312"/>
                <w:b/>
                <w:bCs/>
                <w:sz w:val="28"/>
                <w:szCs w:val="28"/>
              </w:rPr>
            </w:pPr>
            <w:r>
              <w:rPr>
                <w:rFonts w:hint="eastAsia" w:ascii="仿宋_GB2312" w:eastAsia="仿宋_GB2312"/>
                <w:b/>
                <w:bCs/>
                <w:sz w:val="28"/>
                <w:szCs w:val="28"/>
              </w:rPr>
              <w:t>法定代表人姓名</w:t>
            </w:r>
          </w:p>
        </w:tc>
        <w:tc>
          <w:tcPr>
            <w:tcW w:w="3402" w:type="dxa"/>
            <w:tcBorders>
              <w:top w:val="single" w:color="auto" w:sz="4" w:space="0"/>
              <w:left w:val="nil"/>
              <w:bottom w:val="single" w:color="auto" w:sz="4" w:space="0"/>
              <w:right w:val="single" w:color="auto" w:sz="4" w:space="0"/>
            </w:tcBorders>
          </w:tcPr>
          <w:p>
            <w:pPr>
              <w:jc w:val="left"/>
              <w:rPr>
                <w:rFonts w:ascii="仿宋_GB2312" w:eastAsia="仿宋_GB2312"/>
                <w:b/>
                <w:bCs/>
                <w:sz w:val="28"/>
                <w:szCs w:val="28"/>
              </w:rPr>
            </w:pPr>
            <w:r>
              <w:rPr>
                <w:rFonts w:hint="eastAsia" w:ascii="仿宋_GB2312" w:eastAsia="仿宋_GB2312"/>
                <w:b/>
                <w:bCs/>
                <w:sz w:val="28"/>
                <w:szCs w:val="28"/>
              </w:rPr>
              <w:t>主要违法事实</w:t>
            </w:r>
          </w:p>
        </w:tc>
        <w:tc>
          <w:tcPr>
            <w:tcW w:w="2409" w:type="dxa"/>
            <w:tcBorders>
              <w:top w:val="single" w:color="auto" w:sz="4" w:space="0"/>
              <w:left w:val="nil"/>
              <w:bottom w:val="single" w:color="auto" w:sz="4" w:space="0"/>
              <w:right w:val="single" w:color="auto" w:sz="4" w:space="0"/>
            </w:tcBorders>
          </w:tcPr>
          <w:p>
            <w:pPr>
              <w:jc w:val="left"/>
              <w:rPr>
                <w:rFonts w:ascii="仿宋_GB2312" w:eastAsia="仿宋_GB2312"/>
                <w:b/>
                <w:bCs/>
                <w:sz w:val="28"/>
                <w:szCs w:val="28"/>
              </w:rPr>
            </w:pPr>
            <w:r>
              <w:rPr>
                <w:rFonts w:hint="eastAsia" w:ascii="仿宋_GB2312" w:eastAsia="仿宋_GB2312"/>
                <w:b/>
                <w:bCs/>
                <w:sz w:val="28"/>
                <w:szCs w:val="28"/>
              </w:rPr>
              <w:t>行政处罚的种类和依据</w:t>
            </w:r>
          </w:p>
        </w:tc>
        <w:tc>
          <w:tcPr>
            <w:tcW w:w="1701" w:type="dxa"/>
            <w:tcBorders>
              <w:top w:val="single" w:color="auto" w:sz="4" w:space="0"/>
              <w:left w:val="nil"/>
              <w:bottom w:val="single" w:color="auto" w:sz="4" w:space="0"/>
              <w:right w:val="single" w:color="auto" w:sz="4" w:space="0"/>
            </w:tcBorders>
          </w:tcPr>
          <w:p>
            <w:pPr>
              <w:jc w:val="left"/>
              <w:rPr>
                <w:rFonts w:ascii="仿宋_GB2312" w:eastAsia="仿宋_GB2312"/>
                <w:b/>
                <w:bCs/>
                <w:sz w:val="28"/>
                <w:szCs w:val="28"/>
              </w:rPr>
            </w:pPr>
            <w:r>
              <w:rPr>
                <w:rFonts w:hint="eastAsia" w:ascii="仿宋_GB2312" w:eastAsia="仿宋_GB2312"/>
                <w:b/>
                <w:bCs/>
                <w:sz w:val="28"/>
                <w:szCs w:val="28"/>
              </w:rPr>
              <w:t>作出行政处罚决定的行政执法机关</w:t>
            </w:r>
          </w:p>
        </w:tc>
        <w:tc>
          <w:tcPr>
            <w:tcW w:w="940" w:type="dxa"/>
            <w:tcBorders>
              <w:top w:val="single" w:color="auto" w:sz="4" w:space="0"/>
              <w:left w:val="nil"/>
              <w:bottom w:val="single" w:color="auto" w:sz="4" w:space="0"/>
              <w:right w:val="single" w:color="auto" w:sz="4" w:space="0"/>
            </w:tcBorders>
          </w:tcPr>
          <w:p>
            <w:pPr>
              <w:jc w:val="left"/>
              <w:rPr>
                <w:rFonts w:ascii="仿宋_GB2312" w:eastAsia="仿宋_GB2312"/>
                <w:b/>
                <w:bCs/>
                <w:sz w:val="28"/>
                <w:szCs w:val="28"/>
              </w:rPr>
            </w:pPr>
            <w:r>
              <w:rPr>
                <w:rFonts w:hint="eastAsia" w:ascii="仿宋_GB2312" w:eastAsia="仿宋_GB2312"/>
                <w:b/>
                <w:bCs/>
                <w:sz w:val="28"/>
                <w:szCs w:val="28"/>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533" w:type="dxa"/>
            <w:tcBorders>
              <w:top w:val="single" w:color="auto" w:sz="4" w:space="0"/>
              <w:left w:val="single" w:color="auto" w:sz="4" w:space="0"/>
              <w:bottom w:val="single" w:color="auto" w:sz="4" w:space="0"/>
              <w:right w:val="single" w:color="auto" w:sz="4" w:space="0"/>
            </w:tcBorders>
          </w:tcPr>
          <w:p>
            <w:pPr>
              <w:jc w:val="left"/>
              <w:rPr>
                <w:rFonts w:ascii="宋体" w:hAnsi="宋体"/>
                <w:sz w:val="24"/>
                <w:szCs w:val="24"/>
              </w:rPr>
            </w:pPr>
            <w:r>
              <w:rPr>
                <w:rFonts w:hint="eastAsia" w:ascii="宋体" w:hAnsi="宋体" w:cs="宋体"/>
                <w:bCs/>
                <w:sz w:val="24"/>
              </w:rPr>
              <w:t>泉州精杰机械配件有限公司特种作业人员未持证上岗案</w:t>
            </w:r>
          </w:p>
        </w:tc>
        <w:tc>
          <w:tcPr>
            <w:tcW w:w="2268" w:type="dxa"/>
            <w:tcBorders>
              <w:top w:val="single" w:color="auto" w:sz="4" w:space="0"/>
              <w:left w:val="nil"/>
              <w:bottom w:val="single" w:color="auto" w:sz="4" w:space="0"/>
              <w:right w:val="single" w:color="auto" w:sz="4" w:space="0"/>
            </w:tcBorders>
          </w:tcPr>
          <w:p>
            <w:pPr>
              <w:jc w:val="left"/>
              <w:rPr>
                <w:rFonts w:ascii="宋体" w:hAnsi="宋体"/>
                <w:sz w:val="24"/>
                <w:szCs w:val="24"/>
              </w:rPr>
            </w:pPr>
            <w:r>
              <w:rPr>
                <w:rFonts w:hint="eastAsia" w:ascii="宋体" w:hAnsi="宋体" w:cs="宋体"/>
                <w:sz w:val="24"/>
              </w:rPr>
              <w:t>泉州精杰机械配件有限公司</w:t>
            </w:r>
          </w:p>
        </w:tc>
        <w:tc>
          <w:tcPr>
            <w:tcW w:w="1134" w:type="dxa"/>
            <w:tcBorders>
              <w:top w:val="single" w:color="auto" w:sz="4" w:space="0"/>
              <w:left w:val="nil"/>
              <w:bottom w:val="single" w:color="auto" w:sz="4" w:space="0"/>
              <w:right w:val="single" w:color="auto" w:sz="4" w:space="0"/>
            </w:tcBorders>
          </w:tcPr>
          <w:p>
            <w:pPr>
              <w:jc w:val="left"/>
              <w:rPr>
                <w:rFonts w:ascii="宋体" w:hAnsi="宋体"/>
                <w:sz w:val="24"/>
                <w:szCs w:val="24"/>
              </w:rPr>
            </w:pPr>
            <w:r>
              <w:rPr>
                <w:rFonts w:hint="eastAsia" w:ascii="宋体" w:hAnsi="宋体"/>
                <w:sz w:val="24"/>
                <w:szCs w:val="24"/>
              </w:rPr>
              <w:t>叶奕淡</w:t>
            </w:r>
          </w:p>
        </w:tc>
        <w:tc>
          <w:tcPr>
            <w:tcW w:w="3402" w:type="dxa"/>
            <w:tcBorders>
              <w:top w:val="single" w:color="auto" w:sz="4" w:space="0"/>
              <w:left w:val="nil"/>
              <w:bottom w:val="single" w:color="auto" w:sz="4" w:space="0"/>
              <w:right w:val="single" w:color="auto" w:sz="4" w:space="0"/>
            </w:tcBorders>
          </w:tcPr>
          <w:p>
            <w:pPr>
              <w:jc w:val="left"/>
              <w:rPr>
                <w:rFonts w:ascii="宋体" w:hAnsi="宋体"/>
                <w:sz w:val="24"/>
                <w:szCs w:val="24"/>
              </w:rPr>
            </w:pPr>
            <w:r>
              <w:rPr>
                <w:rFonts w:hint="eastAsia" w:ascii="宋体" w:hAnsi="宋体" w:cs="宋体"/>
                <w:color w:val="000000"/>
                <w:sz w:val="24"/>
              </w:rPr>
              <w:t>在对泉州精杰机械配件有限公司开展双随机检查中发现该公司特种作业人员李立国未取得特种作业操作资格证书上岗，自2022年以来未开展安全生产应急演练。</w:t>
            </w:r>
          </w:p>
        </w:tc>
        <w:tc>
          <w:tcPr>
            <w:tcW w:w="2409" w:type="dxa"/>
            <w:tcBorders>
              <w:top w:val="single" w:color="auto" w:sz="4" w:space="0"/>
              <w:left w:val="nil"/>
              <w:bottom w:val="single" w:color="auto" w:sz="4" w:space="0"/>
              <w:right w:val="single" w:color="auto" w:sz="4" w:space="0"/>
            </w:tcBorders>
          </w:tcPr>
          <w:p>
            <w:pPr>
              <w:jc w:val="left"/>
              <w:rPr>
                <w:rFonts w:ascii="宋体" w:hAnsi="宋体"/>
                <w:sz w:val="24"/>
                <w:szCs w:val="24"/>
              </w:rPr>
            </w:pPr>
            <w:r>
              <w:rPr>
                <w:rFonts w:hint="eastAsia" w:ascii="宋体" w:hAnsi="宋体" w:cs="宋体"/>
                <w:bCs/>
                <w:sz w:val="24"/>
              </w:rPr>
              <w:t>当事人行为违反了《中华人民共和国安全生产法》第三十条和《生产安全事故应急预案管理办法》第三十三条的规定，依据《中华人民共和国安全生产法》第九十七条第六项和第七项规定，决定给予</w:t>
            </w:r>
            <w:r>
              <w:rPr>
                <w:rFonts w:hint="eastAsia" w:ascii="宋体" w:hAnsi="宋体" w:cs="宋体"/>
                <w:bCs/>
                <w:sz w:val="24"/>
                <w:lang w:eastAsia="zh-CN"/>
              </w:rPr>
              <w:t>：</w:t>
            </w:r>
            <w:r>
              <w:rPr>
                <w:rFonts w:hint="eastAsia" w:ascii="宋体" w:hAnsi="宋体" w:cs="宋体"/>
                <w:bCs/>
                <w:sz w:val="24"/>
                <w:lang w:val="en-US" w:eastAsia="zh-CN"/>
              </w:rPr>
              <w:t>1.</w:t>
            </w:r>
            <w:r>
              <w:rPr>
                <w:rFonts w:hint="eastAsia" w:ascii="宋体" w:hAnsi="宋体" w:cs="宋体"/>
                <w:bCs/>
                <w:sz w:val="24"/>
              </w:rPr>
              <w:t>罚款</w:t>
            </w:r>
          </w:p>
        </w:tc>
        <w:tc>
          <w:tcPr>
            <w:tcW w:w="1701" w:type="dxa"/>
            <w:tcBorders>
              <w:top w:val="single" w:color="auto" w:sz="4" w:space="0"/>
              <w:left w:val="nil"/>
              <w:bottom w:val="single" w:color="auto" w:sz="4" w:space="0"/>
              <w:right w:val="single" w:color="auto" w:sz="4" w:space="0"/>
            </w:tcBorders>
          </w:tcPr>
          <w:p>
            <w:pPr>
              <w:jc w:val="left"/>
              <w:rPr>
                <w:rFonts w:ascii="宋体" w:hAnsi="宋体"/>
                <w:sz w:val="24"/>
                <w:szCs w:val="24"/>
              </w:rPr>
            </w:pPr>
            <w:r>
              <w:rPr>
                <w:rFonts w:hint="eastAsia" w:ascii="宋体" w:hAnsi="宋体"/>
                <w:sz w:val="24"/>
                <w:szCs w:val="24"/>
              </w:rPr>
              <w:t>惠安县应急管理局</w:t>
            </w:r>
          </w:p>
        </w:tc>
        <w:tc>
          <w:tcPr>
            <w:tcW w:w="940" w:type="dxa"/>
            <w:tcBorders>
              <w:top w:val="single" w:color="auto" w:sz="4" w:space="0"/>
              <w:left w:val="nil"/>
              <w:bottom w:val="single" w:color="auto" w:sz="4" w:space="0"/>
              <w:right w:val="single" w:color="auto" w:sz="4" w:space="0"/>
            </w:tcBorders>
          </w:tcPr>
          <w:p>
            <w:pPr>
              <w:jc w:val="left"/>
              <w:rPr>
                <w:rFonts w:ascii="宋体" w:hAnsi="宋体"/>
                <w:sz w:val="24"/>
                <w:szCs w:val="24"/>
              </w:rPr>
            </w:pPr>
            <w:r>
              <w:rPr>
                <w:rFonts w:hint="eastAsia" w:ascii="宋体" w:hAnsi="宋体"/>
                <w:sz w:val="24"/>
                <w:szCs w:val="24"/>
              </w:rPr>
              <w:t>2023年8月15日</w:t>
            </w:r>
          </w:p>
        </w:tc>
      </w:tr>
    </w:tbl>
    <w:p>
      <w:pPr>
        <w:spacing w:line="580" w:lineRule="exact"/>
        <w:rPr>
          <w:rFonts w:ascii="Times New Roman" w:hAnsi="Times New Roman"/>
          <w:szCs w:val="21"/>
        </w:rPr>
      </w:pPr>
      <w:r>
        <w:rPr>
          <w:rFonts w:hint="eastAsia" w:ascii="黑体" w:hAnsi="黑体" w:eastAsia="黑体"/>
          <w:sz w:val="28"/>
          <w:szCs w:val="28"/>
        </w:rPr>
        <w:t>附件：惠安县应急管理局行政处罚决定书（</w:t>
      </w:r>
      <w:r>
        <w:rPr>
          <w:rFonts w:hint="eastAsia" w:ascii="宋体" w:hAnsi="宋体" w:cs="宋体"/>
          <w:bCs/>
          <w:sz w:val="24"/>
        </w:rPr>
        <w:t>泉州精杰机械配件有限公司特种作业人员未持证上岗案</w:t>
      </w:r>
      <w:r>
        <w:rPr>
          <w:rFonts w:hint="eastAsia" w:ascii="宋体" w:hAnsi="宋体"/>
          <w:sz w:val="24"/>
          <w:szCs w:val="24"/>
        </w:rPr>
        <w:t>）</w:t>
      </w:r>
    </w:p>
    <w:bookmarkEnd w:id="0"/>
    <w:p>
      <w:pPr>
        <w:spacing w:line="580" w:lineRule="exact"/>
      </w:pPr>
    </w:p>
    <w:sectPr>
      <w:pgSz w:w="16838" w:h="11906" w:orient="landscape"/>
      <w:pgMar w:top="1531" w:right="1701" w:bottom="153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YWY0M2FiN2Q1ODI1YzRiMWNjOGUzYTM0OTUzNDEifQ=="/>
  </w:docVars>
  <w:rsids>
    <w:rsidRoot w:val="00517387"/>
    <w:rsid w:val="000418D5"/>
    <w:rsid w:val="00314204"/>
    <w:rsid w:val="00353971"/>
    <w:rsid w:val="00354EDE"/>
    <w:rsid w:val="003637AC"/>
    <w:rsid w:val="00363BDD"/>
    <w:rsid w:val="00373403"/>
    <w:rsid w:val="003A55B8"/>
    <w:rsid w:val="004D7938"/>
    <w:rsid w:val="004E22CB"/>
    <w:rsid w:val="00517387"/>
    <w:rsid w:val="005B166D"/>
    <w:rsid w:val="005D5B62"/>
    <w:rsid w:val="007470DF"/>
    <w:rsid w:val="00783E75"/>
    <w:rsid w:val="007C2382"/>
    <w:rsid w:val="007E4E3B"/>
    <w:rsid w:val="009229CE"/>
    <w:rsid w:val="00B27869"/>
    <w:rsid w:val="00B51E5B"/>
    <w:rsid w:val="00B5218A"/>
    <w:rsid w:val="00D74EDA"/>
    <w:rsid w:val="00E4451D"/>
    <w:rsid w:val="00F857F2"/>
    <w:rsid w:val="050124D0"/>
    <w:rsid w:val="07C81BD2"/>
    <w:rsid w:val="12AD0DEE"/>
    <w:rsid w:val="3F0C538C"/>
    <w:rsid w:val="72351847"/>
    <w:rsid w:val="7612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uiPriority w:val="99"/>
    <w:pPr>
      <w:widowControl w:val="0"/>
      <w:jc w:val="both"/>
    </w:pPr>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127</Words>
  <Characters>726</Characters>
  <Lines>6</Lines>
  <Paragraphs>1</Paragraphs>
  <TotalTime>60</TotalTime>
  <ScaleCrop>false</ScaleCrop>
  <LinksUpToDate>false</LinksUpToDate>
  <CharactersWithSpaces>852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雒河</cp:lastModifiedBy>
  <cp:lastPrinted>2022-12-14T01:09:00Z</cp:lastPrinted>
  <dcterms:modified xsi:type="dcterms:W3CDTF">2023-09-01T09:24:46Z</dcterms:modified>
  <dc:title>惠安县应急管理局行政处罚公示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C0C27C566AAC44CC8C2D8469B244CC9C_12</vt:lpwstr>
  </property>
</Properties>
</file>