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opLinePunct/>
        <w:spacing w:before="100" w:beforeAutospacing="1" w:after="100" w:afterAutospacing="1" w:line="500" w:lineRule="exact"/>
        <w:jc w:val="center"/>
        <w:rPr>
          <w:rFonts w:ascii="宋体" w:hAnsi="宋体" w:eastAsia="宋体" w:cs="宋体"/>
          <w:kern w:val="0"/>
          <w:sz w:val="24"/>
          <w:szCs w:val="24"/>
        </w:rPr>
      </w:pPr>
      <w:r>
        <w:rPr>
          <w:rFonts w:hint="eastAsia" w:ascii="方正小标宋简体" w:hAnsi="微软雅黑" w:eastAsia="方正小标宋简体" w:cs="宋体"/>
          <w:sz w:val="44"/>
          <w:szCs w:val="44"/>
        </w:rPr>
        <w:t>惠安县应急管理局行政处罚公示</w:t>
      </w:r>
    </w:p>
    <w:p>
      <w:pPr>
        <w:widowControl/>
        <w:topLinePunct/>
        <w:spacing w:before="100" w:beforeAutospacing="1" w:after="100" w:afterAutospacing="1" w:line="500" w:lineRule="exact"/>
        <w:ind w:firstLine="2400" w:firstLineChars="750"/>
        <w:rPr>
          <w:rFonts w:ascii="仿宋_GB2312" w:hAnsi="宋体" w:eastAsia="仿宋_GB2312" w:cs="宋体"/>
          <w:sz w:val="32"/>
          <w:szCs w:val="32"/>
        </w:rPr>
      </w:pPr>
      <w:r>
        <w:rPr>
          <w:rFonts w:hint="eastAsia" w:ascii="仿宋_GB2312" w:hAnsi="宋体" w:eastAsia="仿宋_GB2312" w:cs="宋体"/>
          <w:sz w:val="32"/>
          <w:szCs w:val="32"/>
        </w:rPr>
        <w:t>（惠应急罚〔2023〕34号）</w:t>
      </w:r>
    </w:p>
    <w:p>
      <w:pPr>
        <w:widowControl/>
        <w:topLinePunct/>
        <w:spacing w:beforeLines="100" w:after="100" w:afterAutospacing="1" w:line="500" w:lineRule="exact"/>
        <w:ind w:firstLine="640" w:firstLineChars="200"/>
        <w:jc w:val="left"/>
        <w:rPr>
          <w:rFonts w:ascii="宋体" w:hAnsi="宋体" w:eastAsia="宋体" w:cs="宋体"/>
          <w:kern w:val="0"/>
          <w:sz w:val="24"/>
          <w:szCs w:val="24"/>
        </w:rPr>
      </w:pPr>
      <w:r>
        <w:rPr>
          <w:rFonts w:hint="eastAsia" w:ascii="黑体" w:hAnsi="黑体" w:eastAsia="黑体" w:cs="宋体"/>
          <w:sz w:val="32"/>
          <w:szCs w:val="32"/>
        </w:rPr>
        <w:t>一、执法对象基本信息</w:t>
      </w:r>
    </w:p>
    <w:p>
      <w:pPr>
        <w:widowControl/>
        <w:topLinePunct/>
        <w:spacing w:beforeLines="100" w:after="100" w:afterAutospacing="1" w:line="500" w:lineRule="exact"/>
        <w:ind w:firstLine="640" w:firstLineChars="200"/>
        <w:jc w:val="left"/>
        <w:rPr>
          <w:rFonts w:ascii="仿宋_GB2312" w:hAnsi="楷体" w:eastAsia="仿宋_GB2312" w:cs="仿宋"/>
          <w:sz w:val="32"/>
          <w:szCs w:val="32"/>
        </w:rPr>
      </w:pPr>
      <w:r>
        <w:rPr>
          <w:rFonts w:hint="eastAsia" w:ascii="仿宋_GB2312" w:hAnsi="宋体" w:eastAsia="仿宋_GB2312" w:cs="宋体"/>
          <w:sz w:val="32"/>
          <w:szCs w:val="32"/>
        </w:rPr>
        <w:t>执法对象：</w:t>
      </w:r>
      <w:r>
        <w:rPr>
          <w:rFonts w:hint="eastAsia" w:ascii="仿宋_GB2312" w:hAnsi="楷体" w:eastAsia="仿宋_GB2312" w:cs="仿宋"/>
          <w:sz w:val="32"/>
          <w:szCs w:val="32"/>
        </w:rPr>
        <w:t>福建省大嘉针织有限责任公司</w:t>
      </w:r>
    </w:p>
    <w:p>
      <w:pPr>
        <w:widowControl/>
        <w:topLinePunct/>
        <w:spacing w:beforeLines="100" w:after="100" w:afterAutospacing="1" w:line="50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社会统一信用代码：</w:t>
      </w:r>
      <w:r>
        <w:rPr>
          <w:rFonts w:hint="eastAsia" w:ascii="仿宋_GB2312" w:hAnsi="仿宋" w:eastAsia="仿宋_GB2312" w:cs="仿宋"/>
          <w:color w:val="000000"/>
          <w:sz w:val="32"/>
          <w:szCs w:val="32"/>
        </w:rPr>
        <w:t>913505210561229043</w:t>
      </w:r>
      <w:r>
        <w:rPr>
          <w:rFonts w:hint="eastAsia" w:ascii="仿宋_GB2312" w:hAnsi="宋体" w:eastAsia="仿宋_GB2312" w:cs="宋体"/>
          <w:sz w:val="32"/>
          <w:szCs w:val="32"/>
        </w:rPr>
        <w:t xml:space="preserve"> </w:t>
      </w:r>
    </w:p>
    <w:p>
      <w:pPr>
        <w:widowControl/>
        <w:topLinePunct/>
        <w:spacing w:beforeLines="100" w:after="100" w:afterAutospacing="1" w:line="500" w:lineRule="exact"/>
        <w:ind w:firstLine="640" w:firstLineChars="200"/>
        <w:jc w:val="left"/>
        <w:rPr>
          <w:rFonts w:ascii="仿宋_GB2312" w:hAnsi="仿宋" w:eastAsia="仿宋_GB2312" w:cs="仿宋"/>
          <w:color w:val="000000"/>
          <w:sz w:val="32"/>
          <w:szCs w:val="32"/>
        </w:rPr>
      </w:pPr>
      <w:r>
        <w:rPr>
          <w:rFonts w:hint="eastAsia" w:ascii="仿宋_GB2312" w:hAnsi="宋体" w:eastAsia="仿宋_GB2312" w:cs="宋体"/>
          <w:sz w:val="32"/>
          <w:szCs w:val="32"/>
        </w:rPr>
        <w:t xml:space="preserve">法人代表: </w:t>
      </w:r>
      <w:r>
        <w:rPr>
          <w:rFonts w:hint="eastAsia" w:ascii="仿宋_GB2312" w:hAnsi="仿宋" w:eastAsia="仿宋_GB2312" w:cs="仿宋"/>
          <w:color w:val="000000"/>
          <w:sz w:val="32"/>
          <w:szCs w:val="32"/>
        </w:rPr>
        <w:t>庄志城</w:t>
      </w:r>
    </w:p>
    <w:p>
      <w:pPr>
        <w:widowControl/>
        <w:topLinePunct/>
        <w:spacing w:beforeLines="100" w:after="100" w:afterAutospacing="1" w:line="500" w:lineRule="exact"/>
        <w:ind w:firstLine="640" w:firstLineChars="200"/>
        <w:jc w:val="left"/>
        <w:rPr>
          <w:rFonts w:ascii="宋体" w:hAnsi="宋体" w:eastAsia="宋体" w:cs="宋体"/>
          <w:kern w:val="0"/>
          <w:sz w:val="24"/>
          <w:szCs w:val="24"/>
        </w:rPr>
      </w:pPr>
      <w:r>
        <w:rPr>
          <w:rFonts w:hint="eastAsia" w:ascii="黑体" w:hAnsi="黑体" w:eastAsia="黑体" w:cs="宋体"/>
          <w:sz w:val="32"/>
          <w:szCs w:val="32"/>
        </w:rPr>
        <w:t>二、执法内容</w:t>
      </w:r>
    </w:p>
    <w:p>
      <w:pPr>
        <w:widowControl/>
        <w:topLinePunct/>
        <w:spacing w:beforeLines="100" w:after="100" w:afterAutospacing="1" w:line="5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案由：</w:t>
      </w:r>
      <w:r>
        <w:rPr>
          <w:rFonts w:hint="eastAsia" w:ascii="仿宋_GB2312" w:hAnsi="楷体" w:eastAsia="仿宋_GB2312" w:cs="Arial"/>
          <w:color w:val="000000"/>
          <w:sz w:val="32"/>
          <w:szCs w:val="32"/>
        </w:rPr>
        <w:t>安全生产教育培训类违法</w:t>
      </w:r>
      <w:r>
        <w:rPr>
          <w:rFonts w:hint="eastAsia" w:ascii="仿宋_GB2312" w:hAnsi="宋体" w:eastAsia="仿宋_GB2312" w:cs="宋体"/>
          <w:kern w:val="0"/>
          <w:sz w:val="32"/>
          <w:szCs w:val="32"/>
        </w:rPr>
        <w:t xml:space="preserve">  </w:t>
      </w:r>
    </w:p>
    <w:p>
      <w:pPr>
        <w:pStyle w:val="4"/>
        <w:shd w:val="clear" w:color="auto" w:fill="FFFFFF"/>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案件名称：福建省大嘉针织有限责任公司特种作业人员未按照规定经专门安全作业培训取得相应资格上岗作业案</w:t>
      </w:r>
    </w:p>
    <w:p>
      <w:pPr>
        <w:pStyle w:val="4"/>
        <w:shd w:val="clear" w:color="auto" w:fill="FFFFFF"/>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案件基本情况：</w:t>
      </w:r>
      <w:r>
        <w:rPr>
          <w:rFonts w:hint="eastAsia" w:ascii="仿宋_GB2312" w:hAnsi="Helvetica" w:eastAsia="仿宋_GB2312" w:cs="Helvetica"/>
          <w:color w:val="000000"/>
          <w:sz w:val="32"/>
          <w:szCs w:val="32"/>
          <w:shd w:val="clear" w:color="auto" w:fill="FFFFFF"/>
        </w:rPr>
        <w:t>2023年8月2日，执法人员对</w:t>
      </w:r>
      <w:r>
        <w:rPr>
          <w:rFonts w:hint="eastAsia" w:ascii="仿宋_GB2312" w:eastAsia="仿宋_GB2312"/>
          <w:sz w:val="32"/>
          <w:szCs w:val="32"/>
        </w:rPr>
        <w:t>福建省大嘉针织有限责任公司进行安全生产双随机执法检查时，发现该公司</w:t>
      </w:r>
      <w:r>
        <w:rPr>
          <w:rFonts w:hint="eastAsia" w:ascii="仿宋_GB2312" w:eastAsia="仿宋_GB2312"/>
          <w:color w:val="000000"/>
          <w:sz w:val="32"/>
        </w:rPr>
        <w:t>发现该公司低压电工未经专门安全培训并取得特种作业操作证上岗作业的问题。</w:t>
      </w:r>
      <w:r>
        <w:rPr>
          <w:rFonts w:hint="eastAsia" w:ascii="仿宋_GB2312" w:hAnsi="仿宋" w:eastAsia="仿宋_GB2312" w:cs="仿宋"/>
          <w:bCs/>
          <w:color w:val="000000"/>
        </w:rPr>
        <w:t xml:space="preserve"> </w:t>
      </w:r>
      <w:r>
        <w:rPr>
          <w:rFonts w:hint="eastAsia" w:ascii="仿宋_GB2312" w:hAnsi="仿宋" w:eastAsia="仿宋_GB2312" w:cs="仿宋"/>
          <w:color w:val="000000"/>
        </w:rPr>
        <w:t xml:space="preserve"> </w:t>
      </w:r>
      <w:r>
        <w:rPr>
          <w:rFonts w:hint="eastAsia" w:ascii="仿宋_GB2312" w:hAnsi="仿宋" w:eastAsia="仿宋_GB2312" w:cs="仿宋"/>
          <w:bCs/>
          <w:color w:val="000000"/>
        </w:rPr>
        <w:t xml:space="preserve">   </w:t>
      </w:r>
      <w:r>
        <w:rPr>
          <w:rFonts w:hint="eastAsia" w:ascii="仿宋_GB2312" w:hAnsi="仿宋" w:eastAsia="仿宋_GB2312" w:cs="仿宋"/>
          <w:color w:val="000000"/>
        </w:rPr>
        <w:t xml:space="preserve">                                 </w:t>
      </w:r>
    </w:p>
    <w:p>
      <w:pPr>
        <w:spacing w:line="500" w:lineRule="exact"/>
        <w:ind w:firstLine="640" w:firstLineChars="200"/>
        <w:rPr>
          <w:rFonts w:ascii="仿宋_GB2312" w:hAnsi="仿宋" w:eastAsia="仿宋_GB2312" w:cs="仿宋"/>
          <w:color w:val="000000"/>
          <w:kern w:val="0"/>
          <w:sz w:val="32"/>
          <w:szCs w:val="32"/>
        </w:rPr>
      </w:pPr>
      <w:r>
        <w:rPr>
          <w:rFonts w:hint="eastAsia" w:ascii="仿宋_GB2312" w:eastAsia="仿宋_GB2312"/>
          <w:sz w:val="32"/>
          <w:szCs w:val="32"/>
        </w:rPr>
        <w:t>违法行为类型：行政违法行为</w:t>
      </w:r>
      <w:r>
        <w:rPr>
          <w:rFonts w:hint="eastAsia" w:ascii="仿宋_GB2312" w:hAnsi="仿宋" w:eastAsia="仿宋_GB2312" w:cs="仿宋"/>
          <w:color w:val="000000"/>
          <w:sz w:val="32"/>
          <w:szCs w:val="32"/>
        </w:rPr>
        <w:t xml:space="preserve">                                                                                      </w:t>
      </w:r>
    </w:p>
    <w:p>
      <w:pPr>
        <w:widowControl/>
        <w:topLinePunct/>
        <w:spacing w:beforeLines="100" w:after="100" w:afterAutospacing="1" w:line="5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处罚种类名称：罚款</w:t>
      </w:r>
    </w:p>
    <w:p>
      <w:pPr>
        <w:widowControl/>
        <w:topLinePunct/>
        <w:spacing w:beforeLines="100" w:after="100" w:afterAutospacing="1" w:line="500" w:lineRule="exact"/>
        <w:ind w:firstLine="640" w:firstLineChars="200"/>
        <w:jc w:val="left"/>
        <w:rPr>
          <w:rFonts w:ascii="黑体" w:hAnsi="黑体" w:eastAsia="黑体" w:cs="宋体"/>
          <w:kern w:val="0"/>
          <w:sz w:val="32"/>
          <w:szCs w:val="32"/>
        </w:rPr>
      </w:pPr>
      <w:r>
        <w:rPr>
          <w:rFonts w:hint="eastAsia" w:ascii="黑体" w:hAnsi="黑体" w:eastAsia="黑体" w:cs="宋体"/>
          <w:sz w:val="32"/>
          <w:szCs w:val="32"/>
        </w:rPr>
        <w:t>三、执法决定</w:t>
      </w:r>
    </w:p>
    <w:p>
      <w:pPr>
        <w:pStyle w:val="5"/>
        <w:spacing w:line="500" w:lineRule="exact"/>
        <w:ind w:firstLine="320" w:firstLineChars="100"/>
        <w:rPr>
          <w:rFonts w:ascii="仿宋_GB2312" w:hAnsi="楷体" w:eastAsia="仿宋_GB2312" w:cs="仿宋_GB2312"/>
          <w:color w:val="121212"/>
          <w:szCs w:val="32"/>
        </w:rPr>
      </w:pPr>
      <w:r>
        <w:rPr>
          <w:rFonts w:hint="eastAsia" w:ascii="仿宋_GB2312" w:hAnsi="宋体" w:eastAsia="仿宋_GB2312" w:cs="宋体"/>
          <w:szCs w:val="32"/>
        </w:rPr>
        <w:t>处罚结果：上述行为违反了</w:t>
      </w:r>
      <w:r>
        <w:rPr>
          <w:rFonts w:hint="eastAsia" w:ascii="仿宋_GB2312" w:hAnsi="楷体" w:eastAsia="仿宋_GB2312"/>
          <w:color w:val="000000"/>
          <w:kern w:val="2"/>
          <w:szCs w:val="32"/>
        </w:rPr>
        <w:t>《中华人民共和国安全生产法》</w:t>
      </w:r>
      <w:r>
        <w:rPr>
          <w:rFonts w:hint="eastAsia" w:ascii="仿宋_GB2312" w:hAnsi="宋体" w:eastAsia="仿宋_GB2312" w:cs="宋体"/>
          <w:szCs w:val="32"/>
        </w:rPr>
        <w:t>第三十条第一款的规定</w:t>
      </w:r>
      <w:r>
        <w:rPr>
          <w:rFonts w:hint="eastAsia" w:ascii="仿宋_GB2312" w:hAnsi="楷体" w:eastAsia="仿宋_GB2312"/>
          <w:color w:val="000000"/>
          <w:kern w:val="2"/>
          <w:szCs w:val="32"/>
        </w:rPr>
        <w:t>。</w:t>
      </w:r>
      <w:r>
        <w:rPr>
          <w:rFonts w:hint="eastAsia" w:ascii="仿宋_GB2312" w:hAnsi="楷体" w:eastAsia="仿宋_GB2312"/>
          <w:color w:val="000000"/>
          <w:szCs w:val="32"/>
        </w:rPr>
        <w:t>依据</w:t>
      </w:r>
      <w:r>
        <w:rPr>
          <w:rFonts w:hint="eastAsia" w:ascii="仿宋_GB2312" w:hAnsi="楷体" w:eastAsia="仿宋_GB2312"/>
          <w:color w:val="000000"/>
          <w:kern w:val="2"/>
          <w:szCs w:val="32"/>
        </w:rPr>
        <w:t>《中华人民共和国安全生产法》第九十七条第七项的规定，参照《福建省安全生产行政处罚裁量基准》相关裁量基准。</w:t>
      </w:r>
      <w:r>
        <w:rPr>
          <w:rFonts w:hint="eastAsia" w:ascii="仿宋_GB2312" w:hAnsi="楷体" w:eastAsia="仿宋_GB2312" w:cs="仿宋_GB2312"/>
          <w:color w:val="121212"/>
          <w:szCs w:val="32"/>
        </w:rPr>
        <w:t>决定对</w:t>
      </w:r>
      <w:r>
        <w:rPr>
          <w:rFonts w:hint="eastAsia" w:ascii="仿宋_GB2312" w:hAnsi="宋体" w:eastAsia="仿宋_GB2312" w:cs="宋体"/>
          <w:szCs w:val="32"/>
        </w:rPr>
        <w:t>福建省大嘉针织有限责任公司处罚</w:t>
      </w:r>
      <w:r>
        <w:rPr>
          <w:rFonts w:hint="eastAsia" w:ascii="仿宋_GB2312" w:hAnsi="楷体" w:eastAsia="仿宋_GB2312"/>
          <w:color w:val="000000"/>
          <w:kern w:val="2"/>
          <w:szCs w:val="32"/>
        </w:rPr>
        <w:t>款人民币伍仟元（</w:t>
      </w:r>
      <w:r>
        <w:rPr>
          <w:rFonts w:hint="eastAsia" w:ascii="仿宋_GB2312" w:hAnsi="宋体" w:eastAsia="仿宋_GB2312" w:cs="宋体"/>
          <w:szCs w:val="32"/>
        </w:rPr>
        <w:t>¥</w:t>
      </w:r>
      <w:r>
        <w:rPr>
          <w:rFonts w:hint="eastAsia" w:ascii="仿宋_GB2312" w:hAnsi="楷体" w:eastAsia="仿宋_GB2312"/>
          <w:color w:val="000000"/>
          <w:kern w:val="2"/>
          <w:szCs w:val="32"/>
        </w:rPr>
        <w:t>5000元）的行政处罚。</w:t>
      </w:r>
    </w:p>
    <w:p>
      <w:pPr>
        <w:widowControl/>
        <w:topLinePunct/>
        <w:spacing w:beforeLines="100" w:after="100" w:afterAutospacing="1" w:line="5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处罚决定书文号：惠应急罚〔2023〕34号</w:t>
      </w:r>
    </w:p>
    <w:p>
      <w:pPr>
        <w:widowControl/>
        <w:topLinePunct/>
        <w:spacing w:beforeLines="100" w:after="100" w:afterAutospacing="1" w:line="5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处罚决定书日期：2023年9月28日</w:t>
      </w:r>
    </w:p>
    <w:p>
      <w:pPr>
        <w:widowControl/>
        <w:topLinePunct/>
        <w:spacing w:beforeLines="100" w:after="100" w:afterAutospacing="1" w:line="500" w:lineRule="exact"/>
        <w:ind w:firstLine="640" w:firstLineChars="200"/>
        <w:jc w:val="left"/>
        <w:rPr>
          <w:rFonts w:ascii="宋体" w:hAnsi="宋体" w:eastAsia="宋体" w:cs="宋体"/>
          <w:kern w:val="0"/>
          <w:sz w:val="24"/>
          <w:szCs w:val="24"/>
        </w:rPr>
      </w:pPr>
      <w:r>
        <w:rPr>
          <w:rFonts w:hint="eastAsia" w:ascii="黑体" w:hAnsi="黑体" w:eastAsia="黑体" w:cs="宋体"/>
          <w:sz w:val="32"/>
          <w:szCs w:val="32"/>
        </w:rPr>
        <w:t>四、执法机关</w:t>
      </w:r>
    </w:p>
    <w:p>
      <w:pPr>
        <w:widowControl/>
        <w:topLinePunct/>
        <w:spacing w:beforeLines="100" w:after="100" w:afterAutospacing="1" w:line="500" w:lineRule="exact"/>
        <w:ind w:firstLine="640" w:firstLineChars="200"/>
        <w:jc w:val="left"/>
        <w:rPr>
          <w:rFonts w:ascii="宋体" w:hAnsi="宋体" w:eastAsia="宋体" w:cs="宋体"/>
          <w:kern w:val="0"/>
          <w:sz w:val="24"/>
          <w:szCs w:val="24"/>
        </w:rPr>
      </w:pPr>
      <w:r>
        <w:rPr>
          <w:rFonts w:hint="eastAsia" w:ascii="仿宋_GB2312" w:hAnsi="宋体" w:eastAsia="仿宋_GB2312" w:cs="宋体"/>
          <w:sz w:val="32"/>
          <w:szCs w:val="32"/>
        </w:rPr>
        <w:t>惠安县应急管理局</w:t>
      </w:r>
    </w:p>
    <w:p>
      <w:pPr>
        <w:widowControl/>
        <w:topLinePunct/>
        <w:spacing w:beforeLines="100" w:after="100" w:afterAutospacing="1" w:line="500" w:lineRule="exact"/>
        <w:ind w:firstLine="640" w:firstLineChars="200"/>
        <w:jc w:val="left"/>
        <w:rPr>
          <w:rFonts w:ascii="宋体" w:hAnsi="宋体" w:eastAsia="宋体" w:cs="宋体"/>
          <w:kern w:val="0"/>
          <w:sz w:val="24"/>
          <w:szCs w:val="24"/>
        </w:rPr>
      </w:pPr>
      <w:r>
        <w:rPr>
          <w:rFonts w:hint="eastAsia" w:ascii="黑体" w:hAnsi="黑体" w:eastAsia="黑体" w:cs="宋体"/>
          <w:sz w:val="32"/>
          <w:szCs w:val="32"/>
        </w:rPr>
        <w:t>五、公示时间</w:t>
      </w:r>
    </w:p>
    <w:p>
      <w:pPr>
        <w:widowControl/>
        <w:topLinePunct/>
        <w:spacing w:beforeLines="100" w:after="100" w:afterAutospacing="1" w:line="50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2023年10月7 日</w:t>
      </w:r>
    </w:p>
    <w:p>
      <w:pPr>
        <w:widowControl/>
        <w:topLinePunct/>
        <w:spacing w:beforeLines="100" w:after="100" w:afterAutospacing="1" w:line="500" w:lineRule="exact"/>
        <w:ind w:firstLine="640" w:firstLineChars="200"/>
        <w:jc w:val="left"/>
        <w:rPr>
          <w:rFonts w:hint="eastAsia" w:ascii="仿宋_GB2312" w:hAnsi="宋体" w:eastAsia="仿宋_GB2312" w:cs="宋体"/>
          <w:sz w:val="32"/>
          <w:szCs w:val="32"/>
        </w:rPr>
      </w:pPr>
    </w:p>
    <w:p>
      <w:pPr>
        <w:widowControl/>
        <w:topLinePunct/>
        <w:spacing w:beforeLines="100" w:after="100" w:afterAutospacing="1" w:line="500" w:lineRule="exact"/>
        <w:ind w:firstLine="640" w:firstLineChars="200"/>
        <w:jc w:val="left"/>
        <w:rPr>
          <w:rFonts w:hint="eastAsia" w:ascii="仿宋_GB2312" w:hAnsi="宋体" w:eastAsia="仿宋_GB2312" w:cs="宋体"/>
          <w:sz w:val="32"/>
          <w:szCs w:val="32"/>
        </w:rPr>
      </w:pPr>
    </w:p>
    <w:p>
      <w:pPr>
        <w:widowControl/>
        <w:topLinePunct/>
        <w:spacing w:beforeLines="100" w:after="100" w:afterAutospacing="1" w:line="500" w:lineRule="exact"/>
        <w:ind w:firstLine="640" w:firstLineChars="200"/>
        <w:jc w:val="left"/>
        <w:rPr>
          <w:rFonts w:hint="eastAsia" w:ascii="仿宋_GB2312" w:hAnsi="宋体" w:eastAsia="仿宋_GB2312" w:cs="宋体"/>
          <w:sz w:val="32"/>
          <w:szCs w:val="32"/>
        </w:rPr>
      </w:pPr>
    </w:p>
    <w:p>
      <w:pPr>
        <w:widowControl/>
        <w:topLinePunct/>
        <w:spacing w:beforeLines="100" w:after="100" w:afterAutospacing="1" w:line="500" w:lineRule="exact"/>
        <w:ind w:firstLine="640" w:firstLineChars="200"/>
        <w:jc w:val="left"/>
        <w:rPr>
          <w:rFonts w:hint="eastAsia" w:ascii="仿宋_GB2312" w:hAnsi="宋体" w:eastAsia="仿宋_GB2312" w:cs="宋体"/>
          <w:sz w:val="32"/>
          <w:szCs w:val="32"/>
        </w:rPr>
      </w:pPr>
    </w:p>
    <w:p>
      <w:pPr>
        <w:widowControl/>
        <w:topLinePunct/>
        <w:spacing w:beforeLines="100" w:after="100" w:afterAutospacing="1" w:line="500" w:lineRule="exact"/>
        <w:ind w:firstLine="640" w:firstLineChars="200"/>
        <w:jc w:val="left"/>
        <w:rPr>
          <w:rFonts w:hint="eastAsia" w:ascii="仿宋_GB2312" w:hAnsi="宋体" w:eastAsia="仿宋_GB2312" w:cs="宋体"/>
          <w:sz w:val="32"/>
          <w:szCs w:val="32"/>
        </w:rPr>
      </w:pPr>
    </w:p>
    <w:p>
      <w:pPr>
        <w:widowControl/>
        <w:topLinePunct/>
        <w:spacing w:beforeLines="100" w:after="100" w:afterAutospacing="1" w:line="500" w:lineRule="exact"/>
        <w:ind w:firstLine="640" w:firstLineChars="200"/>
        <w:jc w:val="left"/>
        <w:rPr>
          <w:rFonts w:hint="eastAsia" w:ascii="仿宋_GB2312" w:hAnsi="宋体" w:eastAsia="仿宋_GB2312" w:cs="宋体"/>
          <w:sz w:val="32"/>
          <w:szCs w:val="32"/>
        </w:rPr>
      </w:pPr>
    </w:p>
    <w:p>
      <w:pPr>
        <w:widowControl/>
        <w:topLinePunct/>
        <w:spacing w:beforeLines="100" w:after="100" w:afterAutospacing="1" w:line="500" w:lineRule="exact"/>
        <w:ind w:firstLine="640" w:firstLineChars="200"/>
        <w:jc w:val="left"/>
        <w:rPr>
          <w:rFonts w:hint="eastAsia" w:ascii="仿宋_GB2312" w:hAnsi="宋体" w:eastAsia="仿宋_GB2312" w:cs="宋体"/>
          <w:sz w:val="32"/>
          <w:szCs w:val="32"/>
        </w:rPr>
      </w:pPr>
    </w:p>
    <w:p>
      <w:pPr>
        <w:widowControl/>
        <w:topLinePunct/>
        <w:spacing w:beforeLines="100" w:after="100" w:afterAutospacing="1" w:line="500" w:lineRule="exact"/>
        <w:ind w:firstLine="640" w:firstLineChars="200"/>
        <w:jc w:val="left"/>
        <w:rPr>
          <w:rFonts w:hint="eastAsia" w:ascii="仿宋_GB2312" w:hAnsi="宋体" w:eastAsia="仿宋_GB2312" w:cs="宋体"/>
          <w:sz w:val="32"/>
          <w:szCs w:val="32"/>
        </w:rPr>
      </w:pPr>
    </w:p>
    <w:p>
      <w:pPr>
        <w:widowControl/>
        <w:topLinePunct/>
        <w:spacing w:beforeLines="100" w:after="100" w:afterAutospacing="1" w:line="500" w:lineRule="exact"/>
        <w:jc w:val="left"/>
        <w:rPr>
          <w:rFonts w:hint="eastAsia" w:ascii="仿宋_GB2312" w:hAnsi="宋体" w:eastAsia="仿宋_GB2312" w:cs="宋体"/>
          <w:sz w:val="32"/>
          <w:szCs w:val="32"/>
        </w:rPr>
        <w:sectPr>
          <w:pgSz w:w="11906" w:h="16838"/>
          <w:pgMar w:top="1440" w:right="1800" w:bottom="1440" w:left="1800" w:header="851" w:footer="992" w:gutter="0"/>
          <w:cols w:space="425" w:num="1"/>
          <w:docGrid w:type="lines" w:linePitch="312" w:charSpace="0"/>
        </w:sectPr>
      </w:pPr>
    </w:p>
    <w:p>
      <w:pPr>
        <w:jc w:val="center"/>
        <w:rPr>
          <w:rFonts w:hint="eastAsia" w:ascii="黑体" w:hAnsi="宋体" w:eastAsia="黑体" w:cs="黑体"/>
          <w:b/>
          <w:bCs/>
          <w:sz w:val="32"/>
          <w:szCs w:val="32"/>
        </w:rPr>
      </w:pPr>
      <w:r>
        <w:rPr>
          <w:rFonts w:hint="eastAsia" w:ascii="黑体" w:hAnsi="宋体" w:eastAsia="黑体" w:cs="黑体"/>
          <w:b/>
          <w:bCs/>
          <w:sz w:val="32"/>
          <w:szCs w:val="32"/>
          <w:lang w:bidi="ar"/>
        </w:rPr>
        <w:t>惠安县应急管理局安全生产行政处罚信息公开表（2023.</w:t>
      </w:r>
      <w:r>
        <w:rPr>
          <w:rFonts w:hint="eastAsia" w:ascii="黑体" w:hAnsi="宋体" w:eastAsia="黑体" w:cs="黑体"/>
          <w:b/>
          <w:bCs/>
          <w:sz w:val="32"/>
          <w:szCs w:val="32"/>
          <w:lang w:val="en-US" w:eastAsia="zh-CN" w:bidi="ar"/>
        </w:rPr>
        <w:t>10.7</w:t>
      </w:r>
      <w:r>
        <w:rPr>
          <w:rFonts w:hint="eastAsia" w:ascii="黑体" w:hAnsi="宋体" w:eastAsia="黑体" w:cs="黑体"/>
          <w:b/>
          <w:bCs/>
          <w:sz w:val="32"/>
          <w:szCs w:val="32"/>
          <w:lang w:bidi="ar"/>
        </w:rPr>
        <w:t>）</w:t>
      </w:r>
    </w:p>
    <w:tbl>
      <w:tblPr>
        <w:tblStyle w:val="6"/>
        <w:tblpPr w:leftFromText="180" w:rightFromText="180" w:vertAnchor="page" w:horzAnchor="page" w:tblpX="1443" w:tblpY="28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2200"/>
        <w:gridCol w:w="1140"/>
        <w:gridCol w:w="3750"/>
        <w:gridCol w:w="2400"/>
        <w:gridCol w:w="1590"/>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13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center" w:pos="894"/>
              </w:tabs>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bidi="ar"/>
              </w:rPr>
              <w:t>行政处罚案件名称</w:t>
            </w:r>
          </w:p>
        </w:tc>
        <w:tc>
          <w:tcPr>
            <w:tcW w:w="2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bidi="ar"/>
              </w:rPr>
              <w:t>被处罚的自然人姓名、企业或者其他组织的名称</w:t>
            </w:r>
          </w:p>
        </w:tc>
        <w:tc>
          <w:tcPr>
            <w:tcW w:w="11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bidi="ar"/>
              </w:rPr>
              <w:t>法定代表人姓名</w:t>
            </w:r>
          </w:p>
        </w:tc>
        <w:tc>
          <w:tcPr>
            <w:tcW w:w="37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bidi="ar"/>
              </w:rPr>
              <w:t>主要违法事实</w:t>
            </w:r>
          </w:p>
        </w:tc>
        <w:tc>
          <w:tcPr>
            <w:tcW w:w="24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bidi="ar"/>
              </w:rPr>
              <w:t>行政处罚的种类和依据</w:t>
            </w:r>
          </w:p>
        </w:tc>
        <w:tc>
          <w:tcPr>
            <w:tcW w:w="15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bidi="ar"/>
              </w:rPr>
              <w:t>作出行政处罚决定的行政执法机关</w:t>
            </w:r>
          </w:p>
        </w:tc>
        <w:tc>
          <w:tcPr>
            <w:tcW w:w="9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bidi="ar"/>
              </w:rPr>
              <w:t>公开时间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trPr>
        <w:tc>
          <w:tcPr>
            <w:tcW w:w="137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r>
              <w:rPr>
                <w:rFonts w:hint="eastAsia" w:ascii="宋体" w:hAnsi="宋体" w:cs="宋体"/>
                <w:sz w:val="24"/>
              </w:rPr>
              <w:t>福建省大嘉针织有限责任公司特种作业人员未按照规定经专门安全作业培训取得相应资格上岗作业案</w:t>
            </w:r>
          </w:p>
        </w:tc>
        <w:tc>
          <w:tcPr>
            <w:tcW w:w="220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r>
              <w:rPr>
                <w:rFonts w:hint="eastAsia" w:ascii="宋体" w:hAnsi="宋体" w:cs="宋体"/>
                <w:sz w:val="24"/>
              </w:rPr>
              <w:t>福建省大嘉针织有限责任公司</w:t>
            </w:r>
          </w:p>
        </w:tc>
        <w:tc>
          <w:tcPr>
            <w:tcW w:w="114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r>
              <w:rPr>
                <w:rFonts w:hint="eastAsia" w:ascii="宋体" w:hAnsi="宋体" w:cs="宋体"/>
                <w:sz w:val="24"/>
              </w:rPr>
              <w:t>庄志城</w:t>
            </w:r>
          </w:p>
        </w:tc>
        <w:tc>
          <w:tcPr>
            <w:tcW w:w="375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r>
              <w:rPr>
                <w:rFonts w:hint="eastAsia" w:ascii="宋体" w:hAnsi="宋体" w:cs="宋体"/>
                <w:sz w:val="24"/>
              </w:rPr>
              <w:t>2023年8月2日，执法人员对福建省大嘉针织有限责任公司进行安全生产双随机执法检查时，发现该公司发现该公司低压电工未经专门安全培训并取得特种作业操作证上岗作业的问题。</w:t>
            </w:r>
          </w:p>
        </w:tc>
        <w:tc>
          <w:tcPr>
            <w:tcW w:w="240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r>
              <w:rPr>
                <w:rFonts w:hint="eastAsia" w:ascii="宋体" w:hAnsi="宋体" w:cs="宋体"/>
                <w:sz w:val="24"/>
                <w:lang w:val="en-US" w:eastAsia="zh-CN"/>
              </w:rPr>
              <w:t>上述行为违反了《中华人民共和国安全生产法》第三十条第一款的规定。依据《中华人民共和国安全生产法》第九十七条第七项的规定，参照《福建省安全生产行政处罚裁量基准》相关裁量基准。决定给予:1.罚款</w:t>
            </w:r>
            <w:r>
              <w:rPr>
                <w:rFonts w:hint="eastAsia" w:ascii="宋体" w:hAnsi="宋体" w:cs="宋体"/>
                <w:sz w:val="24"/>
              </w:rPr>
              <w:t>。</w:t>
            </w:r>
          </w:p>
        </w:tc>
        <w:tc>
          <w:tcPr>
            <w:tcW w:w="159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r>
              <w:rPr>
                <w:rFonts w:hint="eastAsia" w:ascii="宋体" w:hAnsi="宋体" w:cs="宋体"/>
                <w:sz w:val="24"/>
                <w:lang w:bidi="ar"/>
              </w:rPr>
              <w:t>惠安县应急管理局</w:t>
            </w:r>
          </w:p>
        </w:tc>
        <w:tc>
          <w:tcPr>
            <w:tcW w:w="93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r>
              <w:rPr>
                <w:rFonts w:hint="eastAsia" w:ascii="宋体" w:hAnsi="宋体" w:cs="宋体"/>
                <w:sz w:val="24"/>
                <w:lang w:bidi="ar"/>
              </w:rPr>
              <w:t>2023年</w:t>
            </w:r>
            <w:r>
              <w:rPr>
                <w:rFonts w:hint="eastAsia" w:ascii="宋体" w:hAnsi="宋体" w:cs="宋体"/>
                <w:sz w:val="24"/>
                <w:lang w:val="en-US" w:eastAsia="zh-CN" w:bidi="ar"/>
              </w:rPr>
              <w:t>10</w:t>
            </w:r>
            <w:r>
              <w:rPr>
                <w:rFonts w:hint="eastAsia" w:ascii="宋体" w:hAnsi="宋体" w:cs="宋体"/>
                <w:sz w:val="24"/>
                <w:lang w:bidi="ar"/>
              </w:rPr>
              <w:t>月</w:t>
            </w:r>
            <w:r>
              <w:rPr>
                <w:rFonts w:hint="eastAsia" w:ascii="宋体" w:hAnsi="宋体" w:cs="宋体"/>
                <w:sz w:val="24"/>
                <w:lang w:val="en-US" w:eastAsia="zh-CN" w:bidi="ar"/>
              </w:rPr>
              <w:t>7</w:t>
            </w:r>
            <w:r>
              <w:rPr>
                <w:rFonts w:hint="eastAsia" w:ascii="宋体" w:hAnsi="宋体" w:cs="宋体"/>
                <w:sz w:val="24"/>
                <w:lang w:bidi="ar"/>
              </w:rPr>
              <w:t>日</w:t>
            </w:r>
          </w:p>
        </w:tc>
      </w:tr>
    </w:tbl>
    <w:p>
      <w:pPr>
        <w:rPr>
          <w:rFonts w:hint="eastAsia" w:ascii="黑体" w:hAnsi="宋体" w:eastAsia="黑体" w:cs="黑体"/>
          <w:sz w:val="28"/>
          <w:szCs w:val="28"/>
          <w:lang w:bidi="ar"/>
        </w:rPr>
      </w:pPr>
    </w:p>
    <w:p>
      <w:pPr>
        <w:widowControl/>
        <w:topLinePunct/>
        <w:spacing w:beforeLines="100" w:after="100" w:afterAutospacing="1" w:line="500" w:lineRule="exact"/>
        <w:jc w:val="left"/>
        <w:rPr>
          <w:rFonts w:hint="eastAsia" w:ascii="黑体" w:hAnsi="宋体" w:eastAsia="黑体" w:cs="黑体"/>
          <w:sz w:val="28"/>
          <w:szCs w:val="28"/>
          <w:lang w:bidi="ar"/>
        </w:rPr>
      </w:pPr>
    </w:p>
    <w:p>
      <w:pPr>
        <w:widowControl/>
        <w:topLinePunct/>
        <w:spacing w:beforeLines="100" w:after="100" w:afterAutospacing="1" w:line="500" w:lineRule="exact"/>
        <w:jc w:val="left"/>
        <w:rPr>
          <w:rFonts w:hint="eastAsia" w:ascii="黑体" w:hAnsi="宋体" w:eastAsia="黑体" w:cs="黑体"/>
          <w:sz w:val="28"/>
          <w:szCs w:val="28"/>
          <w:lang w:bidi="ar"/>
        </w:rPr>
      </w:pPr>
    </w:p>
    <w:p>
      <w:pPr>
        <w:widowControl/>
        <w:topLinePunct/>
        <w:spacing w:beforeLines="100" w:after="100" w:afterAutospacing="1" w:line="500" w:lineRule="exact"/>
        <w:jc w:val="left"/>
        <w:rPr>
          <w:rFonts w:hint="eastAsia" w:ascii="黑体" w:hAnsi="宋体" w:eastAsia="黑体" w:cs="黑体"/>
          <w:sz w:val="28"/>
          <w:szCs w:val="28"/>
          <w:lang w:bidi="ar"/>
        </w:rPr>
      </w:pPr>
    </w:p>
    <w:p>
      <w:pPr>
        <w:widowControl/>
        <w:topLinePunct/>
        <w:spacing w:beforeLines="100" w:after="100" w:afterAutospacing="1" w:line="500" w:lineRule="exact"/>
        <w:jc w:val="left"/>
        <w:rPr>
          <w:rFonts w:hint="eastAsia" w:ascii="黑体" w:hAnsi="宋体" w:eastAsia="黑体" w:cs="黑体"/>
          <w:sz w:val="28"/>
          <w:szCs w:val="28"/>
          <w:lang w:bidi="ar"/>
        </w:rPr>
      </w:pPr>
    </w:p>
    <w:p>
      <w:pPr>
        <w:widowControl/>
        <w:topLinePunct/>
        <w:spacing w:beforeLines="100" w:after="100" w:afterAutospacing="1" w:line="500" w:lineRule="exact"/>
        <w:jc w:val="left"/>
        <w:rPr>
          <w:rFonts w:hint="eastAsia" w:ascii="黑体" w:hAnsi="宋体" w:eastAsia="黑体" w:cs="黑体"/>
          <w:sz w:val="28"/>
          <w:szCs w:val="28"/>
          <w:lang w:bidi="ar"/>
        </w:rPr>
      </w:pPr>
    </w:p>
    <w:p>
      <w:pPr>
        <w:widowControl/>
        <w:topLinePunct/>
        <w:spacing w:beforeLines="100" w:after="100" w:afterAutospacing="1" w:line="500" w:lineRule="exact"/>
        <w:jc w:val="left"/>
        <w:rPr>
          <w:rFonts w:hint="eastAsia" w:ascii="黑体" w:hAnsi="宋体" w:eastAsia="黑体" w:cs="黑体"/>
          <w:sz w:val="28"/>
          <w:szCs w:val="28"/>
          <w:lang w:bidi="ar"/>
        </w:rPr>
      </w:pPr>
    </w:p>
    <w:p>
      <w:pPr>
        <w:widowControl/>
        <w:topLinePunct/>
        <w:spacing w:beforeLines="100" w:after="100" w:afterAutospacing="1" w:line="500" w:lineRule="exact"/>
        <w:jc w:val="left"/>
        <w:rPr>
          <w:rFonts w:hint="eastAsia" w:ascii="仿宋_GB2312" w:hAnsi="宋体" w:eastAsia="仿宋_GB2312" w:cs="宋体"/>
          <w:sz w:val="32"/>
          <w:szCs w:val="32"/>
        </w:rPr>
      </w:pPr>
      <w:r>
        <w:rPr>
          <w:rFonts w:hint="eastAsia" w:ascii="黑体" w:hAnsi="宋体" w:eastAsia="黑体" w:cs="黑体"/>
          <w:sz w:val="28"/>
          <w:szCs w:val="28"/>
          <w:lang w:bidi="ar"/>
        </w:rPr>
        <w:t>附件：惠安县应急管理局行政处罚决定书（</w:t>
      </w:r>
      <w:r>
        <w:rPr>
          <w:rFonts w:hint="eastAsia" w:ascii="仿宋_GB2312" w:eastAsia="仿宋_GB2312"/>
          <w:sz w:val="32"/>
          <w:szCs w:val="32"/>
        </w:rPr>
        <w:t>福建省大嘉针织有限责任公司特种作业人员未按照规定经专门安全作业培训取得相应资格上岗作业案</w:t>
      </w:r>
      <w:r>
        <w:rPr>
          <w:rFonts w:hint="eastAsia" w:ascii="宋体" w:hAnsi="宋体" w:cs="宋体"/>
          <w:sz w:val="24"/>
          <w:lang w:bidi="ar"/>
        </w:rPr>
        <w:t>）</w:t>
      </w:r>
      <w:bookmarkStart w:id="0" w:name="_GoBack"/>
      <w:bookmarkEnd w:id="0"/>
    </w:p>
    <w:p>
      <w:pPr>
        <w:topLinePunct/>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I3YWY0M2FiN2Q1ODI1YzRiMWNjOGUzYTM0OTUzNDEifQ=="/>
  </w:docVars>
  <w:rsids>
    <w:rsidRoot w:val="002B0D7E"/>
    <w:rsid w:val="000462CC"/>
    <w:rsid w:val="00052B68"/>
    <w:rsid w:val="000779D8"/>
    <w:rsid w:val="000A62BC"/>
    <w:rsid w:val="0016076C"/>
    <w:rsid w:val="00166C3D"/>
    <w:rsid w:val="00176B93"/>
    <w:rsid w:val="0018480B"/>
    <w:rsid w:val="0021293B"/>
    <w:rsid w:val="00236291"/>
    <w:rsid w:val="00243E1F"/>
    <w:rsid w:val="002923F5"/>
    <w:rsid w:val="002A1DFB"/>
    <w:rsid w:val="002B0D7E"/>
    <w:rsid w:val="002E2E80"/>
    <w:rsid w:val="00313C9A"/>
    <w:rsid w:val="00323034"/>
    <w:rsid w:val="00334190"/>
    <w:rsid w:val="00337150"/>
    <w:rsid w:val="0034178D"/>
    <w:rsid w:val="003843FB"/>
    <w:rsid w:val="003A0EFF"/>
    <w:rsid w:val="003A61B4"/>
    <w:rsid w:val="00402C79"/>
    <w:rsid w:val="00410A23"/>
    <w:rsid w:val="00417C17"/>
    <w:rsid w:val="004B0DB2"/>
    <w:rsid w:val="004F6EEA"/>
    <w:rsid w:val="00532AB1"/>
    <w:rsid w:val="00552099"/>
    <w:rsid w:val="00565098"/>
    <w:rsid w:val="005666FD"/>
    <w:rsid w:val="00587D1C"/>
    <w:rsid w:val="005D0C8A"/>
    <w:rsid w:val="006B7070"/>
    <w:rsid w:val="00710FA4"/>
    <w:rsid w:val="0071669D"/>
    <w:rsid w:val="00753B6B"/>
    <w:rsid w:val="00792156"/>
    <w:rsid w:val="007C5227"/>
    <w:rsid w:val="007D2AF1"/>
    <w:rsid w:val="0080253F"/>
    <w:rsid w:val="00802958"/>
    <w:rsid w:val="00837B0C"/>
    <w:rsid w:val="008A0194"/>
    <w:rsid w:val="008B18A3"/>
    <w:rsid w:val="008E009A"/>
    <w:rsid w:val="008E5602"/>
    <w:rsid w:val="008F239D"/>
    <w:rsid w:val="008F6918"/>
    <w:rsid w:val="00906399"/>
    <w:rsid w:val="009616F8"/>
    <w:rsid w:val="00985E3C"/>
    <w:rsid w:val="00995090"/>
    <w:rsid w:val="009C00C8"/>
    <w:rsid w:val="00A63449"/>
    <w:rsid w:val="00A635D1"/>
    <w:rsid w:val="00A67034"/>
    <w:rsid w:val="00A81495"/>
    <w:rsid w:val="00AE2FED"/>
    <w:rsid w:val="00AF419D"/>
    <w:rsid w:val="00B067DC"/>
    <w:rsid w:val="00B32E60"/>
    <w:rsid w:val="00B565CE"/>
    <w:rsid w:val="00B6273E"/>
    <w:rsid w:val="00B942E4"/>
    <w:rsid w:val="00BA41B9"/>
    <w:rsid w:val="00BF5F5A"/>
    <w:rsid w:val="00C3777B"/>
    <w:rsid w:val="00C46E0A"/>
    <w:rsid w:val="00C6689F"/>
    <w:rsid w:val="00C741F1"/>
    <w:rsid w:val="00CB5E35"/>
    <w:rsid w:val="00D13D13"/>
    <w:rsid w:val="00D26386"/>
    <w:rsid w:val="00D41D64"/>
    <w:rsid w:val="00D5330E"/>
    <w:rsid w:val="00D64CCD"/>
    <w:rsid w:val="00D767B6"/>
    <w:rsid w:val="00D8012A"/>
    <w:rsid w:val="00D8276A"/>
    <w:rsid w:val="00D96DC6"/>
    <w:rsid w:val="00DB7F10"/>
    <w:rsid w:val="00DE1C36"/>
    <w:rsid w:val="00DE5C79"/>
    <w:rsid w:val="00E37D22"/>
    <w:rsid w:val="00EB5524"/>
    <w:rsid w:val="00EE7791"/>
    <w:rsid w:val="00EF66A2"/>
    <w:rsid w:val="00EF730B"/>
    <w:rsid w:val="00F12B95"/>
    <w:rsid w:val="00F33B4F"/>
    <w:rsid w:val="00F362A6"/>
    <w:rsid w:val="00F6166D"/>
    <w:rsid w:val="00F8522E"/>
    <w:rsid w:val="4FAF16B5"/>
    <w:rsid w:val="5C146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0"/>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5">
    <w:name w:val="Title"/>
    <w:basedOn w:val="1"/>
    <w:next w:val="1"/>
    <w:link w:val="10"/>
    <w:qFormat/>
    <w:uiPriority w:val="0"/>
    <w:pPr>
      <w:widowControl/>
      <w:spacing w:line="560" w:lineRule="exact"/>
      <w:ind w:firstLine="601"/>
    </w:pPr>
    <w:rPr>
      <w:rFonts w:ascii="黑体" w:hAnsi="黑体" w:eastAsia="黑体" w:cs="Times New Roman"/>
      <w:kern w:val="0"/>
      <w:sz w:val="32"/>
      <w:szCs w:val="30"/>
    </w:rPr>
  </w:style>
  <w:style w:type="character" w:customStyle="1" w:styleId="8">
    <w:name w:val="页眉 Char"/>
    <w:basedOn w:val="7"/>
    <w:link w:val="3"/>
    <w:semiHidden/>
    <w:uiPriority w:val="99"/>
    <w:rPr>
      <w:sz w:val="18"/>
      <w:szCs w:val="18"/>
    </w:rPr>
  </w:style>
  <w:style w:type="character" w:customStyle="1" w:styleId="9">
    <w:name w:val="页脚 Char"/>
    <w:basedOn w:val="7"/>
    <w:link w:val="2"/>
    <w:semiHidden/>
    <w:qFormat/>
    <w:uiPriority w:val="0"/>
    <w:rPr>
      <w:sz w:val="18"/>
      <w:szCs w:val="18"/>
    </w:rPr>
  </w:style>
  <w:style w:type="character" w:customStyle="1" w:styleId="10">
    <w:name w:val="标题 Char"/>
    <w:basedOn w:val="7"/>
    <w:link w:val="5"/>
    <w:qFormat/>
    <w:uiPriority w:val="0"/>
    <w:rPr>
      <w:rFonts w:ascii="黑体" w:hAnsi="黑体" w:eastAsia="黑体" w:cs="Times New Roman"/>
      <w:kern w:val="0"/>
      <w:sz w:val="32"/>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93</Words>
  <Characters>533</Characters>
  <Lines>4</Lines>
  <Paragraphs>1</Paragraphs>
  <TotalTime>10</TotalTime>
  <ScaleCrop>false</ScaleCrop>
  <LinksUpToDate>false</LinksUpToDate>
  <CharactersWithSpaces>625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2021-08-30T01:35:00Z</dcterms:created>
  <dc:creator>Administrator</dc:creator>
  <cp:lastModifiedBy>雒河</cp:lastModifiedBy>
  <cp:lastPrinted>2023-09-28T08:08:00Z</cp:lastPrinted>
  <dcterms:modified xsi:type="dcterms:W3CDTF">2023-10-12T03:13:13Z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4C17170C46584C0C8B67192A7D597941_12</vt:lpwstr>
  </property>
</Properties>
</file>