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一、执法对象基本信息</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sz w:val="32"/>
          <w:szCs w:val="32"/>
        </w:rPr>
      </w:pPr>
      <w:r>
        <w:rPr>
          <w:rFonts w:hint="eastAsia" w:ascii="楷体_GB2312" w:hAnsi="楷体_GB2312" w:eastAsia="楷体_GB2312" w:cs="楷体_GB2312"/>
          <w:sz w:val="32"/>
          <w:szCs w:val="32"/>
        </w:rPr>
        <w:t>执法对象：</w:t>
      </w:r>
      <w:r>
        <w:rPr>
          <w:rFonts w:hint="eastAsia" w:ascii="仿宋" w:hAnsi="仿宋" w:eastAsia="仿宋" w:cs="宋体"/>
          <w:sz w:val="32"/>
          <w:szCs w:val="32"/>
        </w:rPr>
        <w:t>泉州市佳龙土方工程有限公司</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地址</w:t>
      </w:r>
      <w:r>
        <w:rPr>
          <w:rFonts w:hint="eastAsia" w:ascii="仿宋_GB2312" w:hAnsi="宋体" w:eastAsia="仿宋_GB2312" w:cs="宋体"/>
          <w:sz w:val="32"/>
          <w:szCs w:val="32"/>
        </w:rPr>
        <w:t>：</w:t>
      </w:r>
      <w:r>
        <w:rPr>
          <w:rFonts w:hint="eastAsia" w:ascii="仿宋_GB2312" w:hAnsi="宋体" w:eastAsia="仿宋_GB2312" w:cs="宋体"/>
          <w:bCs/>
          <w:sz w:val="32"/>
          <w:szCs w:val="32"/>
        </w:rPr>
        <w:t>泉州市洛江区万安街道东明商厦A幢1005号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法人代表：</w:t>
      </w:r>
      <w:r>
        <w:rPr>
          <w:rFonts w:hint="eastAsia" w:ascii="仿宋_GB2312" w:hAnsi="宋体" w:eastAsia="仿宋_GB2312" w:cs="宋体"/>
          <w:bCs/>
          <w:sz w:val="32"/>
          <w:szCs w:val="32"/>
        </w:rPr>
        <w:t>何海龙</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二、执法内容</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rPr>
        <w:t>生产安全事故责任类违法</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泉州市佳龙土方工程有限公司对“7.21”事故负有责任案</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2023年7月21日17时28分许，在惠安县黄塘镇后西部队路段发生一起重型货车与二轮摩托车相碰撞的道路交通事故，造成1人死亡。经惠安黄塘“7.21”一般道路交通事故调查组调查认定，该起事故是一起一般道路运输生产安全责任事故，泉州市佳龙土方工程有限公司未能认真落实企业主体责任，未加强对驾驶员安全生产责任制落实情况的监督和考核，对超载运输等违法行为未采取有效措施予以防范，车辆动态监控报警处置流于形式，对本起事故发生负有主要责任。</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三、执法决定</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四、四十一、四十四条的规定，依据《中华人民共和国安全生产法》第一百一十四条第一款第一项的规定，参照《福建省安全生产行政处罚裁量标准》，鉴于当事人积极配合事故调查工作，做好事故相关善后事项，减轻事故引发的社会影响，根据《安全生产违法行为行政处罚办法》第五十六条第一款第二项，决定给予罚款人民币叁拾万元整（¥300000.00）的行政处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46</w:t>
      </w:r>
      <w:r>
        <w:rPr>
          <w:rFonts w:hint="eastAsia" w:ascii="仿宋_GB2312" w:hAnsi="宋体" w:eastAsia="仿宋_GB2312" w:cs="宋体"/>
          <w:sz w:val="32"/>
          <w:szCs w:val="32"/>
        </w:rPr>
        <w:t>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四、执法机关</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惠安县应急管理局</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五、公示时间</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p>
    <w:p>
      <w:pPr>
        <w:widowControl w:val="0"/>
        <w:wordWrap/>
        <w:adjustRightInd/>
        <w:snapToGrid/>
        <w:spacing w:line="580" w:lineRule="exact"/>
        <w:ind w:right="0"/>
        <w:jc w:val="left"/>
        <w:textAlignment w:val="auto"/>
        <w:outlineLvl w:val="9"/>
        <w:rPr>
          <w:rFonts w:hint="eastAsia" w:ascii="仿宋_GB2312" w:hAnsi="宋体" w:eastAsia="仿宋_GB2312" w:cs="宋体"/>
          <w:sz w:val="32"/>
          <w:szCs w:val="32"/>
        </w:rPr>
        <w:sectPr>
          <w:pgSz w:w="11906" w:h="16838"/>
          <w:pgMar w:top="1701" w:right="1531" w:bottom="1701" w:left="1531" w:header="851" w:footer="992" w:gutter="0"/>
          <w:cols w:space="720" w:num="1"/>
          <w:docGrid w:type="lines" w:linePitch="312" w:charSpace="0"/>
        </w:sectPr>
      </w:pPr>
    </w:p>
    <w:p>
      <w:pPr>
        <w:jc w:val="center"/>
        <w:rPr>
          <w:rFonts w:hint="eastAsia" w:ascii="黑体" w:hAnsi="宋体" w:eastAsia="黑体" w:cs="黑体"/>
          <w:b/>
          <w:bCs/>
          <w:sz w:val="32"/>
          <w:szCs w:val="32"/>
        </w:rPr>
      </w:pPr>
      <w:r>
        <w:rPr>
          <w:rFonts w:hint="eastAsia" w:ascii="黑体" w:hAnsi="宋体" w:eastAsia="黑体" w:cs="黑体"/>
          <w:b/>
          <w:bCs/>
          <w:sz w:val="32"/>
          <w:szCs w:val="32"/>
          <w:lang w:bidi="ar"/>
        </w:rPr>
        <w:t>惠安县应急管理局安全生产行政处罚信息公开表（202</w:t>
      </w:r>
      <w:r>
        <w:rPr>
          <w:rFonts w:hint="eastAsia" w:ascii="黑体" w:hAnsi="宋体" w:eastAsia="黑体" w:cs="黑体"/>
          <w:b/>
          <w:bCs/>
          <w:sz w:val="32"/>
          <w:szCs w:val="32"/>
          <w:lang w:val="en-US" w:eastAsia="zh-CN" w:bidi="ar"/>
        </w:rPr>
        <w:t>4.2.23</w:t>
      </w:r>
      <w:r>
        <w:rPr>
          <w:rFonts w:hint="eastAsia" w:ascii="黑体" w:hAnsi="宋体" w:eastAsia="黑体" w:cs="黑体"/>
          <w:b/>
          <w:bCs/>
          <w:sz w:val="32"/>
          <w:szCs w:val="32"/>
          <w:lang w:bidi="ar"/>
        </w:rPr>
        <w:t>）</w:t>
      </w:r>
    </w:p>
    <w:tbl>
      <w:tblPr>
        <w:tblStyle w:val="4"/>
        <w:tblpPr w:leftFromText="180" w:rightFromText="180" w:vertAnchor="page" w:horzAnchor="page" w:tblpX="1443"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2200"/>
        <w:gridCol w:w="1140"/>
        <w:gridCol w:w="3750"/>
        <w:gridCol w:w="2400"/>
        <w:gridCol w:w="159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3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894"/>
              </w:tabs>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行政处罚案件名称</w:t>
            </w:r>
          </w:p>
        </w:tc>
        <w:tc>
          <w:tcPr>
            <w:tcW w:w="2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被处罚的自然人姓名、企业或者其他组织的名称</w:t>
            </w: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法定代表人姓名</w:t>
            </w:r>
          </w:p>
        </w:tc>
        <w:tc>
          <w:tcPr>
            <w:tcW w:w="37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主要违法事实</w:t>
            </w:r>
          </w:p>
        </w:tc>
        <w:tc>
          <w:tcPr>
            <w:tcW w:w="2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行政处罚的种类和依据</w:t>
            </w: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作出行政处罚决定的行政执法机关</w:t>
            </w:r>
          </w:p>
        </w:tc>
        <w:tc>
          <w:tcPr>
            <w:tcW w:w="9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37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泉州市佳龙土方工程有限公司对“7.21”事故负有责任案</w:t>
            </w:r>
          </w:p>
        </w:tc>
        <w:tc>
          <w:tcPr>
            <w:tcW w:w="220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泉州市佳龙土方工程有限公司</w:t>
            </w:r>
          </w:p>
        </w:tc>
        <w:tc>
          <w:tcPr>
            <w:tcW w:w="11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何海龙</w:t>
            </w:r>
          </w:p>
        </w:tc>
        <w:tc>
          <w:tcPr>
            <w:tcW w:w="375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2023年7月21日17时28分许，在惠安县黄塘镇后西部队路段发生一起重型货车与二轮摩托车相碰撞的道路交通事故，造成1人死亡。经惠安黄塘“7.21”一般道路交通事故调查组调查认定，该起事故是一起一般道路运输生产安全责任事故，泉州市佳龙土方工程有限公司未能认真落实企业主体责任，未加强对驾驶员安全生产责任制落实情况的监督和考核，对超载运输等违法行为未采取有效措施予以防范，车辆动态监控报警处置流于形式，对本起事故发生负有主要责任</w:t>
            </w:r>
          </w:p>
        </w:tc>
        <w:tc>
          <w:tcPr>
            <w:tcW w:w="240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lang w:val="en-US" w:eastAsia="zh-CN"/>
              </w:rPr>
              <w:t>当事人行为违反了《中华人民共和国安全生产法》第四、四十一、四十四条的规定，依据《中华人民共和国安全生产法》第一百一十四条第一款第一项的规定，鉴于当事人积极配合事故调查工作，做好事故相关善后事项，减轻事故引发的社会影响，决定给予:1.罚款</w:t>
            </w:r>
            <w:r>
              <w:rPr>
                <w:rFonts w:hint="eastAsia" w:ascii="宋体" w:hAnsi="宋体" w:cs="宋体"/>
                <w:sz w:val="24"/>
              </w:rPr>
              <w:t>。</w:t>
            </w:r>
          </w:p>
        </w:tc>
        <w:tc>
          <w:tcPr>
            <w:tcW w:w="159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lang w:bidi="ar"/>
              </w:rPr>
              <w:t>惠安县应急管理局</w:t>
            </w:r>
          </w:p>
        </w:tc>
        <w:tc>
          <w:tcPr>
            <w:tcW w:w="9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lang w:bidi="ar"/>
              </w:rPr>
              <w:t>202</w:t>
            </w:r>
            <w:r>
              <w:rPr>
                <w:rFonts w:hint="eastAsia" w:ascii="宋体" w:hAnsi="宋体" w:cs="宋体"/>
                <w:sz w:val="24"/>
                <w:lang w:val="en-US" w:eastAsia="zh-CN" w:bidi="ar"/>
              </w:rPr>
              <w:t>4</w:t>
            </w:r>
            <w:r>
              <w:rPr>
                <w:rFonts w:hint="eastAsia" w:ascii="宋体" w:hAnsi="宋体" w:cs="宋体"/>
                <w:sz w:val="24"/>
                <w:lang w:bidi="ar"/>
              </w:rPr>
              <w:t>年</w:t>
            </w:r>
            <w:r>
              <w:rPr>
                <w:rFonts w:hint="eastAsia" w:ascii="宋体" w:hAnsi="宋体" w:cs="宋体"/>
                <w:sz w:val="24"/>
                <w:lang w:val="en-US" w:eastAsia="zh-CN" w:bidi="ar"/>
              </w:rPr>
              <w:t>2</w:t>
            </w:r>
            <w:r>
              <w:rPr>
                <w:rFonts w:hint="eastAsia" w:ascii="宋体" w:hAnsi="宋体" w:cs="宋体"/>
                <w:sz w:val="24"/>
                <w:lang w:bidi="ar"/>
              </w:rPr>
              <w:t>月</w:t>
            </w:r>
            <w:r>
              <w:rPr>
                <w:rFonts w:hint="eastAsia" w:ascii="宋体" w:hAnsi="宋体" w:cs="宋体"/>
                <w:sz w:val="24"/>
                <w:lang w:val="en-US" w:eastAsia="zh-CN" w:bidi="ar"/>
              </w:rPr>
              <w:t>23</w:t>
            </w:r>
            <w:r>
              <w:rPr>
                <w:rFonts w:hint="eastAsia" w:ascii="宋体" w:hAnsi="宋体" w:cs="宋体"/>
                <w:sz w:val="24"/>
                <w:lang w:bidi="ar"/>
              </w:rPr>
              <w:t>日</w:t>
            </w:r>
          </w:p>
        </w:tc>
      </w:tr>
    </w:tbl>
    <w:p>
      <w:pPr>
        <w:widowControl w:val="0"/>
        <w:wordWrap/>
        <w:adjustRightInd/>
        <w:snapToGrid/>
        <w:spacing w:line="580" w:lineRule="exact"/>
        <w:ind w:left="0" w:leftChars="0" w:right="0"/>
        <w:textAlignment w:val="auto"/>
        <w:outlineLvl w:val="9"/>
        <w:rPr>
          <w:rFonts w:hint="eastAsia" w:ascii="黑体" w:hAnsi="宋体" w:eastAsia="黑体" w:cs="黑体"/>
          <w:sz w:val="28"/>
          <w:szCs w:val="28"/>
          <w:lang w:bidi="ar"/>
        </w:rPr>
      </w:pPr>
    </w:p>
    <w:p>
      <w:pPr>
        <w:widowControl w:val="0"/>
        <w:wordWrap/>
        <w:adjustRightInd/>
        <w:snapToGrid/>
        <w:spacing w:line="580" w:lineRule="exact"/>
        <w:ind w:left="0" w:leftChars="0" w:right="0"/>
        <w:textAlignment w:val="auto"/>
        <w:outlineLvl w:val="9"/>
      </w:pPr>
      <w:r>
        <w:rPr>
          <w:rFonts w:hint="eastAsia" w:ascii="黑体" w:hAnsi="宋体" w:eastAsia="黑体" w:cs="黑体"/>
          <w:sz w:val="28"/>
          <w:szCs w:val="28"/>
          <w:lang w:bidi="ar"/>
        </w:rPr>
        <w:t>附件：惠安县应急管理局行政处罚决定书（</w:t>
      </w:r>
      <w:r>
        <w:rPr>
          <w:rFonts w:hint="eastAsia" w:ascii="宋体" w:hAnsi="宋体" w:cs="宋体"/>
          <w:sz w:val="24"/>
        </w:rPr>
        <w:t>泉州市佳龙土方工程有限公司对“7.21”事故负有责任案</w:t>
      </w:r>
      <w:r>
        <w:rPr>
          <w:rFonts w:hint="eastAsia" w:ascii="宋体" w:hAnsi="宋体" w:cs="宋体"/>
          <w:sz w:val="24"/>
          <w:lang w:bidi="ar"/>
        </w:rPr>
        <w:t>）</w:t>
      </w:r>
      <w:bookmarkStart w:id="0" w:name="_GoBack"/>
      <w:bookmarkEnd w:id="0"/>
    </w:p>
    <w:p>
      <w:pPr>
        <w:widowControl w:val="0"/>
        <w:wordWrap/>
        <w:adjustRightInd/>
        <w:snapToGrid/>
        <w:spacing w:line="580" w:lineRule="exact"/>
        <w:ind w:left="0" w:leftChars="0" w:right="0"/>
        <w:textAlignment w:val="auto"/>
        <w:outlineLvl w:val="9"/>
      </w:pPr>
    </w:p>
    <w:sectPr>
      <w:pgSz w:w="16838" w:h="11906" w:orient="landscape"/>
      <w:pgMar w:top="1531" w:right="1701" w:bottom="153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I3YWY0M2FiN2Q1ODI1YzRiMWNjOGUzYTM0OTUzNDEifQ=="/>
  </w:docVars>
  <w:rsids>
    <w:rsidRoot w:val="00517387"/>
    <w:rsid w:val="000418D5"/>
    <w:rsid w:val="00314204"/>
    <w:rsid w:val="00353971"/>
    <w:rsid w:val="00354EDE"/>
    <w:rsid w:val="003637AC"/>
    <w:rsid w:val="003A55B8"/>
    <w:rsid w:val="00517387"/>
    <w:rsid w:val="005B166D"/>
    <w:rsid w:val="005D5B62"/>
    <w:rsid w:val="007470DF"/>
    <w:rsid w:val="00783E75"/>
    <w:rsid w:val="009229CE"/>
    <w:rsid w:val="00B51E5B"/>
    <w:rsid w:val="00B5218A"/>
    <w:rsid w:val="00D74EDA"/>
    <w:rsid w:val="00F857F2"/>
    <w:rsid w:val="050124D0"/>
    <w:rsid w:val="07C81BD2"/>
    <w:rsid w:val="1D8C2477"/>
    <w:rsid w:val="3909171B"/>
    <w:rsid w:val="3F0C538C"/>
    <w:rsid w:val="4D84086F"/>
    <w:rsid w:val="5CA303FC"/>
    <w:rsid w:val="76123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autoRedefine/>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autoRedefine/>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76</Words>
  <Characters>436</Characters>
  <Lines>3</Lines>
  <Paragraphs>1</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雒河</cp:lastModifiedBy>
  <cp:lastPrinted>2024-02-23T02:45:00Z</cp:lastPrinted>
  <dcterms:modified xsi:type="dcterms:W3CDTF">2024-02-26T09:34:04Z</dcterms:modified>
  <dc:title>惠安县应急管理局行政处罚公示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A2CDA86A3C3E4CC099D09BE4F1536D04_12</vt:lpwstr>
  </property>
</Properties>
</file>