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rPr>
          <w:rFonts w:ascii="Times New Roman" w:hAnsi="Times New Roman" w:cs="Times New Roman"/>
          <w:bCs/>
          <w:sz w:val="44"/>
          <w:szCs w:val="44"/>
        </w:rPr>
      </w:pPr>
    </w:p>
    <w:p>
      <w:pPr>
        <w:ind w:firstLine="880"/>
        <w:rPr>
          <w:rFonts w:ascii="Times New Roman" w:hAnsi="Times New Roman" w:cs="Times New Roman"/>
          <w:bCs/>
          <w:sz w:val="44"/>
          <w:szCs w:val="44"/>
        </w:rPr>
      </w:pPr>
    </w:p>
    <w:p>
      <w:pPr>
        <w:ind w:firstLine="880"/>
        <w:rPr>
          <w:rFonts w:ascii="Times New Roman" w:hAnsi="Times New Roman" w:cs="Times New Roman"/>
          <w:bCs/>
          <w:sz w:val="44"/>
          <w:szCs w:val="44"/>
        </w:rPr>
      </w:pPr>
    </w:p>
    <w:p>
      <w:pPr>
        <w:ind w:firstLine="880"/>
        <w:rPr>
          <w:rFonts w:ascii="Times New Roman" w:hAnsi="Times New Roman" w:cs="Times New Roman"/>
          <w:bCs/>
          <w:sz w:val="44"/>
          <w:szCs w:val="44"/>
        </w:rPr>
      </w:pPr>
    </w:p>
    <w:p>
      <w:pPr>
        <w:ind w:firstLine="880"/>
        <w:rPr>
          <w:rFonts w:ascii="Times New Roman" w:hAnsi="Times New Roman" w:cs="Times New Roman"/>
          <w:bCs/>
          <w:sz w:val="44"/>
          <w:szCs w:val="44"/>
        </w:rPr>
      </w:pPr>
    </w:p>
    <w:p>
      <w:pPr>
        <w:spacing w:line="360" w:lineRule="auto"/>
        <w:jc w:val="center"/>
        <w:outlineLvl w:val="0"/>
        <w:rPr>
          <w:rFonts w:hint="eastAsia" w:ascii="仿宋" w:hAnsi="仿宋" w:eastAsia="仿宋" w:cs="Times New Roman"/>
          <w:b/>
          <w:bCs/>
          <w:sz w:val="44"/>
          <w:szCs w:val="44"/>
        </w:rPr>
      </w:pPr>
      <w:bookmarkStart w:id="0" w:name="_Toc19074"/>
      <w:r>
        <w:rPr>
          <w:rFonts w:hint="eastAsia" w:ascii="仿宋" w:hAnsi="仿宋" w:eastAsia="仿宋" w:cs="Times New Roman"/>
          <w:b/>
          <w:bCs/>
          <w:sz w:val="44"/>
          <w:szCs w:val="44"/>
          <w:lang w:val="en-US" w:eastAsia="zh-CN"/>
        </w:rPr>
        <w:t>福建省</w:t>
      </w:r>
      <w:r>
        <w:rPr>
          <w:rFonts w:hint="eastAsia" w:ascii="仿宋" w:hAnsi="仿宋" w:eastAsia="仿宋" w:cs="Times New Roman"/>
          <w:b/>
          <w:bCs/>
          <w:sz w:val="44"/>
          <w:szCs w:val="44"/>
        </w:rPr>
        <w:t>惠安县</w:t>
      </w:r>
      <w:r>
        <w:rPr>
          <w:rFonts w:hint="eastAsia" w:ascii="仿宋" w:hAnsi="仿宋" w:eastAsia="仿宋" w:cs="Times New Roman"/>
          <w:b/>
          <w:bCs/>
          <w:sz w:val="44"/>
          <w:szCs w:val="44"/>
          <w:lang w:val="en-US" w:eastAsia="zh-CN"/>
        </w:rPr>
        <w:t>统计局</w:t>
      </w:r>
      <w:r>
        <w:rPr>
          <w:rFonts w:hint="default" w:ascii="Times New Roman" w:hAnsi="Times New Roman" w:eastAsia="仿宋" w:cs="Times New Roman"/>
          <w:b/>
          <w:bCs/>
          <w:sz w:val="44"/>
          <w:szCs w:val="44"/>
        </w:rPr>
        <w:t>2022</w:t>
      </w:r>
      <w:r>
        <w:rPr>
          <w:rFonts w:hint="eastAsia" w:ascii="仿宋" w:hAnsi="仿宋" w:eastAsia="仿宋" w:cs="Times New Roman"/>
          <w:b/>
          <w:bCs/>
          <w:sz w:val="44"/>
          <w:szCs w:val="44"/>
        </w:rPr>
        <w:t>年</w:t>
      </w:r>
      <w:bookmarkEnd w:id="0"/>
    </w:p>
    <w:p>
      <w:pPr>
        <w:spacing w:line="360" w:lineRule="auto"/>
        <w:jc w:val="center"/>
        <w:outlineLvl w:val="0"/>
        <w:rPr>
          <w:rFonts w:hint="eastAsia" w:ascii="仿宋" w:hAnsi="仿宋" w:eastAsia="仿宋" w:cs="Times New Roman"/>
          <w:b/>
          <w:bCs/>
          <w:sz w:val="44"/>
          <w:szCs w:val="44"/>
        </w:rPr>
      </w:pPr>
      <w:bookmarkStart w:id="1" w:name="_Toc25986"/>
      <w:r>
        <w:rPr>
          <w:rFonts w:hint="eastAsia" w:ascii="仿宋" w:hAnsi="仿宋" w:eastAsia="仿宋" w:cs="Times New Roman"/>
          <w:b/>
          <w:bCs/>
          <w:sz w:val="44"/>
          <w:szCs w:val="44"/>
          <w:lang w:val="en-US" w:eastAsia="zh-CN"/>
        </w:rPr>
        <w:t>部门</w:t>
      </w:r>
      <w:r>
        <w:rPr>
          <w:rFonts w:hint="eastAsia" w:ascii="仿宋" w:hAnsi="仿宋" w:eastAsia="仿宋" w:cs="Times New Roman"/>
          <w:b/>
          <w:bCs/>
          <w:sz w:val="44"/>
          <w:szCs w:val="44"/>
        </w:rPr>
        <w:t>整体支出预算绩效评价报告</w:t>
      </w:r>
      <w:bookmarkEnd w:id="1"/>
    </w:p>
    <w:p>
      <w:pPr>
        <w:jc w:val="center"/>
        <w:rPr>
          <w:rFonts w:ascii="Times New Roman" w:hAnsi="Times New Roman" w:cs="Times New Roman"/>
          <w:bCs/>
          <w:sz w:val="44"/>
          <w:szCs w:val="44"/>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ind w:firstLine="480"/>
        <w:rPr>
          <w:rFonts w:ascii="Times New Roman" w:hAnsi="Times New Roman" w:cs="Times New Roman"/>
          <w:sz w:val="24"/>
          <w:szCs w:val="21"/>
        </w:rPr>
      </w:pPr>
    </w:p>
    <w:p>
      <w:pPr>
        <w:rPr>
          <w:rFonts w:ascii="Times New Roman" w:hAnsi="Times New Roman" w:cs="Times New Roman"/>
          <w:sz w:val="24"/>
          <w:szCs w:val="21"/>
        </w:rPr>
      </w:pPr>
    </w:p>
    <w:p>
      <w:pPr>
        <w:spacing w:line="560" w:lineRule="exact"/>
        <w:ind w:firstLine="480" w:firstLineChars="200"/>
        <w:rPr>
          <w:rFonts w:ascii="仿宋" w:hAnsi="仿宋" w:eastAsia="仿宋" w:cs="仿宋"/>
          <w:sz w:val="24"/>
        </w:rPr>
      </w:pPr>
    </w:p>
    <w:p>
      <w:pPr>
        <w:spacing w:line="560" w:lineRule="exact"/>
        <w:ind w:firstLine="480" w:firstLineChars="200"/>
        <w:rPr>
          <w:rFonts w:ascii="仿宋" w:hAnsi="仿宋" w:eastAsia="仿宋" w:cs="仿宋"/>
          <w:sz w:val="24"/>
        </w:rPr>
      </w:pPr>
    </w:p>
    <w:p>
      <w:pPr>
        <w:spacing w:line="240" w:lineRule="auto"/>
        <w:jc w:val="center"/>
        <w:rPr>
          <w:rFonts w:hint="default" w:ascii="仿宋" w:hAnsi="仿宋" w:eastAsia="仿宋" w:cs="楷体"/>
          <w:bCs/>
          <w:sz w:val="32"/>
          <w:szCs w:val="32"/>
          <w:lang w:val="en-US" w:eastAsia="zh-CN"/>
        </w:rPr>
      </w:pPr>
      <w:r>
        <w:rPr>
          <w:rFonts w:hint="eastAsia" w:ascii="仿宋" w:hAnsi="仿宋" w:eastAsia="仿宋" w:cs="楷体"/>
          <w:bCs/>
          <w:sz w:val="32"/>
          <w:szCs w:val="32"/>
          <w:lang w:val="en-US" w:eastAsia="zh-CN"/>
        </w:rPr>
        <w:t>福州市韦兰信息科技有限公司</w:t>
      </w:r>
    </w:p>
    <w:p>
      <w:pPr>
        <w:spacing w:line="240" w:lineRule="auto"/>
        <w:jc w:val="center"/>
        <w:rPr>
          <w:rFonts w:hint="eastAsia" w:ascii="仿宋" w:hAnsi="仿宋" w:eastAsia="仿宋" w:cs="楷体"/>
          <w:bCs/>
          <w:sz w:val="32"/>
          <w:szCs w:val="32"/>
        </w:rPr>
      </w:pPr>
      <w:r>
        <w:rPr>
          <w:rFonts w:hint="default" w:ascii="Times New Roman" w:hAnsi="Times New Roman" w:eastAsia="仿宋" w:cs="Times New Roman"/>
          <w:bCs/>
          <w:sz w:val="32"/>
          <w:szCs w:val="32"/>
        </w:rPr>
        <w:t>2023</w:t>
      </w:r>
      <w:r>
        <w:rPr>
          <w:rFonts w:hint="eastAsia" w:ascii="仿宋" w:hAnsi="仿宋" w:eastAsia="仿宋" w:cs="楷体"/>
          <w:bCs/>
          <w:sz w:val="32"/>
          <w:szCs w:val="32"/>
        </w:rPr>
        <w:t>年</w:t>
      </w:r>
      <w:r>
        <w:rPr>
          <w:rFonts w:hint="default" w:ascii="Times New Roman" w:hAnsi="Times New Roman" w:eastAsia="仿宋" w:cs="Times New Roman"/>
          <w:bCs/>
          <w:sz w:val="32"/>
          <w:szCs w:val="32"/>
        </w:rPr>
        <w:t>11</w:t>
      </w:r>
      <w:r>
        <w:rPr>
          <w:rFonts w:hint="eastAsia" w:ascii="仿宋" w:hAnsi="仿宋" w:eastAsia="仿宋" w:cs="楷体"/>
          <w:bCs/>
          <w:sz w:val="32"/>
          <w:szCs w:val="32"/>
        </w:rPr>
        <w:t>月</w:t>
      </w:r>
    </w:p>
    <w:p>
      <w:pPr>
        <w:rPr>
          <w:rFonts w:ascii="Times New Roman" w:hAnsi="Times New Roman" w:cs="Times New Roman"/>
          <w:b/>
          <w:bCs/>
          <w:sz w:val="22"/>
          <w:szCs w:val="22"/>
        </w:rPr>
      </w:pPr>
      <w:r>
        <w:rPr>
          <w:rFonts w:ascii="Times New Roman" w:hAnsi="Times New Roman" w:cs="Times New Roman"/>
          <w:b/>
          <w:bCs/>
          <w:sz w:val="22"/>
          <w:szCs w:val="22"/>
        </w:rPr>
        <w:br w:type="page"/>
      </w:r>
      <w:r>
        <w:rPr>
          <w:rFonts w:ascii="Times New Roman" w:hAnsi="Times New Roman" w:cs="Times New Roman"/>
          <w:b/>
          <w:bCs/>
          <w:sz w:val="22"/>
          <w:szCs w:val="22"/>
        </w:rPr>
        <w:br w:type="page"/>
      </w:r>
    </w:p>
    <w:p>
      <w:pPr>
        <w:adjustRightInd w:val="0"/>
        <w:snapToGrid w:val="0"/>
        <w:rPr>
          <w:rFonts w:ascii="仿宋" w:hAnsi="仿宋" w:eastAsia="仿宋" w:cs="宋体"/>
          <w:color w:val="000000" w:themeColor="text1"/>
          <w:sz w:val="24"/>
          <w14:textFill>
            <w14:solidFill>
              <w14:schemeClr w14:val="tx1"/>
            </w14:solidFill>
          </w14:textFill>
        </w:rPr>
      </w:pPr>
      <w:r>
        <w:rPr>
          <w:rFonts w:ascii="仿宋" w:hAnsi="仿宋" w:eastAsia="仿宋" w:cs="Times New Roman"/>
          <w:color w:val="000000" w:themeColor="text1"/>
          <w:sz w:val="20"/>
          <w:szCs w:val="20"/>
          <w14:textFill>
            <w14:solidFill>
              <w14:schemeClr w14:val="tx1"/>
            </w14:solidFill>
          </w14:textFill>
        </w:rPr>
        <w:t xml:space="preserve">                               </w:t>
      </w:r>
      <w:r>
        <w:rPr>
          <w:rFonts w:hint="eastAsia" w:ascii="仿宋" w:hAnsi="仿宋" w:eastAsia="仿宋" w:cs="Times New Roman"/>
          <w:color w:val="000000" w:themeColor="text1"/>
          <w:sz w:val="20"/>
          <w:szCs w:val="20"/>
          <w14:textFill>
            <w14:solidFill>
              <w14:schemeClr w14:val="tx1"/>
            </w14:solidFill>
          </w14:textFill>
        </w:rPr>
        <w:t xml:space="preserve">  </w:t>
      </w:r>
      <w:r>
        <w:rPr>
          <w:rFonts w:ascii="仿宋" w:hAnsi="仿宋" w:eastAsia="仿宋" w:cs="宋体"/>
          <w:color w:val="000000" w:themeColor="text1"/>
          <w:sz w:val="24"/>
          <w14:textFill>
            <w14:solidFill>
              <w14:schemeClr w14:val="tx1"/>
            </w14:solidFill>
          </w14:textFill>
        </w:rPr>
        <w:drawing>
          <wp:inline distT="0" distB="0" distL="114300" distR="114300">
            <wp:extent cx="38100" cy="7620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5"/>
                    <a:stretch>
                      <a:fillRect/>
                    </a:stretch>
                  </pic:blipFill>
                  <pic:spPr>
                    <a:xfrm>
                      <a:off x="0" y="0"/>
                      <a:ext cx="38100" cy="76200"/>
                    </a:xfrm>
                    <a:prstGeom prst="rect">
                      <a:avLst/>
                    </a:prstGeom>
                    <a:noFill/>
                    <a:ln w="9525">
                      <a:noFill/>
                    </a:ln>
                  </pic:spPr>
                </pic:pic>
              </a:graphicData>
            </a:graphic>
          </wp:inline>
        </w:drawing>
      </w:r>
      <w:r>
        <w:rPr>
          <w:rFonts w:ascii="仿宋" w:hAnsi="仿宋" w:eastAsia="仿宋" w:cs="宋体"/>
          <w:color w:val="000000" w:themeColor="text1"/>
          <w:sz w:val="24"/>
          <w14:textFill>
            <w14:solidFill>
              <w14:schemeClr w14:val="tx1"/>
            </w14:solidFill>
          </w14:textFill>
        </w:rPr>
        <w:drawing>
          <wp:inline distT="0" distB="0" distL="114300" distR="114300">
            <wp:extent cx="38100" cy="7620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5"/>
                    <a:stretch>
                      <a:fillRect/>
                    </a:stretch>
                  </pic:blipFill>
                  <pic:spPr>
                    <a:xfrm>
                      <a:off x="0" y="0"/>
                      <a:ext cx="38100" cy="76200"/>
                    </a:xfrm>
                    <a:prstGeom prst="rect">
                      <a:avLst/>
                    </a:prstGeom>
                    <a:noFill/>
                    <a:ln w="9525">
                      <a:noFill/>
                    </a:ln>
                  </pic:spPr>
                </pic:pic>
              </a:graphicData>
            </a:graphic>
          </wp:inline>
        </w:drawing>
      </w:r>
    </w:p>
    <w:p>
      <w:pPr>
        <w:adjustRightInd w:val="0"/>
        <w:snapToGrid w:val="0"/>
        <w:jc w:val="center"/>
        <w:rPr>
          <w:rFonts w:ascii="仿宋" w:hAnsi="仿宋" w:eastAsia="仿宋" w:cs="宋体"/>
          <w:color w:val="000000" w:themeColor="text1"/>
          <w:sz w:val="24"/>
          <w14:textFill>
            <w14:solidFill>
              <w14:schemeClr w14:val="tx1"/>
            </w14:solidFill>
          </w14:textFill>
        </w:rPr>
      </w:pPr>
    </w:p>
    <w:p>
      <w:pPr>
        <w:adjustRightInd w:val="0"/>
        <w:snapToGrid w:val="0"/>
        <w:jc w:val="left"/>
        <w:rPr>
          <w:rFonts w:ascii="仿宋" w:hAnsi="仿宋" w:eastAsia="仿宋" w:cs="宋体"/>
          <w:color w:val="000000" w:themeColor="text1"/>
          <w:sz w:val="24"/>
          <w14:textFill>
            <w14:solidFill>
              <w14:schemeClr w14:val="tx1"/>
            </w14:solidFill>
          </w14:textFill>
        </w:rPr>
      </w:pPr>
    </w:p>
    <w:p>
      <w:pPr>
        <w:adjustRightInd w:val="0"/>
        <w:snapToGrid w:val="0"/>
        <w:jc w:val="center"/>
        <w:rPr>
          <w:rFonts w:ascii="仿宋" w:hAnsi="仿宋" w:eastAsia="仿宋" w:cs="Times New Roman"/>
          <w:b/>
          <w:color w:val="000000" w:themeColor="text1"/>
          <w:sz w:val="36"/>
          <w:szCs w:val="36"/>
          <w14:textFill>
            <w14:solidFill>
              <w14:schemeClr w14:val="tx1"/>
            </w14:solidFill>
          </w14:textFill>
        </w:rPr>
      </w:pPr>
    </w:p>
    <w:p>
      <w:pPr>
        <w:adjustRightInd w:val="0"/>
        <w:snapToGrid w:val="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050" w:firstLineChars="500"/>
        <w:jc w:val="left"/>
        <w:rPr>
          <w:rFonts w:hint="eastAsia" w:ascii="仿宋" w:hAnsi="仿宋" w:eastAsia="仿宋" w:cs="华光楷体一_CNKI"/>
          <w:bCs/>
          <w:color w:val="000000" w:themeColor="text1"/>
          <w:szCs w:val="28"/>
          <w:lang w:eastAsia="zh-CN"/>
          <w14:textFill>
            <w14:solidFill>
              <w14:schemeClr w14:val="tx1"/>
            </w14:solidFill>
          </w14:textFill>
        </w:rPr>
      </w:pPr>
      <w:r>
        <w:rPr>
          <w:rFonts w:hint="eastAsia" w:ascii="仿宋" w:hAnsi="仿宋" w:eastAsia="仿宋" w:cs="华光楷体一_CNKI"/>
          <w:bCs/>
          <w:color w:val="000000" w:themeColor="text1"/>
          <w:szCs w:val="28"/>
          <w:lang w:eastAsia="zh-CN"/>
          <w14:textFill>
            <w14:solidFill>
              <w14:schemeClr w14:val="tx1"/>
            </w14:solidFill>
          </w14:textFill>
        </w:rPr>
        <w:drawing>
          <wp:inline distT="0" distB="0" distL="114300" distR="114300">
            <wp:extent cx="922020" cy="854710"/>
            <wp:effectExtent l="0" t="0" r="5080" b="8890"/>
            <wp:docPr id="3" name="图片 3" descr="170135245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1352455002"/>
                    <pic:cNvPicPr>
                      <a:picLocks noChangeAspect="1"/>
                    </pic:cNvPicPr>
                  </pic:nvPicPr>
                  <pic:blipFill>
                    <a:blip r:embed="rId6"/>
                    <a:stretch>
                      <a:fillRect/>
                    </a:stretch>
                  </pic:blipFill>
                  <pic:spPr>
                    <a:xfrm>
                      <a:off x="0" y="0"/>
                      <a:ext cx="922020" cy="854710"/>
                    </a:xfrm>
                    <a:prstGeom prst="rect">
                      <a:avLst/>
                    </a:prstGeom>
                  </pic:spPr>
                </pic:pic>
              </a:graphicData>
            </a:graphic>
          </wp:inline>
        </w:drawing>
      </w:r>
      <w:r>
        <w:rPr>
          <w:rFonts w:hint="eastAsia" w:ascii="仿宋" w:hAnsi="仿宋" w:eastAsia="仿宋" w:cs="华光楷体一_CNKI"/>
          <w:bCs/>
          <w:color w:val="000000" w:themeColor="text1"/>
          <w:szCs w:val="28"/>
          <w:lang w:eastAsia="zh-CN"/>
          <w14:textFill>
            <w14:solidFill>
              <w14:schemeClr w14:val="tx1"/>
            </w14:solidFill>
          </w14:textFill>
        </w:rPr>
        <w:drawing>
          <wp:inline distT="0" distB="0" distL="114300" distR="114300">
            <wp:extent cx="3230880" cy="377190"/>
            <wp:effectExtent l="0" t="0" r="7620" b="3810"/>
            <wp:docPr id="4" name="图片 4" descr="1701352479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01352479443"/>
                    <pic:cNvPicPr>
                      <a:picLocks noChangeAspect="1"/>
                    </pic:cNvPicPr>
                  </pic:nvPicPr>
                  <pic:blipFill>
                    <a:blip r:embed="rId7"/>
                    <a:stretch>
                      <a:fillRect/>
                    </a:stretch>
                  </pic:blipFill>
                  <pic:spPr>
                    <a:xfrm>
                      <a:off x="0" y="0"/>
                      <a:ext cx="3230880" cy="377190"/>
                    </a:xfrm>
                    <a:prstGeom prst="rect">
                      <a:avLst/>
                    </a:prstGeom>
                  </pic:spPr>
                </pic:pic>
              </a:graphicData>
            </a:graphic>
          </wp:inline>
        </w:drawing>
      </w:r>
    </w:p>
    <w:p>
      <w:pPr>
        <w:adjustRightInd w:val="0"/>
        <w:snapToGrid w:val="0"/>
        <w:ind w:firstLine="105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050" w:firstLineChars="500"/>
        <w:jc w:val="left"/>
        <w:rPr>
          <w:rFonts w:ascii="仿宋" w:hAnsi="仿宋" w:eastAsia="仿宋" w:cs="华光楷体一_CNKI"/>
          <w:bCs/>
          <w:color w:val="000000" w:themeColor="text1"/>
          <w:szCs w:val="28"/>
          <w14:textFill>
            <w14:solidFill>
              <w14:schemeClr w14:val="tx1"/>
            </w14:solidFill>
          </w14:textFill>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adjustRightInd w:val="0"/>
        <w:snapToGrid w:val="0"/>
        <w:ind w:firstLine="1050" w:firstLineChars="500"/>
        <w:jc w:val="left"/>
        <w:rPr>
          <w:rFonts w:ascii="仿宋" w:hAnsi="仿宋" w:eastAsia="仿宋" w:cs="华光楷体一_CNKI"/>
          <w:bCs/>
          <w:szCs w:val="28"/>
        </w:rPr>
      </w:pP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 xml:space="preserve">主评人签字：刘琨  </w:t>
      </w:r>
    </w:p>
    <w:p>
      <w:pPr>
        <w:spacing w:line="560" w:lineRule="exact"/>
        <w:ind w:firstLine="480" w:firstLineChars="200"/>
        <w:rPr>
          <w:rFonts w:hint="eastAsia" w:ascii="仿宋" w:hAnsi="仿宋" w:eastAsia="仿宋" w:cs="仿宋"/>
          <w:sz w:val="24"/>
        </w:rPr>
      </w:pP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组       员：</w:t>
      </w:r>
      <w:bookmarkStart w:id="2" w:name="_Hlk152082494"/>
      <w:r>
        <w:rPr>
          <w:rFonts w:hint="eastAsia" w:ascii="仿宋" w:hAnsi="仿宋" w:eastAsia="仿宋" w:cs="仿宋"/>
          <w:sz w:val="24"/>
        </w:rPr>
        <w:t>江萍 苏晓 赖浏安 廖昕怡 朱瑛 李桐 潘键群</w:t>
      </w:r>
    </w:p>
    <w:bookmarkEnd w:id="2"/>
    <w:p>
      <w:pPr>
        <w:spacing w:line="560" w:lineRule="exact"/>
        <w:ind w:firstLine="480" w:firstLineChars="200"/>
        <w:rPr>
          <w:rFonts w:hint="eastAsia" w:ascii="仿宋" w:hAnsi="仿宋" w:eastAsia="仿宋" w:cs="仿宋"/>
          <w:sz w:val="24"/>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color w:val="000000" w:themeColor="text1"/>
          <w:kern w:val="0"/>
          <w:sz w:val="20"/>
          <w:szCs w:val="20"/>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color w:val="000000" w:themeColor="text1"/>
          <w:kern w:val="0"/>
          <w:sz w:val="20"/>
          <w:szCs w:val="20"/>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仿宋" w:hAnsi="仿宋" w:eastAsia="仿宋" w:cs="Arial"/>
          <w:b/>
          <w:color w:val="000000" w:themeColor="text1"/>
          <w:kern w:val="0"/>
          <w:sz w:val="20"/>
          <w:szCs w:val="20"/>
          <w14:textFill>
            <w14:solidFill>
              <w14:schemeClr w14:val="tx1"/>
            </w14:solidFill>
          </w14:textFill>
        </w:rPr>
      </w:pPr>
      <w:r>
        <w:rPr>
          <w:rFonts w:ascii="仿宋" w:hAnsi="仿宋" w:eastAsia="仿宋" w:cs="宋体"/>
          <w:color w:val="000000" w:themeColor="text1"/>
          <w:kern w:val="0"/>
          <w:sz w:val="20"/>
          <w:szCs w:val="20"/>
          <w14:textFill>
            <w14:solidFill>
              <w14:schemeClr w14:val="tx1"/>
            </w14:solidFill>
          </w14:textFill>
        </w:rPr>
        <w:t>　</w:t>
      </w:r>
    </w:p>
    <w:p>
      <w:pPr>
        <w:widowControl/>
        <w:adjustRightInd w:val="0"/>
        <w:snapToGrid w:val="0"/>
        <w:jc w:val="left"/>
        <w:rPr>
          <w:rFonts w:ascii="仿宋" w:hAnsi="仿宋" w:eastAsia="仿宋" w:cs="宋体"/>
          <w:color w:val="000000" w:themeColor="text1"/>
          <w:kern w:val="0"/>
          <w:sz w:val="20"/>
          <w:szCs w:val="20"/>
          <w14:textFill>
            <w14:solidFill>
              <w14:schemeClr w14:val="tx1"/>
            </w14:solidFill>
          </w14:textFill>
        </w:rPr>
      </w:pPr>
      <w:r>
        <w:rPr>
          <w:rFonts w:ascii="仿宋" w:hAnsi="仿宋" w:eastAsia="仿宋" w:cs="宋体"/>
          <w:color w:val="000000" w:themeColor="text1"/>
          <w:sz w:val="20"/>
          <w:szCs w:val="20"/>
          <w14:textFill>
            <w14:solidFill>
              <w14:schemeClr w14:val="tx1"/>
            </w14:solidFill>
          </w14:textFill>
        </w:rPr>
        <w:br w:type="page"/>
      </w:r>
    </w:p>
    <w:p>
      <w:pPr>
        <w:rPr>
          <w:rFonts w:ascii="Times New Roman" w:hAnsi="Times New Roman" w:cs="Times New Roman"/>
          <w:b/>
          <w:bCs/>
          <w:sz w:val="22"/>
          <w:szCs w:val="22"/>
        </w:rPr>
      </w:pPr>
      <w:r>
        <w:rPr>
          <w:rFonts w:ascii="Times New Roman" w:hAnsi="Times New Roman" w:cs="Times New Roman"/>
          <w:b/>
          <w:bCs/>
          <w:sz w:val="22"/>
          <w:szCs w:val="22"/>
        </w:rPr>
        <w:br w:type="page"/>
      </w:r>
    </w:p>
    <w:p>
      <w:pPr>
        <w:pStyle w:val="2"/>
        <w:spacing w:before="0" w:after="0" w:line="560" w:lineRule="exact"/>
        <w:rPr>
          <w:rFonts w:ascii="仿宋" w:hAnsi="仿宋" w:eastAsia="仿宋" w:cs="仿宋"/>
          <w:szCs w:val="16"/>
        </w:rPr>
        <w:sectPr>
          <w:pgSz w:w="11906" w:h="16838"/>
          <w:pgMar w:top="1440" w:right="1800" w:bottom="1440" w:left="1800" w:header="851" w:footer="992" w:gutter="0"/>
          <w:cols w:space="425" w:num="1"/>
          <w:docGrid w:type="lines" w:linePitch="312" w:charSpace="0"/>
        </w:sectPr>
      </w:pPr>
    </w:p>
    <w:sdt>
      <w:sdtPr>
        <w:rPr>
          <w:rFonts w:ascii="宋体" w:hAnsi="宋体" w:eastAsia="宋体"/>
          <w:b w:val="0"/>
          <w:bCs/>
          <w:kern w:val="44"/>
          <w:sz w:val="44"/>
        </w:rPr>
        <w:id w:val="147479708"/>
        <w15:color w:val="DBDBDB"/>
        <w:docPartObj>
          <w:docPartGallery w:val="Table of Contents"/>
          <w:docPartUnique/>
        </w:docPartObj>
      </w:sdtPr>
      <w:sdtEndPr>
        <w:rPr>
          <w:rFonts w:hint="eastAsia" w:ascii="仿宋" w:hAnsi="仿宋" w:eastAsia="仿宋" w:cs="仿宋"/>
          <w:b w:val="0"/>
          <w:bCs/>
          <w:kern w:val="44"/>
          <w:sz w:val="28"/>
          <w:szCs w:val="36"/>
        </w:rPr>
      </w:sdtEndPr>
      <w:sdtContent>
        <w:p>
          <w:pPr>
            <w:jc w:val="center"/>
            <w:rPr>
              <w:rFonts w:ascii="仿宋" w:hAnsi="仿宋" w:eastAsia="仿宋" w:cs="仿宋"/>
              <w:b w:val="0"/>
              <w:bCs/>
              <w:sz w:val="32"/>
              <w:szCs w:val="40"/>
            </w:rPr>
          </w:pPr>
          <w:r>
            <w:rPr>
              <w:rFonts w:hint="eastAsia" w:ascii="仿宋" w:hAnsi="仿宋" w:eastAsia="仿宋" w:cs="仿宋"/>
              <w:b/>
              <w:bCs w:val="0"/>
              <w:sz w:val="36"/>
              <w:szCs w:val="44"/>
            </w:rPr>
            <w:t>目</w:t>
          </w:r>
          <w:r>
            <w:rPr>
              <w:rFonts w:hint="eastAsia" w:ascii="仿宋" w:hAnsi="仿宋" w:eastAsia="仿宋" w:cs="仿宋"/>
              <w:b/>
              <w:bCs w:val="0"/>
              <w:sz w:val="36"/>
              <w:szCs w:val="44"/>
              <w:lang w:val="en-US" w:eastAsia="zh-CN"/>
            </w:rPr>
            <w:t xml:space="preserve"> </w:t>
          </w:r>
          <w:r>
            <w:rPr>
              <w:rFonts w:hint="eastAsia" w:ascii="仿宋" w:hAnsi="仿宋" w:eastAsia="仿宋" w:cs="仿宋"/>
              <w:b/>
              <w:bCs w:val="0"/>
              <w:sz w:val="36"/>
              <w:szCs w:val="44"/>
            </w:rPr>
            <w:t>录</w:t>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rPr>
          </w:pPr>
          <w:r>
            <w:rPr>
              <w:rStyle w:val="15"/>
              <w:rFonts w:hint="eastAsia"/>
              <w:sz w:val="28"/>
              <w:szCs w:val="36"/>
            </w:rPr>
            <w:fldChar w:fldCharType="begin"/>
          </w:r>
          <w:r>
            <w:rPr>
              <w:rStyle w:val="15"/>
              <w:rFonts w:hint="eastAsia"/>
              <w:sz w:val="28"/>
              <w:szCs w:val="36"/>
            </w:rPr>
            <w:instrText xml:space="preserve">TOC \o "1-2" \h \u </w:instrText>
          </w:r>
          <w:r>
            <w:rPr>
              <w:rStyle w:val="15"/>
              <w:rFonts w:hint="eastAsia"/>
              <w:sz w:val="28"/>
              <w:szCs w:val="36"/>
            </w:rPr>
            <w:fldChar w:fldCharType="separate"/>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_Toc6804 </w:instrText>
          </w:r>
          <w:r>
            <w:rPr>
              <w:rFonts w:hint="eastAsia" w:ascii="仿宋" w:hAnsi="仿宋" w:eastAsia="仿宋" w:cs="仿宋"/>
              <w:sz w:val="28"/>
              <w:szCs w:val="48"/>
            </w:rPr>
            <w:fldChar w:fldCharType="separate"/>
          </w:r>
          <w:r>
            <w:rPr>
              <w:rFonts w:hint="eastAsia" w:ascii="仿宋" w:hAnsi="仿宋" w:eastAsia="仿宋" w:cs="仿宋"/>
              <w:sz w:val="28"/>
              <w:szCs w:val="24"/>
            </w:rPr>
            <w:t>一、部门概况</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_Toc6804 \h </w:instrText>
          </w:r>
          <w:r>
            <w:rPr>
              <w:rFonts w:hint="eastAsia" w:ascii="仿宋" w:hAnsi="仿宋" w:eastAsia="仿宋" w:cs="仿宋"/>
              <w:sz w:val="28"/>
              <w:szCs w:val="36"/>
            </w:rPr>
            <w:fldChar w:fldCharType="separate"/>
          </w:r>
          <w:r>
            <w:rPr>
              <w:rFonts w:hint="eastAsia" w:ascii="仿宋" w:hAnsi="仿宋" w:eastAsia="仿宋" w:cs="仿宋"/>
              <w:sz w:val="28"/>
              <w:szCs w:val="36"/>
            </w:rPr>
            <w:t>1</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_Toc9885 </w:instrText>
          </w:r>
          <w:r>
            <w:rPr>
              <w:rFonts w:hint="eastAsia" w:ascii="仿宋" w:hAnsi="仿宋" w:eastAsia="仿宋" w:cs="仿宋"/>
              <w:sz w:val="28"/>
              <w:szCs w:val="48"/>
            </w:rPr>
            <w:fldChar w:fldCharType="separate"/>
          </w:r>
          <w:r>
            <w:rPr>
              <w:rFonts w:hint="eastAsia" w:ascii="仿宋" w:hAnsi="仿宋" w:eastAsia="仿宋" w:cs="仿宋"/>
              <w:sz w:val="28"/>
              <w:szCs w:val="40"/>
            </w:rPr>
            <w:t>（一）职能、机构和人员</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_Toc9885 \h </w:instrText>
          </w:r>
          <w:r>
            <w:rPr>
              <w:rFonts w:hint="eastAsia" w:ascii="仿宋" w:hAnsi="仿宋" w:eastAsia="仿宋" w:cs="仿宋"/>
              <w:sz w:val="28"/>
              <w:szCs w:val="36"/>
            </w:rPr>
            <w:fldChar w:fldCharType="separate"/>
          </w:r>
          <w:r>
            <w:rPr>
              <w:rFonts w:hint="eastAsia" w:ascii="仿宋" w:hAnsi="仿宋" w:eastAsia="仿宋" w:cs="仿宋"/>
              <w:sz w:val="28"/>
              <w:szCs w:val="36"/>
            </w:rPr>
            <w:t>1</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_Toc2166 </w:instrText>
          </w:r>
          <w:r>
            <w:rPr>
              <w:rFonts w:hint="eastAsia" w:ascii="仿宋" w:hAnsi="仿宋" w:eastAsia="仿宋" w:cs="仿宋"/>
              <w:sz w:val="28"/>
              <w:szCs w:val="48"/>
            </w:rPr>
            <w:fldChar w:fldCharType="separate"/>
          </w:r>
          <w:r>
            <w:rPr>
              <w:rFonts w:hint="eastAsia" w:ascii="仿宋" w:hAnsi="仿宋" w:eastAsia="仿宋" w:cs="仿宋"/>
              <w:sz w:val="28"/>
              <w:szCs w:val="40"/>
            </w:rPr>
            <w:t>（二）资产负债情况</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_Toc2166 \h </w:instrText>
          </w:r>
          <w:r>
            <w:rPr>
              <w:rFonts w:hint="eastAsia" w:ascii="仿宋" w:hAnsi="仿宋" w:eastAsia="仿宋" w:cs="仿宋"/>
              <w:sz w:val="28"/>
              <w:szCs w:val="36"/>
            </w:rPr>
            <w:fldChar w:fldCharType="separate"/>
          </w:r>
          <w:r>
            <w:rPr>
              <w:rFonts w:hint="eastAsia" w:ascii="仿宋" w:hAnsi="仿宋" w:eastAsia="仿宋" w:cs="仿宋"/>
              <w:sz w:val="28"/>
              <w:szCs w:val="36"/>
            </w:rPr>
            <w:t>3</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_Toc31228 </w:instrText>
          </w:r>
          <w:r>
            <w:rPr>
              <w:rFonts w:hint="eastAsia" w:ascii="仿宋" w:hAnsi="仿宋" w:eastAsia="仿宋" w:cs="仿宋"/>
              <w:sz w:val="28"/>
              <w:szCs w:val="48"/>
            </w:rPr>
            <w:fldChar w:fldCharType="separate"/>
          </w:r>
          <w:r>
            <w:rPr>
              <w:rFonts w:hint="eastAsia" w:ascii="仿宋" w:hAnsi="仿宋" w:eastAsia="仿宋" w:cs="仿宋"/>
              <w:kern w:val="44"/>
              <w:sz w:val="28"/>
              <w:szCs w:val="24"/>
            </w:rPr>
            <w:t>二、一般公共预算支出情况</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_Toc31228 \h </w:instrText>
          </w:r>
          <w:r>
            <w:rPr>
              <w:rFonts w:hint="eastAsia" w:ascii="仿宋" w:hAnsi="仿宋" w:eastAsia="仿宋" w:cs="仿宋"/>
              <w:sz w:val="28"/>
              <w:szCs w:val="36"/>
            </w:rPr>
            <w:fldChar w:fldCharType="separate"/>
          </w:r>
          <w:r>
            <w:rPr>
              <w:rFonts w:hint="eastAsia" w:ascii="仿宋" w:hAnsi="仿宋" w:eastAsia="仿宋" w:cs="仿宋"/>
              <w:sz w:val="28"/>
              <w:szCs w:val="36"/>
            </w:rPr>
            <w:t>3</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_Toc9579 </w:instrText>
          </w:r>
          <w:r>
            <w:rPr>
              <w:rFonts w:hint="eastAsia" w:ascii="仿宋" w:hAnsi="仿宋" w:eastAsia="仿宋" w:cs="仿宋"/>
              <w:sz w:val="28"/>
              <w:szCs w:val="48"/>
            </w:rPr>
            <w:fldChar w:fldCharType="separate"/>
          </w:r>
          <w:r>
            <w:rPr>
              <w:rFonts w:hint="eastAsia" w:ascii="仿宋" w:hAnsi="仿宋" w:eastAsia="仿宋" w:cs="仿宋"/>
              <w:kern w:val="44"/>
              <w:sz w:val="28"/>
              <w:szCs w:val="24"/>
            </w:rPr>
            <w:t>三、评价实施</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_Toc9579 \h </w:instrText>
          </w:r>
          <w:r>
            <w:rPr>
              <w:rFonts w:hint="eastAsia" w:ascii="仿宋" w:hAnsi="仿宋" w:eastAsia="仿宋" w:cs="仿宋"/>
              <w:sz w:val="28"/>
              <w:szCs w:val="36"/>
            </w:rPr>
            <w:fldChar w:fldCharType="separate"/>
          </w:r>
          <w:r>
            <w:rPr>
              <w:rFonts w:hint="eastAsia" w:ascii="仿宋" w:hAnsi="仿宋" w:eastAsia="仿宋" w:cs="仿宋"/>
              <w:sz w:val="28"/>
              <w:szCs w:val="36"/>
            </w:rPr>
            <w:t>4</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_Toc5001 </w:instrText>
          </w:r>
          <w:r>
            <w:rPr>
              <w:rFonts w:hint="eastAsia" w:ascii="仿宋" w:hAnsi="仿宋" w:eastAsia="仿宋" w:cs="仿宋"/>
              <w:sz w:val="28"/>
              <w:szCs w:val="48"/>
            </w:rPr>
            <w:fldChar w:fldCharType="separate"/>
          </w:r>
          <w:r>
            <w:rPr>
              <w:rFonts w:hint="eastAsia" w:ascii="仿宋" w:hAnsi="仿宋" w:eastAsia="仿宋" w:cs="仿宋"/>
              <w:kern w:val="2"/>
              <w:sz w:val="28"/>
              <w:szCs w:val="32"/>
            </w:rPr>
            <w:t>（一）目标和对象</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_Toc5001 \h </w:instrText>
          </w:r>
          <w:r>
            <w:rPr>
              <w:rFonts w:hint="eastAsia" w:ascii="仿宋" w:hAnsi="仿宋" w:eastAsia="仿宋" w:cs="仿宋"/>
              <w:sz w:val="28"/>
              <w:szCs w:val="36"/>
            </w:rPr>
            <w:fldChar w:fldCharType="separate"/>
          </w:r>
          <w:r>
            <w:rPr>
              <w:rFonts w:hint="eastAsia" w:ascii="仿宋" w:hAnsi="仿宋" w:eastAsia="仿宋" w:cs="仿宋"/>
              <w:sz w:val="28"/>
              <w:szCs w:val="36"/>
            </w:rPr>
            <w:t>4</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_Toc26268 </w:instrText>
          </w:r>
          <w:r>
            <w:rPr>
              <w:rFonts w:hint="eastAsia" w:ascii="仿宋" w:hAnsi="仿宋" w:eastAsia="仿宋" w:cs="仿宋"/>
              <w:sz w:val="28"/>
              <w:szCs w:val="48"/>
            </w:rPr>
            <w:fldChar w:fldCharType="separate"/>
          </w:r>
          <w:r>
            <w:rPr>
              <w:rFonts w:hint="eastAsia" w:ascii="仿宋" w:hAnsi="仿宋" w:eastAsia="仿宋" w:cs="仿宋"/>
              <w:kern w:val="2"/>
              <w:sz w:val="28"/>
              <w:szCs w:val="32"/>
            </w:rPr>
            <w:t>（二）内容和方法</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_Toc26268 \h </w:instrText>
          </w:r>
          <w:r>
            <w:rPr>
              <w:rFonts w:hint="eastAsia" w:ascii="仿宋" w:hAnsi="仿宋" w:eastAsia="仿宋" w:cs="仿宋"/>
              <w:sz w:val="28"/>
              <w:szCs w:val="36"/>
            </w:rPr>
            <w:fldChar w:fldCharType="separate"/>
          </w:r>
          <w:r>
            <w:rPr>
              <w:rFonts w:hint="eastAsia" w:ascii="仿宋" w:hAnsi="仿宋" w:eastAsia="仿宋" w:cs="仿宋"/>
              <w:sz w:val="28"/>
              <w:szCs w:val="36"/>
            </w:rPr>
            <w:t>4</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_Toc2317 </w:instrText>
          </w:r>
          <w:r>
            <w:rPr>
              <w:rFonts w:hint="eastAsia" w:ascii="仿宋" w:hAnsi="仿宋" w:eastAsia="仿宋" w:cs="仿宋"/>
              <w:sz w:val="28"/>
              <w:szCs w:val="48"/>
            </w:rPr>
            <w:fldChar w:fldCharType="separate"/>
          </w:r>
          <w:r>
            <w:rPr>
              <w:rFonts w:hint="eastAsia" w:ascii="仿宋" w:hAnsi="仿宋" w:eastAsia="仿宋" w:cs="仿宋"/>
              <w:kern w:val="2"/>
              <w:sz w:val="28"/>
              <w:szCs w:val="32"/>
            </w:rPr>
            <w:t>（三）实施过程</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_Toc2317 \h </w:instrText>
          </w:r>
          <w:r>
            <w:rPr>
              <w:rFonts w:hint="eastAsia" w:ascii="仿宋" w:hAnsi="仿宋" w:eastAsia="仿宋" w:cs="仿宋"/>
              <w:sz w:val="28"/>
              <w:szCs w:val="36"/>
            </w:rPr>
            <w:fldChar w:fldCharType="separate"/>
          </w:r>
          <w:r>
            <w:rPr>
              <w:rFonts w:hint="eastAsia" w:ascii="仿宋" w:hAnsi="仿宋" w:eastAsia="仿宋" w:cs="仿宋"/>
              <w:sz w:val="28"/>
              <w:szCs w:val="36"/>
            </w:rPr>
            <w:t>5</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_Toc13033 </w:instrText>
          </w:r>
          <w:r>
            <w:rPr>
              <w:rFonts w:hint="eastAsia" w:ascii="仿宋" w:hAnsi="仿宋" w:eastAsia="仿宋" w:cs="仿宋"/>
              <w:sz w:val="28"/>
              <w:szCs w:val="48"/>
            </w:rPr>
            <w:fldChar w:fldCharType="separate"/>
          </w:r>
          <w:r>
            <w:rPr>
              <w:rFonts w:hint="eastAsia" w:ascii="仿宋" w:hAnsi="仿宋" w:eastAsia="仿宋" w:cs="仿宋"/>
              <w:kern w:val="44"/>
              <w:sz w:val="28"/>
              <w:szCs w:val="24"/>
            </w:rPr>
            <w:t>四、部门整体支出绩效评价指标分析</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_Toc13033 \h </w:instrText>
          </w:r>
          <w:r>
            <w:rPr>
              <w:rFonts w:hint="eastAsia" w:ascii="仿宋" w:hAnsi="仿宋" w:eastAsia="仿宋" w:cs="仿宋"/>
              <w:sz w:val="28"/>
              <w:szCs w:val="36"/>
            </w:rPr>
            <w:fldChar w:fldCharType="separate"/>
          </w:r>
          <w:r>
            <w:rPr>
              <w:rFonts w:hint="eastAsia" w:ascii="仿宋" w:hAnsi="仿宋" w:eastAsia="仿宋" w:cs="仿宋"/>
              <w:sz w:val="28"/>
              <w:szCs w:val="36"/>
            </w:rPr>
            <w:t>5</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_Toc5436 </w:instrText>
          </w:r>
          <w:r>
            <w:rPr>
              <w:rFonts w:hint="eastAsia" w:ascii="仿宋" w:hAnsi="仿宋" w:eastAsia="仿宋" w:cs="仿宋"/>
              <w:sz w:val="28"/>
              <w:szCs w:val="48"/>
            </w:rPr>
            <w:fldChar w:fldCharType="separate"/>
          </w:r>
          <w:r>
            <w:rPr>
              <w:rFonts w:hint="eastAsia" w:ascii="仿宋" w:hAnsi="仿宋" w:eastAsia="仿宋" w:cs="仿宋"/>
              <w:kern w:val="2"/>
              <w:sz w:val="28"/>
              <w:szCs w:val="32"/>
            </w:rPr>
            <w:t>（一）总体结论</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_Toc5436 \h </w:instrText>
          </w:r>
          <w:r>
            <w:rPr>
              <w:rFonts w:hint="eastAsia" w:ascii="仿宋" w:hAnsi="仿宋" w:eastAsia="仿宋" w:cs="仿宋"/>
              <w:sz w:val="28"/>
              <w:szCs w:val="36"/>
            </w:rPr>
            <w:fldChar w:fldCharType="separate"/>
          </w:r>
          <w:r>
            <w:rPr>
              <w:rFonts w:hint="eastAsia" w:ascii="仿宋" w:hAnsi="仿宋" w:eastAsia="仿宋" w:cs="仿宋"/>
              <w:sz w:val="28"/>
              <w:szCs w:val="36"/>
            </w:rPr>
            <w:t>5</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_Toc21570 </w:instrText>
          </w:r>
          <w:r>
            <w:rPr>
              <w:rFonts w:hint="eastAsia" w:ascii="仿宋" w:hAnsi="仿宋" w:eastAsia="仿宋" w:cs="仿宋"/>
              <w:sz w:val="28"/>
              <w:szCs w:val="48"/>
            </w:rPr>
            <w:fldChar w:fldCharType="separate"/>
          </w:r>
          <w:r>
            <w:rPr>
              <w:rFonts w:hint="eastAsia" w:ascii="仿宋" w:hAnsi="仿宋" w:eastAsia="仿宋" w:cs="仿宋"/>
              <w:kern w:val="2"/>
              <w:sz w:val="28"/>
              <w:szCs w:val="40"/>
            </w:rPr>
            <w:t>（二）指标分析</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_Toc21570 \h </w:instrText>
          </w:r>
          <w:r>
            <w:rPr>
              <w:rFonts w:hint="eastAsia" w:ascii="仿宋" w:hAnsi="仿宋" w:eastAsia="仿宋" w:cs="仿宋"/>
              <w:sz w:val="28"/>
              <w:szCs w:val="36"/>
            </w:rPr>
            <w:fldChar w:fldCharType="separate"/>
          </w:r>
          <w:r>
            <w:rPr>
              <w:rFonts w:hint="eastAsia" w:ascii="仿宋" w:hAnsi="仿宋" w:eastAsia="仿宋" w:cs="仿宋"/>
              <w:sz w:val="28"/>
              <w:szCs w:val="36"/>
            </w:rPr>
            <w:t>6</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_Toc5156 </w:instrText>
          </w:r>
          <w:r>
            <w:rPr>
              <w:rFonts w:hint="eastAsia" w:ascii="仿宋" w:hAnsi="仿宋" w:eastAsia="仿宋" w:cs="仿宋"/>
              <w:sz w:val="28"/>
              <w:szCs w:val="48"/>
            </w:rPr>
            <w:fldChar w:fldCharType="separate"/>
          </w:r>
          <w:r>
            <w:rPr>
              <w:rFonts w:hint="eastAsia" w:ascii="仿宋" w:hAnsi="仿宋" w:eastAsia="仿宋" w:cs="仿宋"/>
              <w:kern w:val="44"/>
              <w:sz w:val="28"/>
              <w:szCs w:val="24"/>
            </w:rPr>
            <w:t>五、工作成效及经验</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_Toc5156 \h </w:instrText>
          </w:r>
          <w:r>
            <w:rPr>
              <w:rFonts w:hint="eastAsia" w:ascii="仿宋" w:hAnsi="仿宋" w:eastAsia="仿宋" w:cs="仿宋"/>
              <w:sz w:val="28"/>
              <w:szCs w:val="36"/>
            </w:rPr>
            <w:fldChar w:fldCharType="separate"/>
          </w:r>
          <w:r>
            <w:rPr>
              <w:rFonts w:hint="eastAsia" w:ascii="仿宋" w:hAnsi="仿宋" w:eastAsia="仿宋" w:cs="仿宋"/>
              <w:sz w:val="28"/>
              <w:szCs w:val="36"/>
            </w:rPr>
            <w:t>20</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_Toc4308 </w:instrText>
          </w:r>
          <w:r>
            <w:rPr>
              <w:rFonts w:hint="eastAsia" w:ascii="仿宋" w:hAnsi="仿宋" w:eastAsia="仿宋" w:cs="仿宋"/>
              <w:sz w:val="28"/>
              <w:szCs w:val="48"/>
            </w:rPr>
            <w:fldChar w:fldCharType="separate"/>
          </w:r>
          <w:r>
            <w:rPr>
              <w:rFonts w:hint="eastAsia" w:ascii="仿宋" w:hAnsi="仿宋" w:eastAsia="仿宋" w:cs="仿宋"/>
              <w:kern w:val="44"/>
              <w:sz w:val="28"/>
              <w:szCs w:val="24"/>
            </w:rPr>
            <w:t>六、主要问题及政策建议</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_Toc4308 \h </w:instrText>
          </w:r>
          <w:r>
            <w:rPr>
              <w:rFonts w:hint="eastAsia" w:ascii="仿宋" w:hAnsi="仿宋" w:eastAsia="仿宋" w:cs="仿宋"/>
              <w:sz w:val="28"/>
              <w:szCs w:val="36"/>
            </w:rPr>
            <w:fldChar w:fldCharType="separate"/>
          </w:r>
          <w:r>
            <w:rPr>
              <w:rFonts w:hint="eastAsia" w:ascii="仿宋" w:hAnsi="仿宋" w:eastAsia="仿宋" w:cs="仿宋"/>
              <w:sz w:val="28"/>
              <w:szCs w:val="36"/>
            </w:rPr>
            <w:t>21</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_Toc3118 </w:instrText>
          </w:r>
          <w:r>
            <w:rPr>
              <w:rFonts w:hint="eastAsia" w:ascii="仿宋" w:hAnsi="仿宋" w:eastAsia="仿宋" w:cs="仿宋"/>
              <w:sz w:val="28"/>
              <w:szCs w:val="48"/>
            </w:rPr>
            <w:fldChar w:fldCharType="separate"/>
          </w:r>
          <w:r>
            <w:rPr>
              <w:rFonts w:hint="eastAsia" w:ascii="仿宋" w:hAnsi="仿宋" w:eastAsia="仿宋" w:cs="仿宋"/>
              <w:kern w:val="2"/>
              <w:sz w:val="28"/>
              <w:szCs w:val="32"/>
            </w:rPr>
            <w:t>（一）主要问题</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_Toc3118 \h </w:instrText>
          </w:r>
          <w:r>
            <w:rPr>
              <w:rFonts w:hint="eastAsia" w:ascii="仿宋" w:hAnsi="仿宋" w:eastAsia="仿宋" w:cs="仿宋"/>
              <w:sz w:val="28"/>
              <w:szCs w:val="36"/>
            </w:rPr>
            <w:fldChar w:fldCharType="separate"/>
          </w:r>
          <w:r>
            <w:rPr>
              <w:rFonts w:hint="eastAsia" w:ascii="仿宋" w:hAnsi="仿宋" w:eastAsia="仿宋" w:cs="仿宋"/>
              <w:sz w:val="28"/>
              <w:szCs w:val="36"/>
            </w:rPr>
            <w:t>21</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sz w:val="28"/>
              <w:szCs w:val="36"/>
            </w:rPr>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_Toc4751 </w:instrText>
          </w:r>
          <w:r>
            <w:rPr>
              <w:rFonts w:hint="eastAsia" w:ascii="仿宋" w:hAnsi="仿宋" w:eastAsia="仿宋" w:cs="仿宋"/>
              <w:sz w:val="28"/>
              <w:szCs w:val="48"/>
            </w:rPr>
            <w:fldChar w:fldCharType="separate"/>
          </w:r>
          <w:r>
            <w:rPr>
              <w:rFonts w:hint="eastAsia" w:ascii="仿宋" w:hAnsi="仿宋" w:eastAsia="仿宋" w:cs="仿宋"/>
              <w:kern w:val="2"/>
              <w:sz w:val="28"/>
              <w:szCs w:val="32"/>
            </w:rPr>
            <w:t>（二）政策建议</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_Toc4751 \h </w:instrText>
          </w:r>
          <w:r>
            <w:rPr>
              <w:rFonts w:hint="eastAsia" w:ascii="仿宋" w:hAnsi="仿宋" w:eastAsia="仿宋" w:cs="仿宋"/>
              <w:sz w:val="28"/>
              <w:szCs w:val="36"/>
            </w:rPr>
            <w:fldChar w:fldCharType="separate"/>
          </w:r>
          <w:r>
            <w:rPr>
              <w:rFonts w:hint="eastAsia" w:ascii="仿宋" w:hAnsi="仿宋" w:eastAsia="仿宋" w:cs="仿宋"/>
              <w:sz w:val="28"/>
              <w:szCs w:val="36"/>
            </w:rPr>
            <w:t>22</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rFonts w:hint="eastAsia" w:ascii="仿宋" w:hAnsi="仿宋" w:eastAsia="仿宋" w:cs="仿宋"/>
              <w:sz w:val="28"/>
              <w:szCs w:val="48"/>
            </w:rPr>
            <w:fldChar w:fldCharType="begin"/>
          </w:r>
          <w:r>
            <w:rPr>
              <w:rFonts w:hint="eastAsia" w:ascii="仿宋" w:hAnsi="仿宋" w:eastAsia="仿宋" w:cs="仿宋"/>
              <w:sz w:val="28"/>
              <w:szCs w:val="48"/>
            </w:rPr>
            <w:instrText xml:space="preserve"> HYPERLINK \l _Toc28689 </w:instrText>
          </w:r>
          <w:r>
            <w:rPr>
              <w:rFonts w:hint="eastAsia" w:ascii="仿宋" w:hAnsi="仿宋" w:eastAsia="仿宋" w:cs="仿宋"/>
              <w:sz w:val="28"/>
              <w:szCs w:val="48"/>
            </w:rPr>
            <w:fldChar w:fldCharType="separate"/>
          </w:r>
          <w:r>
            <w:rPr>
              <w:rFonts w:hint="eastAsia" w:ascii="仿宋" w:hAnsi="仿宋" w:eastAsia="仿宋" w:cs="仿宋"/>
              <w:sz w:val="28"/>
              <w:szCs w:val="22"/>
            </w:rPr>
            <w:t>附件1：</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_Toc28689 \h </w:instrText>
          </w:r>
          <w:r>
            <w:rPr>
              <w:rFonts w:hint="eastAsia" w:ascii="仿宋" w:hAnsi="仿宋" w:eastAsia="仿宋" w:cs="仿宋"/>
              <w:sz w:val="28"/>
              <w:szCs w:val="36"/>
            </w:rPr>
            <w:fldChar w:fldCharType="separate"/>
          </w:r>
          <w:r>
            <w:rPr>
              <w:rFonts w:hint="eastAsia" w:ascii="仿宋" w:hAnsi="仿宋" w:eastAsia="仿宋" w:cs="仿宋"/>
              <w:sz w:val="28"/>
              <w:szCs w:val="36"/>
            </w:rPr>
            <w:t>26</w:t>
          </w:r>
          <w:r>
            <w:rPr>
              <w:rFonts w:hint="eastAsia" w:ascii="仿宋" w:hAnsi="仿宋" w:eastAsia="仿宋" w:cs="仿宋"/>
              <w:sz w:val="28"/>
              <w:szCs w:val="36"/>
            </w:rPr>
            <w:fldChar w:fldCharType="end"/>
          </w:r>
          <w:r>
            <w:rPr>
              <w:rFonts w:hint="eastAsia" w:ascii="仿宋" w:hAnsi="仿宋" w:eastAsia="仿宋" w:cs="仿宋"/>
              <w:sz w:val="28"/>
              <w:szCs w:val="48"/>
            </w:rPr>
            <w:fldChar w:fldCharType="end"/>
          </w:r>
        </w:p>
        <w:p>
          <w:pPr>
            <w:pStyle w:val="2"/>
            <w:spacing w:before="0" w:after="0" w:line="560" w:lineRule="exact"/>
            <w:jc w:val="center"/>
            <w:rPr>
              <w:rFonts w:ascii="仿宋" w:hAnsi="仿宋" w:eastAsia="仿宋" w:cs="仿宋"/>
              <w:sz w:val="24"/>
            </w:rPr>
          </w:pPr>
          <w:r>
            <w:rPr>
              <w:rFonts w:hint="eastAsia"/>
              <w:szCs w:val="36"/>
            </w:rPr>
            <w:fldChar w:fldCharType="end"/>
          </w:r>
        </w:p>
      </w:sdtContent>
    </w:sdt>
    <w:p>
      <w:pPr>
        <w:spacing w:line="560" w:lineRule="exact"/>
        <w:rPr>
          <w:rFonts w:ascii="仿宋" w:hAnsi="仿宋" w:eastAsia="仿宋" w:cs="仿宋"/>
          <w:sz w:val="24"/>
        </w:rPr>
        <w:sectPr>
          <w:footerReference r:id="rId3" w:type="default"/>
          <w:pgSz w:w="11906" w:h="16838"/>
          <w:pgMar w:top="1440" w:right="1800" w:bottom="1440" w:left="1800" w:header="851" w:footer="992" w:gutter="0"/>
          <w:pgNumType w:start="1"/>
          <w:cols w:space="425" w:num="1"/>
          <w:docGrid w:type="lines" w:linePitch="312" w:charSpace="0"/>
        </w:sectPr>
      </w:pPr>
    </w:p>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ind w:firstLine="643" w:firstLineChars="200"/>
        <w:textAlignment w:val="auto"/>
        <w:rPr>
          <w:rFonts w:ascii="仿宋" w:hAnsi="仿宋" w:eastAsia="仿宋" w:cs="仿宋"/>
          <w:sz w:val="32"/>
          <w:szCs w:val="20"/>
        </w:rPr>
      </w:pPr>
      <w:bookmarkStart w:id="3" w:name="_Toc6804"/>
      <w:r>
        <w:rPr>
          <w:rFonts w:hint="eastAsia" w:ascii="仿宋" w:hAnsi="仿宋" w:eastAsia="仿宋" w:cs="仿宋"/>
          <w:sz w:val="32"/>
          <w:szCs w:val="20"/>
        </w:rPr>
        <w:t>一、部门概况</w:t>
      </w:r>
      <w:bookmarkEnd w:id="3"/>
    </w:p>
    <w:p>
      <w:pPr>
        <w:pStyle w:val="3"/>
        <w:pageBreakBefore w:val="0"/>
        <w:kinsoku/>
        <w:wordWrap/>
        <w:overflowPunct/>
        <w:topLinePunct w:val="0"/>
        <w:autoSpaceDE/>
        <w:autoSpaceDN/>
        <w:bidi w:val="0"/>
        <w:adjustRightInd/>
        <w:snapToGrid/>
        <w:spacing w:before="0" w:after="0" w:line="360" w:lineRule="auto"/>
        <w:ind w:firstLine="562" w:firstLineChars="200"/>
        <w:textAlignment w:val="auto"/>
        <w:rPr>
          <w:rFonts w:ascii="仿宋" w:hAnsi="仿宋" w:eastAsia="仿宋" w:cs="仿宋"/>
          <w:bCs/>
          <w:color w:val="333333"/>
          <w:sz w:val="28"/>
          <w:szCs w:val="28"/>
          <w:shd w:val="clear" w:color="auto" w:fill="FFFFFF"/>
        </w:rPr>
      </w:pPr>
      <w:bookmarkStart w:id="4" w:name="_Toc9885"/>
      <w:r>
        <w:rPr>
          <w:rFonts w:hint="eastAsia" w:ascii="仿宋" w:hAnsi="仿宋" w:eastAsia="仿宋" w:cs="仿宋"/>
          <w:sz w:val="28"/>
          <w:szCs w:val="28"/>
        </w:rPr>
        <w:t>（一）职能、机构和人员</w:t>
      </w:r>
      <w:bookmarkEnd w:id="4"/>
    </w:p>
    <w:p>
      <w:pPr>
        <w:pStyle w:val="4"/>
        <w:pageBreakBefore w:val="0"/>
        <w:kinsoku/>
        <w:wordWrap/>
        <w:overflowPunct/>
        <w:topLinePunct w:val="0"/>
        <w:autoSpaceDE/>
        <w:autoSpaceDN/>
        <w:bidi w:val="0"/>
        <w:adjustRightInd/>
        <w:snapToGrid/>
        <w:spacing w:before="0" w:after="0" w:line="360" w:lineRule="auto"/>
        <w:ind w:firstLine="560" w:firstLineChars="200"/>
        <w:textAlignment w:val="auto"/>
        <w:rPr>
          <w:rFonts w:ascii="仿宋" w:hAnsi="仿宋" w:eastAsia="仿宋" w:cs="仿宋"/>
          <w:b w:val="0"/>
          <w:bCs/>
          <w:sz w:val="28"/>
          <w:szCs w:val="22"/>
        </w:rPr>
      </w:pPr>
      <w:r>
        <w:rPr>
          <w:rFonts w:hint="default" w:ascii="Times New Roman" w:hAnsi="Times New Roman" w:eastAsia="仿宋" w:cs="Times New Roman"/>
          <w:b w:val="0"/>
          <w:bCs/>
          <w:sz w:val="28"/>
          <w:szCs w:val="22"/>
        </w:rPr>
        <w:t>1</w:t>
      </w:r>
      <w:r>
        <w:rPr>
          <w:rFonts w:hint="eastAsia" w:ascii="仿宋" w:hAnsi="仿宋" w:eastAsia="仿宋" w:cs="仿宋"/>
          <w:b w:val="0"/>
          <w:bCs/>
          <w:sz w:val="28"/>
          <w:szCs w:val="22"/>
        </w:rPr>
        <w:t>.主要职能</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1</w:t>
      </w:r>
      <w:r>
        <w:rPr>
          <w:rFonts w:hint="eastAsia" w:ascii="仿宋" w:hAnsi="仿宋" w:eastAsia="仿宋" w:cs="仿宋"/>
          <w:color w:val="333333"/>
          <w:sz w:val="28"/>
          <w:szCs w:val="28"/>
          <w:shd w:val="clear" w:color="auto" w:fill="FFFFFF"/>
        </w:rPr>
        <w:t>）贯彻执行国家、省、市统计有关法律法规、政策、规划、基本统计制度和标准；组织领导和协调全县统计工作，拟订并组织实施全县统计工作规划、调查计划及方案。</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）组织实施国民经济核算制度和全县投入产出调查，核算全县国内生产总值，汇编提供国民经济核算资料，做好全县国民经济核算工作。</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w:t>
      </w:r>
      <w:r>
        <w:rPr>
          <w:rFonts w:hint="eastAsia" w:ascii="仿宋" w:hAnsi="仿宋" w:eastAsia="仿宋" w:cs="仿宋"/>
          <w:color w:val="333333"/>
          <w:sz w:val="28"/>
          <w:szCs w:val="28"/>
          <w:shd w:val="clear" w:color="auto" w:fill="FFFFFF"/>
        </w:rPr>
        <w:t>）会同有关部门组织实施全县人口、经济、农业等重大国情国力普查，汇总、整理和提供有关国情国力方面的统计数据。</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4</w:t>
      </w:r>
      <w:r>
        <w:rPr>
          <w:rFonts w:hint="eastAsia" w:ascii="仿宋" w:hAnsi="仿宋" w:eastAsia="仿宋" w:cs="仿宋"/>
          <w:color w:val="333333"/>
          <w:sz w:val="28"/>
          <w:szCs w:val="28"/>
          <w:shd w:val="clear" w:color="auto" w:fill="FFFFFF"/>
        </w:rPr>
        <w:t>）组织实施农林牧渔业、工业、建筑业、批发和零售业、住宿和餐饮业、房地产业、租赁和商务服务业、居民服务和其他服务业、文化体育和娱乐业、交通运输仓储和邮政业、信息传输软件和信息技术服务业、科学研究和技术服务业、卫生和社会工作，以及基本单位、能源、投资、消费、科技、人口、社会发展基本情况等统计调查，收集、汇总、整理和提供有关调查的统计数据。</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）综合整理和提供教育、财政、社会保障、就业、人民生活、自然资源、生态环境、交通运输、对外贸易、对外经济、旅游、卫生、安全生产、金融、气象、邮政、电信等全县性基本统计数据。</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6</w:t>
      </w:r>
      <w:r>
        <w:rPr>
          <w:rFonts w:hint="eastAsia" w:ascii="仿宋" w:hAnsi="仿宋" w:eastAsia="仿宋" w:cs="仿宋"/>
          <w:color w:val="333333"/>
          <w:sz w:val="28"/>
          <w:szCs w:val="28"/>
          <w:shd w:val="clear" w:color="auto" w:fill="FFFFFF"/>
        </w:rPr>
        <w:t>）组织各镇、各部门开展经济、社会、科技和资源环境统计调查，检查、审定、管理、公布、出版全县性基本统计资料，定期发布全县国民经济和社会发展情况的统计信息。</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7</w:t>
      </w:r>
      <w:r>
        <w:rPr>
          <w:rFonts w:hint="eastAsia" w:ascii="仿宋" w:hAnsi="仿宋" w:eastAsia="仿宋" w:cs="仿宋"/>
          <w:color w:val="333333"/>
          <w:sz w:val="28"/>
          <w:szCs w:val="28"/>
          <w:shd w:val="clear" w:color="auto" w:fill="FFFFFF"/>
        </w:rPr>
        <w:t>）组织实施高质量发展等各类统计监测评价，对全县国民经济、社会发展、科技进步和资源环境等情况进行统计分析、统计预测和统计监督，向县委、县政府及有关部门提供统计信息和咨询建议；开展统计科学研究工作。</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8</w:t>
      </w:r>
      <w:r>
        <w:rPr>
          <w:rFonts w:hint="eastAsia" w:ascii="仿宋" w:hAnsi="仿宋" w:eastAsia="仿宋" w:cs="仿宋"/>
          <w:color w:val="333333"/>
          <w:sz w:val="28"/>
          <w:szCs w:val="28"/>
          <w:shd w:val="clear" w:color="auto" w:fill="FFFFFF"/>
        </w:rPr>
        <w:t>）依法管理部门统计标准、统计调查项目和各镇（工业园区）统计调查项目，指导专业统计基础工作、统计基层业务基础建设，建立健全统计数据质量审核、监控和评估制度并组织实施，依法监督管理涉外调查活动。</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）落实全县统计法治监督责任，组织实施全县统计监督和执法检查活动，依法查处统计违法行为。</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10</w:t>
      </w:r>
      <w:r>
        <w:rPr>
          <w:rFonts w:hint="eastAsia" w:ascii="仿宋" w:hAnsi="仿宋" w:eastAsia="仿宋" w:cs="仿宋"/>
          <w:color w:val="333333"/>
          <w:sz w:val="28"/>
          <w:szCs w:val="28"/>
          <w:shd w:val="clear" w:color="auto" w:fill="FFFFFF"/>
        </w:rPr>
        <w:t>）指导全县统计专业技术队伍建设工作；监督管理由中央、省、市、县财政提供的统计经费和专项经费。</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11</w:t>
      </w:r>
      <w:r>
        <w:rPr>
          <w:rFonts w:hint="eastAsia" w:ascii="仿宋" w:hAnsi="仿宋" w:eastAsia="仿宋" w:cs="仿宋"/>
          <w:color w:val="333333"/>
          <w:sz w:val="28"/>
          <w:szCs w:val="28"/>
          <w:shd w:val="clear" w:color="auto" w:fill="FFFFFF"/>
        </w:rPr>
        <w:t>）建立并管理全县统计信息化系统和统计数据库系统，组织实施全县统计数据库和网络的基本标准和运行规则,指导全县各镇、各部门统计信息化系统建设。</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12</w:t>
      </w:r>
      <w:r>
        <w:rPr>
          <w:rFonts w:hint="eastAsia" w:ascii="仿宋" w:hAnsi="仿宋" w:eastAsia="仿宋" w:cs="仿宋"/>
          <w:color w:val="333333"/>
          <w:sz w:val="28"/>
          <w:szCs w:val="28"/>
          <w:shd w:val="clear" w:color="auto" w:fill="FFFFFF"/>
        </w:rPr>
        <w:t>）完成县委、县政府交办的其他任务。</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2</w:t>
      </w:r>
      <w:r>
        <w:rPr>
          <w:rFonts w:hint="eastAsia" w:ascii="仿宋" w:hAnsi="仿宋" w:eastAsia="仿宋" w:cs="仿宋"/>
          <w:b w:val="0"/>
          <w:bCs w:val="0"/>
          <w:color w:val="333333"/>
          <w:sz w:val="28"/>
          <w:szCs w:val="28"/>
          <w:shd w:val="clear" w:color="auto" w:fill="FFFFFF"/>
        </w:rPr>
        <w:t>.机构设置</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惠安县统计局由办公室、综合核算股、业务调查股组成；惠安县统计局下属单位包括惠安县普查中心和惠安县调查服务中心。</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3</w:t>
      </w:r>
      <w:r>
        <w:rPr>
          <w:rFonts w:hint="eastAsia" w:ascii="仿宋" w:hAnsi="仿宋" w:eastAsia="仿宋" w:cs="仿宋"/>
          <w:b w:val="0"/>
          <w:bCs w:val="0"/>
          <w:color w:val="333333"/>
          <w:sz w:val="28"/>
          <w:szCs w:val="28"/>
          <w:shd w:val="clear" w:color="auto" w:fill="FFFFFF"/>
        </w:rPr>
        <w:t>.人员情况</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惠安县统计局核定行政编制</w:t>
      </w:r>
      <w:r>
        <w:rPr>
          <w:rFonts w:hint="default" w:ascii="Times New Roman" w:hAnsi="Times New Roman" w:eastAsia="仿宋" w:cs="Times New Roman"/>
          <w:color w:val="333333"/>
          <w:sz w:val="28"/>
          <w:szCs w:val="28"/>
          <w:shd w:val="clear" w:color="auto" w:fill="FFFFFF"/>
        </w:rPr>
        <w:t>6</w:t>
      </w:r>
      <w:r>
        <w:rPr>
          <w:rFonts w:hint="eastAsia" w:ascii="仿宋" w:hAnsi="仿宋" w:eastAsia="仿宋" w:cs="仿宋"/>
          <w:color w:val="333333"/>
          <w:sz w:val="28"/>
          <w:szCs w:val="28"/>
          <w:shd w:val="clear" w:color="auto" w:fill="FFFFFF"/>
        </w:rPr>
        <w:t>名，惠安县普查中心核定事业编制</w:t>
      </w:r>
      <w:r>
        <w:rPr>
          <w:rFonts w:hint="default" w:ascii="Times New Roman" w:hAnsi="Times New Roman" w:eastAsia="仿宋" w:cs="Times New Roman"/>
          <w:color w:val="333333"/>
          <w:sz w:val="28"/>
          <w:szCs w:val="28"/>
          <w:shd w:val="clear" w:color="auto" w:fill="FFFFFF"/>
        </w:rPr>
        <w:t>3</w:t>
      </w:r>
      <w:r>
        <w:rPr>
          <w:rFonts w:hint="eastAsia" w:ascii="仿宋" w:hAnsi="仿宋" w:eastAsia="仿宋" w:cs="仿宋"/>
          <w:color w:val="333333"/>
          <w:sz w:val="28"/>
          <w:szCs w:val="28"/>
          <w:shd w:val="clear" w:color="auto" w:fill="FFFFFF"/>
        </w:rPr>
        <w:t>名，惠安县调查服务中心核定事业编制</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名，共</w:t>
      </w:r>
      <w:r>
        <w:rPr>
          <w:rFonts w:hint="default" w:ascii="Times New Roman" w:hAnsi="Times New Roman" w:eastAsia="仿宋" w:cs="Times New Roman"/>
          <w:color w:val="333333"/>
          <w:sz w:val="28"/>
          <w:szCs w:val="28"/>
          <w:shd w:val="clear" w:color="auto" w:fill="FFFFFF"/>
        </w:rPr>
        <w:t>11</w:t>
      </w:r>
      <w:r>
        <w:rPr>
          <w:rFonts w:hint="eastAsia" w:ascii="仿宋" w:hAnsi="仿宋" w:eastAsia="仿宋" w:cs="仿宋"/>
          <w:color w:val="333333"/>
          <w:sz w:val="28"/>
          <w:szCs w:val="28"/>
          <w:shd w:val="clear" w:color="auto" w:fill="FFFFFF"/>
        </w:rPr>
        <w:t>名编制。</w:t>
      </w:r>
    </w:p>
    <w:p>
      <w:pPr>
        <w:pStyle w:val="3"/>
        <w:pageBreakBefore w:val="0"/>
        <w:kinsoku/>
        <w:wordWrap/>
        <w:overflowPunct/>
        <w:topLinePunct w:val="0"/>
        <w:autoSpaceDE/>
        <w:autoSpaceDN/>
        <w:bidi w:val="0"/>
        <w:adjustRightInd/>
        <w:snapToGrid/>
        <w:spacing w:before="0" w:after="0" w:line="360" w:lineRule="auto"/>
        <w:ind w:firstLine="562" w:firstLineChars="200"/>
        <w:textAlignment w:val="auto"/>
        <w:rPr>
          <w:rFonts w:ascii="仿宋" w:hAnsi="仿宋" w:eastAsia="仿宋" w:cs="仿宋"/>
          <w:sz w:val="28"/>
          <w:szCs w:val="28"/>
        </w:rPr>
      </w:pPr>
      <w:bookmarkStart w:id="5" w:name="_Toc2166"/>
      <w:r>
        <w:rPr>
          <w:rFonts w:hint="eastAsia" w:ascii="仿宋" w:hAnsi="仿宋" w:eastAsia="仿宋" w:cs="仿宋"/>
          <w:sz w:val="28"/>
          <w:szCs w:val="28"/>
        </w:rPr>
        <w:t>（二）资产负债情况</w:t>
      </w:r>
      <w:bookmarkEnd w:id="5"/>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年末部门资产总额</w:t>
      </w:r>
      <w:r>
        <w:rPr>
          <w:rFonts w:hint="default" w:ascii="Times New Roman" w:hAnsi="Times New Roman" w:eastAsia="仿宋" w:cs="Times New Roman"/>
          <w:color w:val="333333"/>
          <w:sz w:val="28"/>
          <w:szCs w:val="28"/>
          <w:shd w:val="clear" w:color="auto" w:fill="FFFFFF"/>
        </w:rPr>
        <w:t>270</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78</w:t>
      </w:r>
      <w:r>
        <w:rPr>
          <w:rFonts w:hint="eastAsia" w:ascii="仿宋" w:hAnsi="仿宋" w:eastAsia="仿宋" w:cs="仿宋"/>
          <w:color w:val="333333"/>
          <w:sz w:val="28"/>
          <w:szCs w:val="28"/>
          <w:shd w:val="clear" w:color="auto" w:fill="FFFFFF"/>
        </w:rPr>
        <w:t>万元、负债总额</w:t>
      </w:r>
      <w:r>
        <w:rPr>
          <w:rFonts w:hint="default" w:ascii="Times New Roman" w:hAnsi="Times New Roman" w:eastAsia="仿宋" w:cs="Times New Roman"/>
          <w:color w:val="333333"/>
          <w:sz w:val="28"/>
          <w:szCs w:val="28"/>
          <w:shd w:val="clear" w:color="auto" w:fill="FFFFFF"/>
        </w:rPr>
        <w:t>158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57</w:t>
      </w:r>
      <w:r>
        <w:rPr>
          <w:rFonts w:hint="eastAsia" w:ascii="仿宋" w:hAnsi="仿宋" w:eastAsia="仿宋" w:cs="仿宋"/>
          <w:color w:val="333333"/>
          <w:sz w:val="28"/>
          <w:szCs w:val="28"/>
          <w:shd w:val="clear" w:color="auto" w:fill="FFFFFF"/>
        </w:rPr>
        <w:t>万元、净资产总额</w:t>
      </w:r>
      <w:r>
        <w:rPr>
          <w:rFonts w:hint="default" w:ascii="Times New Roman" w:hAnsi="Times New Roman" w:eastAsia="仿宋" w:cs="Times New Roman"/>
          <w:color w:val="333333"/>
          <w:sz w:val="28"/>
          <w:szCs w:val="28"/>
          <w:shd w:val="clear" w:color="auto" w:fill="FFFFFF"/>
        </w:rPr>
        <w:t>112</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21</w:t>
      </w:r>
      <w:r>
        <w:rPr>
          <w:rFonts w:hint="eastAsia" w:ascii="仿宋" w:hAnsi="仿宋" w:eastAsia="仿宋" w:cs="仿宋"/>
          <w:color w:val="333333"/>
          <w:sz w:val="28"/>
          <w:szCs w:val="28"/>
          <w:shd w:val="clear" w:color="auto" w:fill="FFFFFF"/>
        </w:rPr>
        <w:t>万元。资产负债率为</w:t>
      </w:r>
      <w:r>
        <w:rPr>
          <w:rFonts w:hint="default" w:ascii="Times New Roman" w:hAnsi="Times New Roman" w:eastAsia="仿宋" w:cs="Times New Roman"/>
          <w:color w:val="333333"/>
          <w:sz w:val="28"/>
          <w:szCs w:val="28"/>
          <w:shd w:val="clear" w:color="auto" w:fill="FFFFFF"/>
        </w:rPr>
        <w:t>58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56</w:t>
      </w:r>
      <w:r>
        <w:rPr>
          <w:rFonts w:hint="eastAsia" w:ascii="仿宋" w:hAnsi="仿宋" w:eastAsia="仿宋" w:cs="仿宋"/>
          <w:color w:val="333333"/>
          <w:sz w:val="28"/>
          <w:szCs w:val="28"/>
          <w:shd w:val="clear" w:color="auto" w:fill="FFFFFF"/>
        </w:rPr>
        <w:t>%，较</w:t>
      </w:r>
      <w:r>
        <w:rPr>
          <w:rFonts w:hint="default" w:ascii="Times New Roman" w:hAnsi="Times New Roman" w:eastAsia="仿宋" w:cs="Times New Roman"/>
          <w:color w:val="333333"/>
          <w:sz w:val="28"/>
          <w:szCs w:val="28"/>
          <w:shd w:val="clear" w:color="auto" w:fill="FFFFFF"/>
        </w:rPr>
        <w:t>2021</w:t>
      </w:r>
      <w:r>
        <w:rPr>
          <w:rFonts w:hint="eastAsia" w:ascii="仿宋" w:hAnsi="仿宋" w:eastAsia="仿宋" w:cs="仿宋"/>
          <w:color w:val="333333"/>
          <w:sz w:val="28"/>
          <w:szCs w:val="28"/>
          <w:shd w:val="clear" w:color="auto" w:fill="FFFFFF"/>
        </w:rPr>
        <w:t>年增长</w:t>
      </w:r>
      <w:r>
        <w:rPr>
          <w:rFonts w:hint="default" w:ascii="Times New Roman" w:hAnsi="Times New Roman" w:eastAsia="仿宋" w:cs="Times New Roman"/>
          <w:color w:val="333333"/>
          <w:sz w:val="28"/>
          <w:szCs w:val="28"/>
          <w:shd w:val="clear" w:color="auto" w:fill="FFFFFF"/>
        </w:rPr>
        <w:t>1</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78</w:t>
      </w:r>
      <w:r>
        <w:rPr>
          <w:rFonts w:hint="eastAsia" w:ascii="仿宋" w:hAnsi="仿宋" w:eastAsia="仿宋" w:cs="仿宋"/>
          <w:color w:val="333333"/>
          <w:sz w:val="28"/>
          <w:szCs w:val="28"/>
          <w:shd w:val="clear" w:color="auto" w:fill="FFFFFF"/>
        </w:rPr>
        <w:t>%，原因是</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年新设立一个下属事业单位，资产负债同比去年增加。</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default" w:ascii="Times New Roman" w:hAnsi="Times New Roman" w:eastAsia="仿宋" w:cs="Times New Roman"/>
          <w:color w:val="333333"/>
          <w:sz w:val="28"/>
          <w:szCs w:val="28"/>
          <w:shd w:val="clear" w:color="auto" w:fill="FFFFFF"/>
        </w:rPr>
        <w:t>1</w:t>
      </w:r>
      <w:r>
        <w:rPr>
          <w:rFonts w:hint="eastAsia" w:ascii="仿宋" w:hAnsi="仿宋" w:eastAsia="仿宋" w:cs="仿宋"/>
          <w:color w:val="333333"/>
          <w:sz w:val="28"/>
          <w:szCs w:val="28"/>
          <w:shd w:val="clear" w:color="auto" w:fill="FFFFFF"/>
        </w:rPr>
        <w:t>.本部门资产主要包括货币资金、其他应收款、固定资产净值。</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年末货币资金</w:t>
      </w:r>
      <w:r>
        <w:rPr>
          <w:rFonts w:hint="default" w:ascii="Times New Roman" w:hAnsi="Times New Roman" w:eastAsia="仿宋" w:cs="Times New Roman"/>
          <w:color w:val="333333"/>
          <w:sz w:val="28"/>
          <w:szCs w:val="28"/>
          <w:shd w:val="clear" w:color="auto" w:fill="FFFFFF"/>
        </w:rPr>
        <w:t>226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万元，占</w:t>
      </w:r>
      <w:r>
        <w:rPr>
          <w:rFonts w:hint="default" w:ascii="Times New Roman" w:hAnsi="Times New Roman" w:eastAsia="仿宋" w:cs="Times New Roman"/>
          <w:color w:val="333333"/>
          <w:sz w:val="28"/>
          <w:szCs w:val="28"/>
          <w:shd w:val="clear" w:color="auto" w:fill="FFFFFF"/>
        </w:rPr>
        <w:t>83</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65</w:t>
      </w:r>
      <w:r>
        <w:rPr>
          <w:rFonts w:hint="eastAsia" w:ascii="仿宋" w:hAnsi="仿宋" w:eastAsia="仿宋" w:cs="仿宋"/>
          <w:color w:val="333333"/>
          <w:sz w:val="28"/>
          <w:szCs w:val="28"/>
          <w:shd w:val="clear" w:color="auto" w:fill="FFFFFF"/>
        </w:rPr>
        <w:t>%，较上年增长</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14</w:t>
      </w:r>
      <w:r>
        <w:rPr>
          <w:rFonts w:hint="eastAsia" w:ascii="仿宋" w:hAnsi="仿宋" w:eastAsia="仿宋" w:cs="仿宋"/>
          <w:color w:val="333333"/>
          <w:sz w:val="28"/>
          <w:szCs w:val="28"/>
          <w:shd w:val="clear" w:color="auto" w:fill="FFFFFF"/>
        </w:rPr>
        <w:t>%，其他应收款</w:t>
      </w:r>
      <w:r>
        <w:rPr>
          <w:rFonts w:hint="default" w:ascii="Times New Roman" w:hAnsi="Times New Roman" w:eastAsia="仿宋" w:cs="Times New Roman"/>
          <w:color w:val="333333"/>
          <w:sz w:val="28"/>
          <w:szCs w:val="28"/>
          <w:shd w:val="clear" w:color="auto" w:fill="FFFFFF"/>
        </w:rPr>
        <w:t>19</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73</w:t>
      </w:r>
      <w:r>
        <w:rPr>
          <w:rFonts w:hint="eastAsia" w:ascii="仿宋" w:hAnsi="仿宋" w:eastAsia="仿宋" w:cs="仿宋"/>
          <w:color w:val="333333"/>
          <w:sz w:val="28"/>
          <w:szCs w:val="28"/>
          <w:shd w:val="clear" w:color="auto" w:fill="FFFFFF"/>
        </w:rPr>
        <w:t>万元，占</w:t>
      </w:r>
      <w:r>
        <w:rPr>
          <w:rFonts w:hint="default" w:ascii="Times New Roman" w:hAnsi="Times New Roman" w:eastAsia="仿宋" w:cs="Times New Roman"/>
          <w:color w:val="333333"/>
          <w:sz w:val="28"/>
          <w:szCs w:val="28"/>
          <w:shd w:val="clear" w:color="auto" w:fill="FFFFFF"/>
        </w:rPr>
        <w:t>7</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29</w:t>
      </w:r>
      <w:r>
        <w:rPr>
          <w:rFonts w:hint="eastAsia" w:ascii="仿宋" w:hAnsi="仿宋" w:eastAsia="仿宋" w:cs="仿宋"/>
          <w:color w:val="333333"/>
          <w:sz w:val="28"/>
          <w:szCs w:val="28"/>
          <w:shd w:val="clear" w:color="auto" w:fill="FFFFFF"/>
        </w:rPr>
        <w:t>%，较上年增加</w:t>
      </w:r>
      <w:r>
        <w:rPr>
          <w:rFonts w:hint="default" w:ascii="Times New Roman" w:hAnsi="Times New Roman" w:eastAsia="仿宋" w:cs="Times New Roman"/>
          <w:color w:val="333333"/>
          <w:sz w:val="28"/>
          <w:szCs w:val="28"/>
          <w:shd w:val="clear" w:color="auto" w:fill="FFFFFF"/>
        </w:rPr>
        <w:t>575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68</w:t>
      </w:r>
      <w:r>
        <w:rPr>
          <w:rFonts w:hint="eastAsia" w:ascii="仿宋" w:hAnsi="仿宋" w:eastAsia="仿宋" w:cs="仿宋"/>
          <w:color w:val="333333"/>
          <w:sz w:val="28"/>
          <w:szCs w:val="28"/>
          <w:shd w:val="clear" w:color="auto" w:fill="FFFFFF"/>
        </w:rPr>
        <w:t>%。固定资产净值</w:t>
      </w:r>
      <w:r>
        <w:rPr>
          <w:rFonts w:hint="default" w:ascii="Times New Roman" w:hAnsi="Times New Roman" w:eastAsia="仿宋" w:cs="Times New Roman"/>
          <w:color w:val="333333"/>
          <w:sz w:val="28"/>
          <w:szCs w:val="28"/>
          <w:shd w:val="clear" w:color="auto" w:fill="FFFFFF"/>
        </w:rPr>
        <w:t>24</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55</w:t>
      </w:r>
      <w:r>
        <w:rPr>
          <w:rFonts w:hint="eastAsia" w:ascii="仿宋" w:hAnsi="仿宋" w:eastAsia="仿宋" w:cs="仿宋"/>
          <w:color w:val="333333"/>
          <w:sz w:val="28"/>
          <w:szCs w:val="28"/>
          <w:shd w:val="clear" w:color="auto" w:fill="FFFFFF"/>
        </w:rPr>
        <w:t>万元，占</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06</w:t>
      </w:r>
      <w:r>
        <w:rPr>
          <w:rFonts w:hint="eastAsia" w:ascii="仿宋" w:hAnsi="仿宋" w:eastAsia="仿宋" w:cs="仿宋"/>
          <w:color w:val="333333"/>
          <w:sz w:val="28"/>
          <w:szCs w:val="28"/>
          <w:shd w:val="clear" w:color="auto" w:fill="FFFFFF"/>
        </w:rPr>
        <w:t>%，较上年下降</w:t>
      </w:r>
      <w:r>
        <w:rPr>
          <w:rFonts w:hint="default" w:ascii="Times New Roman" w:hAnsi="Times New Roman" w:eastAsia="仿宋" w:cs="Times New Roman"/>
          <w:color w:val="333333"/>
          <w:sz w:val="28"/>
          <w:szCs w:val="28"/>
          <w:shd w:val="clear" w:color="auto" w:fill="FFFFFF"/>
        </w:rPr>
        <w:t>35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43</w:t>
      </w:r>
      <w:r>
        <w:rPr>
          <w:rFonts w:hint="eastAsia" w:ascii="仿宋" w:hAnsi="仿宋" w:eastAsia="仿宋" w:cs="仿宋"/>
          <w:color w:val="333333"/>
          <w:sz w:val="28"/>
          <w:szCs w:val="28"/>
          <w:shd w:val="clear" w:color="auto" w:fill="FFFFFF"/>
        </w:rPr>
        <w:t>%。</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default" w:ascii="Times New Roman" w:hAnsi="Times New Roman" w:eastAsia="仿宋" w:cs="Times New Roman"/>
          <w:color w:val="333333"/>
          <w:sz w:val="28"/>
          <w:szCs w:val="28"/>
          <w:shd w:val="clear" w:color="auto" w:fill="FFFFFF"/>
        </w:rPr>
        <w:t>2</w:t>
      </w:r>
      <w:r>
        <w:rPr>
          <w:rFonts w:ascii="仿宋" w:hAnsi="仿宋" w:eastAsia="仿宋" w:cs="仿宋"/>
          <w:color w:val="333333"/>
          <w:sz w:val="28"/>
          <w:szCs w:val="28"/>
          <w:shd w:val="clear" w:color="auto" w:fill="FFFFFF"/>
        </w:rPr>
        <w:t>.</w:t>
      </w:r>
      <w:r>
        <w:rPr>
          <w:rFonts w:hint="eastAsia" w:ascii="仿宋" w:hAnsi="仿宋" w:eastAsia="仿宋" w:cs="仿宋"/>
          <w:color w:val="333333"/>
          <w:sz w:val="28"/>
          <w:szCs w:val="28"/>
          <w:shd w:val="clear" w:color="auto" w:fill="FFFFFF"/>
        </w:rPr>
        <w:t>本部门负债主要包括本部门负债主要包括其他应付款。</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left="420" w:leftChars="200"/>
        <w:jc w:val="both"/>
        <w:textAlignment w:val="auto"/>
        <w:rPr>
          <w:rFonts w:ascii="仿宋" w:hAnsi="仿宋" w:eastAsia="仿宋" w:cs="仿宋"/>
          <w:color w:val="333333"/>
          <w:sz w:val="28"/>
          <w:szCs w:val="28"/>
          <w:shd w:val="clear" w:color="auto" w:fill="FFFFFF"/>
        </w:rPr>
      </w:pP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年末其他应付款</w:t>
      </w:r>
      <w:r>
        <w:rPr>
          <w:rFonts w:hint="default" w:ascii="Times New Roman" w:hAnsi="Times New Roman" w:eastAsia="仿宋" w:cs="Times New Roman"/>
          <w:color w:val="333333"/>
          <w:sz w:val="28"/>
          <w:szCs w:val="28"/>
          <w:shd w:val="clear" w:color="auto" w:fill="FFFFFF"/>
        </w:rPr>
        <w:t>158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57</w:t>
      </w:r>
      <w:r>
        <w:rPr>
          <w:rFonts w:hint="eastAsia" w:ascii="仿宋" w:hAnsi="仿宋" w:eastAsia="仿宋" w:cs="仿宋"/>
          <w:color w:val="333333"/>
          <w:sz w:val="28"/>
          <w:szCs w:val="28"/>
          <w:shd w:val="clear" w:color="auto" w:fill="FFFFFF"/>
        </w:rPr>
        <w:t>万元，占</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%，较上年下降</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12</w:t>
      </w:r>
      <w:r>
        <w:rPr>
          <w:rFonts w:hint="eastAsia" w:ascii="仿宋" w:hAnsi="仿宋" w:eastAsia="仿宋" w:cs="仿宋"/>
          <w:color w:val="333333"/>
          <w:sz w:val="28"/>
          <w:szCs w:val="28"/>
          <w:shd w:val="clear" w:color="auto" w:fill="FFFFFF"/>
        </w:rPr>
        <w:t>%。</w:t>
      </w:r>
    </w:p>
    <w:p>
      <w:pPr>
        <w:pStyle w:val="10"/>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43" w:firstLineChars="200"/>
        <w:jc w:val="both"/>
        <w:textAlignment w:val="auto"/>
        <w:outlineLvl w:val="0"/>
        <w:rPr>
          <w:rFonts w:ascii="仿宋" w:hAnsi="仿宋" w:eastAsia="仿宋" w:cs="仿宋"/>
          <w:b/>
          <w:kern w:val="44"/>
          <w:sz w:val="32"/>
          <w:szCs w:val="20"/>
        </w:rPr>
      </w:pPr>
      <w:bookmarkStart w:id="6" w:name="_Toc31228"/>
      <w:r>
        <w:rPr>
          <w:rFonts w:hint="eastAsia" w:ascii="仿宋" w:hAnsi="仿宋" w:eastAsia="仿宋" w:cs="仿宋"/>
          <w:b/>
          <w:kern w:val="44"/>
          <w:sz w:val="32"/>
          <w:szCs w:val="20"/>
        </w:rPr>
        <w:t>二、一般公共预算支出情况</w:t>
      </w:r>
      <w:bookmarkEnd w:id="6"/>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rPr>
      </w:pP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年一般公共预算财政拨款收入</w:t>
      </w:r>
      <w:r>
        <w:rPr>
          <w:rFonts w:hint="default" w:ascii="Times New Roman" w:hAnsi="Times New Roman" w:eastAsia="仿宋" w:cs="Times New Roman"/>
          <w:color w:val="333333"/>
          <w:sz w:val="28"/>
          <w:szCs w:val="28"/>
          <w:shd w:val="clear" w:color="auto" w:fill="FFFFFF"/>
        </w:rPr>
        <w:t>466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31</w:t>
      </w:r>
      <w:r>
        <w:rPr>
          <w:rFonts w:hint="eastAsia" w:ascii="仿宋" w:hAnsi="仿宋" w:eastAsia="仿宋" w:cs="仿宋"/>
          <w:color w:val="333333"/>
          <w:sz w:val="28"/>
          <w:szCs w:val="28"/>
          <w:shd w:val="clear" w:color="auto" w:fill="FFFFFF"/>
        </w:rPr>
        <w:t>万元，年初财政拨款结转和结余</w:t>
      </w:r>
      <w:r>
        <w:rPr>
          <w:rFonts w:hint="default" w:ascii="Times New Roman" w:hAnsi="Times New Roman" w:eastAsia="仿宋" w:cs="Times New Roman"/>
          <w:color w:val="333333"/>
          <w:sz w:val="28"/>
          <w:szCs w:val="28"/>
          <w:shd w:val="clear" w:color="auto" w:fill="FFFFFF"/>
        </w:rPr>
        <w:t>86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22</w:t>
      </w:r>
      <w:r>
        <w:rPr>
          <w:rFonts w:hint="eastAsia" w:ascii="仿宋" w:hAnsi="仿宋" w:eastAsia="仿宋" w:cs="仿宋"/>
          <w:color w:val="333333"/>
          <w:sz w:val="28"/>
          <w:szCs w:val="28"/>
          <w:shd w:val="clear" w:color="auto" w:fill="FFFFFF"/>
        </w:rPr>
        <w:t>万元，年中追加</w:t>
      </w:r>
      <w:r>
        <w:rPr>
          <w:rFonts w:hint="default" w:ascii="Times New Roman" w:hAnsi="Times New Roman" w:eastAsia="仿宋" w:cs="Times New Roman"/>
          <w:color w:val="333333"/>
          <w:sz w:val="28"/>
          <w:szCs w:val="28"/>
          <w:shd w:val="clear" w:color="auto" w:fill="FFFFFF"/>
        </w:rPr>
        <w:t>116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万元，具体安排情况如下：</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rPr>
          <w:rFonts w:ascii="仿宋" w:hAnsi="仿宋" w:eastAsia="仿宋" w:cs="仿宋"/>
          <w:color w:val="333333"/>
          <w:sz w:val="28"/>
          <w:szCs w:val="28"/>
        </w:rPr>
      </w:pPr>
      <w:r>
        <w:rPr>
          <w:rFonts w:hint="eastAsia" w:ascii="仿宋" w:hAnsi="仿宋" w:eastAsia="仿宋" w:cs="仿宋"/>
          <w:b/>
          <w:kern w:val="2"/>
          <w:sz w:val="28"/>
          <w:szCs w:val="28"/>
        </w:rPr>
        <w:t>（一）基本支出：</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年预算数为</w:t>
      </w:r>
      <w:r>
        <w:rPr>
          <w:rFonts w:hint="default" w:ascii="Times New Roman" w:hAnsi="Times New Roman" w:eastAsia="仿宋" w:cs="Times New Roman"/>
          <w:color w:val="333333"/>
          <w:sz w:val="28"/>
          <w:szCs w:val="28"/>
          <w:shd w:val="clear" w:color="auto" w:fill="FFFFFF"/>
        </w:rPr>
        <w:t>218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31</w:t>
      </w:r>
      <w:r>
        <w:rPr>
          <w:rFonts w:hint="eastAsia" w:ascii="仿宋" w:hAnsi="仿宋" w:eastAsia="仿宋" w:cs="仿宋"/>
          <w:color w:val="333333"/>
          <w:sz w:val="28"/>
          <w:szCs w:val="28"/>
          <w:shd w:val="clear" w:color="auto" w:fill="FFFFFF"/>
        </w:rPr>
        <w:t>万元，主要用于基本工资、津贴补贴等人员经费以及办公费、印刷费、水电费、办公设备购置等日常公用经费。</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b/>
          <w:kern w:val="2"/>
          <w:sz w:val="28"/>
          <w:szCs w:val="28"/>
        </w:rPr>
        <w:t>（二）项目支出：</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年预算数为</w:t>
      </w:r>
      <w:r>
        <w:rPr>
          <w:rFonts w:hint="default" w:ascii="Times New Roman" w:hAnsi="Times New Roman" w:eastAsia="仿宋" w:cs="Times New Roman"/>
          <w:color w:val="333333"/>
          <w:sz w:val="28"/>
          <w:szCs w:val="28"/>
          <w:shd w:val="clear" w:color="auto" w:fill="FFFFFF"/>
        </w:rPr>
        <w:t>334</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22</w:t>
      </w:r>
      <w:r>
        <w:rPr>
          <w:rFonts w:hint="eastAsia" w:ascii="仿宋" w:hAnsi="仿宋" w:eastAsia="仿宋" w:cs="仿宋"/>
          <w:color w:val="333333"/>
          <w:sz w:val="28"/>
          <w:szCs w:val="28"/>
          <w:shd w:val="clear" w:color="auto" w:fill="FFFFFF"/>
        </w:rPr>
        <w:t>万元，年中追加预算</w:t>
      </w:r>
      <w:r>
        <w:rPr>
          <w:rFonts w:hint="default" w:ascii="Times New Roman" w:hAnsi="Times New Roman" w:eastAsia="仿宋" w:cs="Times New Roman"/>
          <w:color w:val="333333"/>
          <w:sz w:val="28"/>
          <w:szCs w:val="28"/>
          <w:shd w:val="clear" w:color="auto" w:fill="FFFFFF"/>
        </w:rPr>
        <w:t>116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万元，其中</w:t>
      </w:r>
      <w:r>
        <w:rPr>
          <w:rFonts w:hint="default" w:ascii="Times New Roman" w:hAnsi="Times New Roman" w:eastAsia="仿宋" w:cs="Times New Roman"/>
          <w:color w:val="333333"/>
          <w:sz w:val="28"/>
          <w:szCs w:val="28"/>
          <w:shd w:val="clear" w:color="auto" w:fill="FFFFFF"/>
        </w:rPr>
        <w:t>2021</w:t>
      </w:r>
      <w:r>
        <w:rPr>
          <w:rFonts w:hint="eastAsia" w:ascii="仿宋" w:hAnsi="仿宋" w:eastAsia="仿宋" w:cs="仿宋"/>
          <w:color w:val="333333"/>
          <w:sz w:val="28"/>
          <w:szCs w:val="28"/>
          <w:shd w:val="clear" w:color="auto" w:fill="FFFFFF"/>
        </w:rPr>
        <w:t>年度结转和结余</w:t>
      </w:r>
      <w:r>
        <w:rPr>
          <w:rFonts w:hint="default" w:ascii="Times New Roman" w:hAnsi="Times New Roman" w:eastAsia="仿宋" w:cs="Times New Roman"/>
          <w:color w:val="333333"/>
          <w:sz w:val="28"/>
          <w:szCs w:val="28"/>
          <w:shd w:val="clear" w:color="auto" w:fill="FFFFFF"/>
        </w:rPr>
        <w:t>86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22</w:t>
      </w:r>
      <w:r>
        <w:rPr>
          <w:rFonts w:hint="eastAsia" w:ascii="仿宋" w:hAnsi="仿宋" w:eastAsia="仿宋" w:cs="仿宋"/>
          <w:color w:val="333333"/>
          <w:sz w:val="28"/>
          <w:szCs w:val="28"/>
          <w:shd w:val="clear" w:color="auto" w:fill="FFFFFF"/>
        </w:rPr>
        <w:t>万元，</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年度专项普查活动经费</w:t>
      </w:r>
      <w:r>
        <w:rPr>
          <w:rFonts w:hint="default" w:ascii="Times New Roman" w:hAnsi="Times New Roman" w:eastAsia="仿宋" w:cs="Times New Roman"/>
          <w:color w:val="333333"/>
          <w:sz w:val="28"/>
          <w:szCs w:val="28"/>
          <w:shd w:val="clear" w:color="auto" w:fill="FFFFFF"/>
        </w:rPr>
        <w:t>180</w:t>
      </w:r>
      <w:r>
        <w:rPr>
          <w:rFonts w:hint="eastAsia" w:ascii="仿宋" w:hAnsi="仿宋" w:eastAsia="仿宋" w:cs="仿宋"/>
          <w:color w:val="333333"/>
          <w:sz w:val="28"/>
          <w:szCs w:val="28"/>
          <w:shd w:val="clear" w:color="auto" w:fill="FFFFFF"/>
        </w:rPr>
        <w:t>万元，统计抽样调查经费</w:t>
      </w:r>
      <w:r>
        <w:rPr>
          <w:rFonts w:hint="default" w:ascii="Times New Roman" w:hAnsi="Times New Roman" w:eastAsia="仿宋" w:cs="Times New Roman"/>
          <w:color w:val="333333"/>
          <w:sz w:val="28"/>
          <w:szCs w:val="28"/>
          <w:shd w:val="clear" w:color="auto" w:fill="FFFFFF"/>
        </w:rPr>
        <w:t>48</w:t>
      </w:r>
      <w:r>
        <w:rPr>
          <w:rFonts w:hint="eastAsia" w:ascii="仿宋" w:hAnsi="仿宋" w:eastAsia="仿宋" w:cs="仿宋"/>
          <w:color w:val="333333"/>
          <w:sz w:val="28"/>
          <w:szCs w:val="28"/>
          <w:shd w:val="clear" w:color="auto" w:fill="FFFFFF"/>
        </w:rPr>
        <w:t>万元，其他统计信息事务支出经费</w:t>
      </w:r>
      <w:r>
        <w:rPr>
          <w:rFonts w:hint="default" w:ascii="Times New Roman" w:hAnsi="Times New Roman" w:eastAsia="仿宋" w:cs="Times New Roman"/>
          <w:color w:val="333333"/>
          <w:sz w:val="28"/>
          <w:szCs w:val="28"/>
          <w:shd w:val="clear" w:color="auto" w:fill="FFFFFF"/>
        </w:rPr>
        <w:t>20</w:t>
      </w:r>
      <w:r>
        <w:rPr>
          <w:rFonts w:hint="eastAsia" w:ascii="仿宋" w:hAnsi="仿宋" w:eastAsia="仿宋" w:cs="仿宋"/>
          <w:color w:val="333333"/>
          <w:sz w:val="28"/>
          <w:szCs w:val="28"/>
          <w:shd w:val="clear" w:color="auto" w:fill="FFFFFF"/>
        </w:rPr>
        <w:t>万元。</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年专项资金支出</w:t>
      </w:r>
      <w:r>
        <w:rPr>
          <w:rFonts w:hint="default" w:ascii="Times New Roman" w:hAnsi="Times New Roman" w:eastAsia="仿宋" w:cs="Times New Roman"/>
          <w:color w:val="333333"/>
          <w:sz w:val="28"/>
          <w:szCs w:val="28"/>
          <w:shd w:val="clear" w:color="auto" w:fill="FFFFFF"/>
        </w:rPr>
        <w:t>239</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万元，使用情况为：专项统计业务经费支出</w:t>
      </w:r>
      <w:r>
        <w:rPr>
          <w:rFonts w:hint="default" w:ascii="Times New Roman" w:hAnsi="Times New Roman" w:eastAsia="仿宋" w:cs="Times New Roman"/>
          <w:color w:val="333333"/>
          <w:sz w:val="28"/>
          <w:szCs w:val="28"/>
          <w:shd w:val="clear" w:color="auto" w:fill="FFFFFF"/>
        </w:rPr>
        <w:t>109</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8</w:t>
      </w:r>
      <w:r>
        <w:rPr>
          <w:rFonts w:hint="eastAsia" w:ascii="仿宋" w:hAnsi="仿宋" w:eastAsia="仿宋" w:cs="仿宋"/>
          <w:color w:val="333333"/>
          <w:sz w:val="28"/>
          <w:szCs w:val="28"/>
          <w:shd w:val="clear" w:color="auto" w:fill="FFFFFF"/>
        </w:rPr>
        <w:t>万元，专项普查活动经费支出</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57</w:t>
      </w:r>
      <w:r>
        <w:rPr>
          <w:rFonts w:hint="eastAsia" w:ascii="仿宋" w:hAnsi="仿宋" w:eastAsia="仿宋" w:cs="仿宋"/>
          <w:color w:val="333333"/>
          <w:sz w:val="28"/>
          <w:szCs w:val="28"/>
          <w:shd w:val="clear" w:color="auto" w:fill="FFFFFF"/>
        </w:rPr>
        <w:t>万元，统计抽样调查经费支出</w:t>
      </w:r>
      <w:r>
        <w:rPr>
          <w:rFonts w:hint="default" w:ascii="Times New Roman" w:hAnsi="Times New Roman" w:eastAsia="仿宋" w:cs="Times New Roman"/>
          <w:color w:val="333333"/>
          <w:sz w:val="28"/>
          <w:szCs w:val="28"/>
          <w:shd w:val="clear" w:color="auto" w:fill="FFFFFF"/>
        </w:rPr>
        <w:t>24</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31</w:t>
      </w:r>
      <w:r>
        <w:rPr>
          <w:rFonts w:hint="eastAsia" w:ascii="仿宋" w:hAnsi="仿宋" w:eastAsia="仿宋" w:cs="仿宋"/>
          <w:color w:val="333333"/>
          <w:sz w:val="28"/>
          <w:szCs w:val="28"/>
          <w:shd w:val="clear" w:color="auto" w:fill="FFFFFF"/>
        </w:rPr>
        <w:t>万元，其他统计信息事务支出经费</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22</w:t>
      </w:r>
      <w:r>
        <w:rPr>
          <w:rFonts w:hint="eastAsia" w:ascii="仿宋" w:hAnsi="仿宋" w:eastAsia="仿宋" w:cs="仿宋"/>
          <w:color w:val="333333"/>
          <w:sz w:val="28"/>
          <w:szCs w:val="28"/>
          <w:shd w:val="clear" w:color="auto" w:fill="FFFFFF"/>
        </w:rPr>
        <w:t>万元。</w:t>
      </w:r>
    </w:p>
    <w:p>
      <w:pPr>
        <w:pStyle w:val="10"/>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43" w:firstLineChars="200"/>
        <w:jc w:val="both"/>
        <w:textAlignment w:val="auto"/>
        <w:outlineLvl w:val="0"/>
        <w:rPr>
          <w:rFonts w:ascii="仿宋" w:hAnsi="仿宋" w:eastAsia="仿宋" w:cs="仿宋"/>
          <w:b/>
          <w:kern w:val="44"/>
          <w:sz w:val="32"/>
          <w:szCs w:val="20"/>
        </w:rPr>
      </w:pPr>
      <w:bookmarkStart w:id="7" w:name="_Toc9579"/>
      <w:r>
        <w:rPr>
          <w:rFonts w:hint="eastAsia" w:ascii="仿宋" w:hAnsi="仿宋" w:eastAsia="仿宋" w:cs="仿宋"/>
          <w:b/>
          <w:kern w:val="44"/>
          <w:sz w:val="32"/>
          <w:szCs w:val="20"/>
        </w:rPr>
        <w:t>三、评价实施</w:t>
      </w:r>
      <w:bookmarkEnd w:id="7"/>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outlineLvl w:val="1"/>
        <w:rPr>
          <w:rFonts w:ascii="仿宋" w:hAnsi="仿宋" w:eastAsia="仿宋" w:cs="仿宋"/>
          <w:b/>
          <w:kern w:val="2"/>
          <w:sz w:val="28"/>
          <w:szCs w:val="22"/>
        </w:rPr>
      </w:pPr>
      <w:bookmarkStart w:id="8" w:name="_Toc5001"/>
      <w:r>
        <w:rPr>
          <w:rFonts w:hint="eastAsia" w:ascii="仿宋" w:hAnsi="仿宋" w:eastAsia="仿宋" w:cs="仿宋"/>
          <w:b/>
          <w:kern w:val="2"/>
          <w:sz w:val="28"/>
          <w:szCs w:val="22"/>
        </w:rPr>
        <w:t>（一）目标和对象</w:t>
      </w:r>
      <w:bookmarkEnd w:id="8"/>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此次整体支出绩效研究对象为惠安县统计局，以</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为评价基点，结合相关情况和数据，对部门整体支出绩效进行研究评价。此次评价目的有以下三点：第一，进一步深化绩效理念，准确反映部门的工作绩效；第二，突出问题导向，通过绩效评价发现部门管理工作中存在的问题，推动部门绩效进一步提升；第三，从本次绩效评价工作中进一步总结经验，完善统计局绩效评价范式，为惠安县统计事业发展和中国统计局绩效评价工作提供参考。</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outlineLvl w:val="1"/>
        <w:rPr>
          <w:rFonts w:ascii="仿宋" w:hAnsi="仿宋" w:eastAsia="仿宋" w:cs="仿宋"/>
          <w:color w:val="333333"/>
          <w:sz w:val="28"/>
          <w:szCs w:val="28"/>
          <w:shd w:val="clear" w:color="auto" w:fill="FFFFFF"/>
        </w:rPr>
      </w:pPr>
      <w:bookmarkStart w:id="9" w:name="_Toc26268"/>
      <w:r>
        <w:rPr>
          <w:rFonts w:hint="eastAsia" w:ascii="仿宋" w:hAnsi="仿宋" w:eastAsia="仿宋" w:cs="仿宋"/>
          <w:b/>
          <w:kern w:val="2"/>
          <w:sz w:val="28"/>
          <w:szCs w:val="22"/>
        </w:rPr>
        <w:t>（二）内容和方法</w:t>
      </w:r>
      <w:bookmarkEnd w:id="9"/>
      <w:r>
        <w:rPr>
          <w:rFonts w:hint="eastAsia" w:ascii="仿宋" w:hAnsi="仿宋" w:eastAsia="仿宋" w:cs="仿宋"/>
          <w:color w:val="333333"/>
          <w:sz w:val="28"/>
          <w:szCs w:val="28"/>
          <w:shd w:val="clear" w:color="auto" w:fill="FFFFFF"/>
        </w:rPr>
        <w:t xml:space="preserve"> </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此次绩效评价指标体系包括</w:t>
      </w:r>
      <w:r>
        <w:rPr>
          <w:rFonts w:hint="default" w:ascii="Times New Roman" w:hAnsi="Times New Roman" w:eastAsia="仿宋" w:cs="Times New Roman"/>
          <w:color w:val="333333"/>
          <w:sz w:val="28"/>
          <w:szCs w:val="28"/>
          <w:shd w:val="clear" w:color="auto" w:fill="FFFFFF"/>
        </w:rPr>
        <w:t>4</w:t>
      </w:r>
      <w:r>
        <w:rPr>
          <w:rFonts w:hint="eastAsia" w:ascii="仿宋" w:hAnsi="仿宋" w:eastAsia="仿宋" w:cs="仿宋"/>
          <w:color w:val="333333"/>
          <w:sz w:val="28"/>
          <w:szCs w:val="28"/>
          <w:shd w:val="clear" w:color="auto" w:fill="FFFFFF"/>
        </w:rPr>
        <w:t>项一级指标、</w:t>
      </w:r>
      <w:r>
        <w:rPr>
          <w:rFonts w:hint="default" w:ascii="Times New Roman" w:hAnsi="Times New Roman" w:eastAsia="仿宋" w:cs="Times New Roman"/>
          <w:color w:val="333333"/>
          <w:sz w:val="28"/>
          <w:szCs w:val="28"/>
          <w:shd w:val="clear" w:color="auto" w:fill="FFFFFF"/>
        </w:rPr>
        <w:t>7</w:t>
      </w:r>
      <w:r>
        <w:rPr>
          <w:rFonts w:hint="eastAsia" w:ascii="仿宋" w:hAnsi="仿宋" w:eastAsia="仿宋" w:cs="仿宋"/>
          <w:color w:val="333333"/>
          <w:sz w:val="28"/>
          <w:szCs w:val="28"/>
          <w:shd w:val="clear" w:color="auto" w:fill="FFFFFF"/>
        </w:rPr>
        <w:t>项二级指标和</w:t>
      </w:r>
      <w:r>
        <w:rPr>
          <w:rFonts w:hint="default" w:ascii="Times New Roman" w:hAnsi="Times New Roman" w:eastAsia="仿宋" w:cs="Times New Roman"/>
          <w:color w:val="333333"/>
          <w:sz w:val="28"/>
          <w:szCs w:val="28"/>
          <w:shd w:val="clear" w:color="auto" w:fill="FFFFFF"/>
        </w:rPr>
        <w:t>27</w:t>
      </w:r>
      <w:r>
        <w:rPr>
          <w:rFonts w:hint="eastAsia" w:ascii="仿宋" w:hAnsi="仿宋" w:eastAsia="仿宋" w:cs="仿宋"/>
          <w:color w:val="333333"/>
          <w:sz w:val="28"/>
          <w:szCs w:val="28"/>
          <w:shd w:val="clear" w:color="auto" w:fill="FFFFFF"/>
        </w:rPr>
        <w:t>项三级指标，满分为</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分。其中，一级指标涵盖以下四个方面：投入、过程、产出、效果。具体如下：一是投入（</w:t>
      </w:r>
      <w:r>
        <w:rPr>
          <w:rFonts w:hint="default" w:ascii="Times New Roman" w:hAnsi="Times New Roman" w:eastAsia="仿宋" w:cs="Times New Roman"/>
          <w:color w:val="333333"/>
          <w:sz w:val="28"/>
          <w:szCs w:val="28"/>
          <w:shd w:val="clear" w:color="auto" w:fill="FFFFFF"/>
        </w:rPr>
        <w:t>20</w:t>
      </w:r>
      <w:r>
        <w:rPr>
          <w:rFonts w:hint="eastAsia" w:ascii="仿宋" w:hAnsi="仿宋" w:eastAsia="仿宋" w:cs="仿宋"/>
          <w:color w:val="333333"/>
          <w:sz w:val="28"/>
          <w:szCs w:val="28"/>
          <w:shd w:val="clear" w:color="auto" w:fill="FFFFFF"/>
        </w:rPr>
        <w:t>分）。主要评价部门工作目标设定的合理性和明确性，在职人员控制率、“三公经费”变动率、重点支出安排率等预算配置情况。二是过程（</w:t>
      </w:r>
      <w:r>
        <w:rPr>
          <w:rFonts w:hint="default" w:ascii="Times New Roman" w:hAnsi="Times New Roman" w:eastAsia="仿宋" w:cs="Times New Roman"/>
          <w:color w:val="333333"/>
          <w:sz w:val="28"/>
          <w:szCs w:val="28"/>
          <w:shd w:val="clear" w:color="auto" w:fill="FFFFFF"/>
        </w:rPr>
        <w:t>30</w:t>
      </w:r>
      <w:r>
        <w:rPr>
          <w:rFonts w:hint="eastAsia" w:ascii="仿宋" w:hAnsi="仿宋" w:eastAsia="仿宋" w:cs="仿宋"/>
          <w:color w:val="333333"/>
          <w:sz w:val="28"/>
          <w:szCs w:val="28"/>
          <w:shd w:val="clear" w:color="auto" w:fill="FFFFFF"/>
        </w:rPr>
        <w:t>分）。主要评价部门预算完成率和调整率、支付进度率、结转结余控制率、公用经费控制率、“三公经费”控制率、政府采购执行率等预算执行情况，管理制度健全性、资金使用合规性、预决算信息公开性、基础信息公开性等预算管理情况和资产管理安全性、固定资产利用率等资产管理情况。三是产出（</w:t>
      </w:r>
      <w:r>
        <w:rPr>
          <w:rFonts w:hint="default" w:ascii="Times New Roman" w:hAnsi="Times New Roman" w:eastAsia="仿宋" w:cs="Times New Roman"/>
          <w:color w:val="333333"/>
          <w:sz w:val="28"/>
          <w:szCs w:val="28"/>
          <w:shd w:val="clear" w:color="auto" w:fill="FFFFFF"/>
        </w:rPr>
        <w:t>30</w:t>
      </w:r>
      <w:r>
        <w:rPr>
          <w:rFonts w:hint="eastAsia" w:ascii="仿宋" w:hAnsi="仿宋" w:eastAsia="仿宋" w:cs="仿宋"/>
          <w:color w:val="333333"/>
          <w:sz w:val="28"/>
          <w:szCs w:val="28"/>
          <w:shd w:val="clear" w:color="auto" w:fill="FFFFFF"/>
        </w:rPr>
        <w:t>分）。主要评价部门工作数的实际完成率、完成及时率、质量达标率、重点工作办结率等职责履行情况。四是效果（</w:t>
      </w:r>
      <w:r>
        <w:rPr>
          <w:rFonts w:hint="default" w:ascii="Times New Roman" w:hAnsi="Times New Roman" w:eastAsia="仿宋" w:cs="Times New Roman"/>
          <w:color w:val="333333"/>
          <w:sz w:val="28"/>
          <w:szCs w:val="28"/>
          <w:shd w:val="clear" w:color="auto" w:fill="FFFFFF"/>
        </w:rPr>
        <w:t>20</w:t>
      </w:r>
      <w:r>
        <w:rPr>
          <w:rFonts w:hint="eastAsia" w:ascii="仿宋" w:hAnsi="仿宋" w:eastAsia="仿宋" w:cs="仿宋"/>
          <w:color w:val="333333"/>
          <w:sz w:val="28"/>
          <w:szCs w:val="28"/>
          <w:shd w:val="clear" w:color="auto" w:fill="FFFFFF"/>
        </w:rPr>
        <w:t>分）。主要评价部门经济、社会、生态效益和社会公众或服务对象满意度等履职效益。</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本次绩效评价工作结合定性分析和定量指标分析，采取现场调研和专家评议相结合的方式，具体采用案卷研究法、专家评议法、访谈法等研究法对惠安县统计局整体支出绩效进行综合评价。将部门实际工作完成情况与部门既定目标、同行业目标进行比较，以利于部门整体绩效的改进。</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outlineLvl w:val="1"/>
        <w:rPr>
          <w:rFonts w:ascii="仿宋" w:hAnsi="仿宋" w:eastAsia="仿宋" w:cs="仿宋"/>
          <w:color w:val="333333"/>
          <w:sz w:val="28"/>
          <w:szCs w:val="28"/>
          <w:shd w:val="clear" w:color="auto" w:fill="FFFFFF"/>
        </w:rPr>
      </w:pPr>
      <w:bookmarkStart w:id="10" w:name="_Toc2317"/>
      <w:r>
        <w:rPr>
          <w:rFonts w:hint="eastAsia" w:ascii="仿宋" w:hAnsi="仿宋" w:eastAsia="仿宋" w:cs="仿宋"/>
          <w:b/>
          <w:kern w:val="2"/>
          <w:sz w:val="28"/>
          <w:szCs w:val="22"/>
        </w:rPr>
        <w:t>（三）实施过程</w:t>
      </w:r>
      <w:bookmarkEnd w:id="10"/>
      <w:r>
        <w:rPr>
          <w:rFonts w:hint="eastAsia" w:ascii="仿宋" w:hAnsi="仿宋" w:eastAsia="仿宋" w:cs="仿宋"/>
          <w:color w:val="333333"/>
          <w:sz w:val="28"/>
          <w:szCs w:val="28"/>
          <w:shd w:val="clear" w:color="auto" w:fill="FFFFFF"/>
        </w:rPr>
        <w:t xml:space="preserve"> </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第一阶段为前期准备，通过线上方式与惠安县统计局进行沟通，确定评价工作方案，拟定资料清单并收集相关资料；在对惠安县统计局业务财务情况进行全面了解的基础上，经过多次讨论后明确评价指标体系和评分标准。第二阶段是评价实施阶段，通过对惠安县统计局开展现场调研，收集分析事实和数据，并根据调研和调查结果形成评价意见。三是总结和报告撰写阶段，对照绩效指标，结合评价意见，基于之前形成的评价框架撰写报告。</w:t>
      </w:r>
    </w:p>
    <w:p>
      <w:pPr>
        <w:pageBreakBefore w:val="0"/>
        <w:kinsoku/>
        <w:wordWrap/>
        <w:overflowPunct/>
        <w:topLinePunct w:val="0"/>
        <w:autoSpaceDE/>
        <w:autoSpaceDN/>
        <w:bidi w:val="0"/>
        <w:adjustRightInd/>
        <w:snapToGrid/>
        <w:spacing w:line="360" w:lineRule="auto"/>
        <w:textAlignment w:val="auto"/>
        <w:rPr>
          <w:sz w:val="22"/>
          <w:szCs w:val="28"/>
        </w:rPr>
      </w:pPr>
    </w:p>
    <w:p>
      <w:pPr>
        <w:pStyle w:val="10"/>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43" w:firstLineChars="200"/>
        <w:jc w:val="both"/>
        <w:textAlignment w:val="auto"/>
        <w:outlineLvl w:val="0"/>
        <w:rPr>
          <w:rFonts w:ascii="仿宋" w:hAnsi="仿宋" w:eastAsia="仿宋" w:cs="仿宋"/>
          <w:b/>
          <w:kern w:val="44"/>
          <w:sz w:val="32"/>
          <w:szCs w:val="20"/>
        </w:rPr>
      </w:pPr>
      <w:bookmarkStart w:id="11" w:name="_Toc13033"/>
      <w:r>
        <w:rPr>
          <w:rFonts w:hint="eastAsia" w:ascii="仿宋" w:hAnsi="仿宋" w:eastAsia="仿宋" w:cs="仿宋"/>
          <w:b/>
          <w:kern w:val="44"/>
          <w:sz w:val="32"/>
          <w:szCs w:val="20"/>
        </w:rPr>
        <w:t>四、部门整体支出绩效评价指标分析</w:t>
      </w:r>
      <w:bookmarkEnd w:id="11"/>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outlineLvl w:val="1"/>
        <w:rPr>
          <w:rFonts w:ascii="仿宋" w:hAnsi="仿宋" w:eastAsia="仿宋" w:cs="仿宋"/>
          <w:color w:val="333333"/>
          <w:sz w:val="28"/>
          <w:szCs w:val="28"/>
          <w:shd w:val="clear" w:color="auto" w:fill="FFFFFF"/>
        </w:rPr>
      </w:pPr>
      <w:bookmarkStart w:id="12" w:name="_Toc5436"/>
      <w:r>
        <w:rPr>
          <w:rFonts w:hint="eastAsia" w:ascii="仿宋" w:hAnsi="仿宋" w:eastAsia="仿宋" w:cs="仿宋"/>
          <w:b/>
          <w:kern w:val="2"/>
          <w:sz w:val="28"/>
          <w:szCs w:val="22"/>
        </w:rPr>
        <w:t>（一）总体结论</w:t>
      </w:r>
      <w:bookmarkEnd w:id="12"/>
      <w:r>
        <w:rPr>
          <w:rFonts w:hint="eastAsia" w:ascii="仿宋" w:hAnsi="仿宋" w:eastAsia="仿宋" w:cs="仿宋"/>
          <w:color w:val="333333"/>
          <w:sz w:val="28"/>
          <w:szCs w:val="28"/>
          <w:shd w:val="clear" w:color="auto" w:fill="FFFFFF"/>
        </w:rPr>
        <w:t xml:space="preserve"> </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本次惠安县统计局部门预算支出绩效评价综合得分为</w:t>
      </w:r>
      <w:r>
        <w:rPr>
          <w:rFonts w:hint="default" w:ascii="Times New Roman" w:hAnsi="Times New Roman" w:eastAsia="仿宋" w:cs="Times New Roman"/>
          <w:color w:val="333333"/>
          <w:sz w:val="28"/>
          <w:szCs w:val="28"/>
          <w:shd w:val="clear" w:color="auto" w:fill="FFFFFF"/>
        </w:rPr>
        <w:t>89</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39</w:t>
      </w:r>
      <w:r>
        <w:rPr>
          <w:rFonts w:hint="eastAsia" w:ascii="仿宋" w:hAnsi="仿宋" w:eastAsia="仿宋" w:cs="仿宋"/>
          <w:color w:val="333333"/>
          <w:sz w:val="28"/>
          <w:szCs w:val="28"/>
          <w:shd w:val="clear" w:color="auto" w:fill="FFFFFF"/>
        </w:rPr>
        <w:t>分，评价等级为良好。本次评价结果显示，惠安县统计局在产出和效果方面表现较好，而在投入和过程方面仍有一定提升空间。后文将从这四个方面详细展开。</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4"/>
          <w:szCs w:val="24"/>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1</w:t>
      </w:r>
      <w:r>
        <w:rPr>
          <w:rFonts w:hint="eastAsia" w:ascii="仿宋" w:hAnsi="仿宋" w:eastAsia="仿宋" w:cs="仿宋"/>
          <w:b/>
          <w:bCs/>
          <w:color w:val="333333"/>
          <w:sz w:val="24"/>
          <w:szCs w:val="24"/>
          <w:shd w:val="clear" w:color="auto" w:fill="FFFFFF"/>
        </w:rPr>
        <w:t xml:space="preserve"> 惠安县统计局部门整体支出绩效评价得分表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2"/>
                <w:szCs w:val="22"/>
                <w:shd w:val="clear" w:color="auto" w:fill="FFFFFF"/>
              </w:rPr>
            </w:pPr>
            <w:r>
              <w:rPr>
                <w:rFonts w:hint="eastAsia" w:ascii="仿宋" w:hAnsi="仿宋" w:eastAsia="仿宋" w:cs="仿宋"/>
                <w:b/>
                <w:bCs/>
                <w:color w:val="333333"/>
                <w:sz w:val="22"/>
                <w:szCs w:val="22"/>
                <w:shd w:val="clear" w:color="auto" w:fill="FFFFFF"/>
              </w:rPr>
              <w:t>一级指标</w:t>
            </w:r>
          </w:p>
        </w:tc>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2"/>
                <w:szCs w:val="22"/>
                <w:shd w:val="clear" w:color="auto" w:fill="FFFFFF"/>
              </w:rPr>
            </w:pPr>
            <w:r>
              <w:rPr>
                <w:rFonts w:hint="eastAsia" w:ascii="仿宋" w:hAnsi="仿宋" w:eastAsia="仿宋" w:cs="仿宋"/>
                <w:b/>
                <w:bCs/>
                <w:color w:val="333333"/>
                <w:sz w:val="22"/>
                <w:szCs w:val="22"/>
                <w:shd w:val="clear" w:color="auto" w:fill="FFFFFF"/>
              </w:rPr>
              <w:t>分值</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2"/>
                <w:szCs w:val="22"/>
                <w:shd w:val="clear" w:color="auto" w:fill="FFFFFF"/>
              </w:rPr>
            </w:pPr>
            <w:r>
              <w:rPr>
                <w:rFonts w:hint="eastAsia" w:ascii="仿宋" w:hAnsi="仿宋" w:eastAsia="仿宋" w:cs="仿宋"/>
                <w:b/>
                <w:bCs/>
                <w:color w:val="333333"/>
                <w:sz w:val="22"/>
                <w:szCs w:val="22"/>
                <w:shd w:val="clear" w:color="auto" w:fill="FFFFFF"/>
              </w:rPr>
              <w:t>得分</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2"/>
                <w:szCs w:val="22"/>
                <w:shd w:val="clear" w:color="auto" w:fill="FFFFFF"/>
              </w:rPr>
            </w:pPr>
            <w:r>
              <w:rPr>
                <w:rFonts w:hint="eastAsia" w:ascii="仿宋" w:hAnsi="仿宋" w:eastAsia="仿宋" w:cs="仿宋"/>
                <w:b/>
                <w:bCs/>
                <w:color w:val="333333"/>
                <w:sz w:val="22"/>
                <w:szCs w:val="22"/>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eastAsia" w:ascii="仿宋" w:hAnsi="仿宋" w:eastAsia="仿宋" w:cs="仿宋"/>
                <w:color w:val="333333"/>
                <w:sz w:val="22"/>
                <w:szCs w:val="22"/>
                <w:shd w:val="clear" w:color="auto" w:fill="FFFFFF"/>
              </w:rPr>
              <w:t>投入</w:t>
            </w:r>
          </w:p>
        </w:tc>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20</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15</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75</w:t>
            </w:r>
            <w:r>
              <w:rPr>
                <w:rFonts w:hint="eastAsia" w:ascii="仿宋" w:hAnsi="仿宋" w:eastAsia="仿宋" w:cs="仿宋"/>
                <w:color w:val="333333"/>
                <w:sz w:val="22"/>
                <w:szCs w:val="22"/>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eastAsia" w:ascii="仿宋" w:hAnsi="仿宋" w:eastAsia="仿宋" w:cs="仿宋"/>
                <w:color w:val="333333"/>
                <w:sz w:val="22"/>
                <w:szCs w:val="22"/>
                <w:shd w:val="clear" w:color="auto" w:fill="FFFFFF"/>
              </w:rPr>
              <w:t>过程</w:t>
            </w:r>
          </w:p>
        </w:tc>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30</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24</w:t>
            </w:r>
            <w:r>
              <w:rPr>
                <w:rFonts w:hint="eastAsia" w:ascii="仿宋" w:hAnsi="仿宋" w:eastAsia="仿宋" w:cs="仿宋"/>
                <w:color w:val="333333"/>
                <w:sz w:val="22"/>
                <w:szCs w:val="22"/>
                <w:shd w:val="clear" w:color="auto" w:fill="FFFFFF"/>
              </w:rPr>
              <w:t>.</w:t>
            </w:r>
            <w:r>
              <w:rPr>
                <w:rFonts w:hint="default" w:ascii="Times New Roman" w:hAnsi="Times New Roman" w:eastAsia="仿宋" w:cs="Times New Roman"/>
                <w:color w:val="333333"/>
                <w:sz w:val="22"/>
                <w:szCs w:val="22"/>
                <w:shd w:val="clear" w:color="auto" w:fill="FFFFFF"/>
              </w:rPr>
              <w:t>39</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81</w:t>
            </w:r>
            <w:r>
              <w:rPr>
                <w:rFonts w:hint="eastAsia" w:ascii="仿宋" w:hAnsi="仿宋" w:eastAsia="仿宋" w:cs="仿宋"/>
                <w:color w:val="333333"/>
                <w:sz w:val="22"/>
                <w:szCs w:val="22"/>
                <w:shd w:val="clear" w:color="auto" w:fill="FFFFFF"/>
              </w:rPr>
              <w:t>.</w:t>
            </w:r>
            <w:r>
              <w:rPr>
                <w:rFonts w:hint="default" w:ascii="Times New Roman" w:hAnsi="Times New Roman" w:eastAsia="仿宋" w:cs="Times New Roman"/>
                <w:color w:val="333333"/>
                <w:sz w:val="22"/>
                <w:szCs w:val="22"/>
                <w:shd w:val="clear" w:color="auto" w:fill="FFFFFF"/>
              </w:rPr>
              <w:t>3</w:t>
            </w:r>
            <w:r>
              <w:rPr>
                <w:rFonts w:hint="eastAsia" w:ascii="仿宋" w:hAnsi="仿宋" w:eastAsia="仿宋" w:cs="仿宋"/>
                <w:color w:val="333333"/>
                <w:sz w:val="22"/>
                <w:szCs w:val="22"/>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eastAsia" w:ascii="仿宋" w:hAnsi="仿宋" w:eastAsia="仿宋" w:cs="仿宋"/>
                <w:color w:val="333333"/>
                <w:sz w:val="22"/>
                <w:szCs w:val="22"/>
                <w:shd w:val="clear" w:color="auto" w:fill="FFFFFF"/>
              </w:rPr>
              <w:t>产出</w:t>
            </w:r>
          </w:p>
        </w:tc>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30</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30</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100</w:t>
            </w:r>
            <w:r>
              <w:rPr>
                <w:rFonts w:hint="eastAsia" w:ascii="仿宋" w:hAnsi="仿宋" w:eastAsia="仿宋" w:cs="仿宋"/>
                <w:color w:val="333333"/>
                <w:sz w:val="22"/>
                <w:szCs w:val="22"/>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eastAsia" w:ascii="仿宋" w:hAnsi="仿宋" w:eastAsia="仿宋" w:cs="仿宋"/>
                <w:color w:val="333333"/>
                <w:sz w:val="22"/>
                <w:szCs w:val="22"/>
                <w:shd w:val="clear" w:color="auto" w:fill="FFFFFF"/>
              </w:rPr>
              <w:t>效果</w:t>
            </w:r>
          </w:p>
        </w:tc>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20</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20</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100</w:t>
            </w:r>
            <w:r>
              <w:rPr>
                <w:rFonts w:hint="eastAsia" w:ascii="仿宋" w:hAnsi="仿宋" w:eastAsia="仿宋" w:cs="仿宋"/>
                <w:color w:val="333333"/>
                <w:sz w:val="22"/>
                <w:szCs w:val="22"/>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eastAsia" w:ascii="仿宋" w:hAnsi="仿宋" w:eastAsia="仿宋" w:cs="仿宋"/>
                <w:color w:val="333333"/>
                <w:sz w:val="22"/>
                <w:szCs w:val="22"/>
                <w:shd w:val="clear" w:color="auto" w:fill="FFFFFF"/>
              </w:rPr>
              <w:t>合计</w:t>
            </w:r>
          </w:p>
        </w:tc>
        <w:tc>
          <w:tcPr>
            <w:tcW w:w="2130"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100</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89</w:t>
            </w:r>
            <w:r>
              <w:rPr>
                <w:rFonts w:hint="eastAsia" w:ascii="仿宋" w:hAnsi="仿宋" w:eastAsia="仿宋" w:cs="仿宋"/>
                <w:color w:val="333333"/>
                <w:sz w:val="22"/>
                <w:szCs w:val="22"/>
                <w:shd w:val="clear" w:color="auto" w:fill="FFFFFF"/>
              </w:rPr>
              <w:t>.</w:t>
            </w:r>
            <w:r>
              <w:rPr>
                <w:rFonts w:hint="default" w:ascii="Times New Roman" w:hAnsi="Times New Roman" w:eastAsia="仿宋" w:cs="Times New Roman"/>
                <w:color w:val="333333"/>
                <w:sz w:val="22"/>
                <w:szCs w:val="22"/>
                <w:shd w:val="clear" w:color="auto" w:fill="FFFFFF"/>
              </w:rPr>
              <w:t>39</w:t>
            </w:r>
          </w:p>
        </w:tc>
        <w:tc>
          <w:tcPr>
            <w:tcW w:w="2131" w:type="dxa"/>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2"/>
                <w:szCs w:val="22"/>
                <w:shd w:val="clear" w:color="auto" w:fill="FFFFFF"/>
              </w:rPr>
            </w:pPr>
            <w:r>
              <w:rPr>
                <w:rFonts w:hint="default" w:ascii="Times New Roman" w:hAnsi="Times New Roman" w:eastAsia="仿宋" w:cs="Times New Roman"/>
                <w:color w:val="333333"/>
                <w:sz w:val="22"/>
                <w:szCs w:val="22"/>
                <w:shd w:val="clear" w:color="auto" w:fill="FFFFFF"/>
              </w:rPr>
              <w:t>89</w:t>
            </w:r>
            <w:r>
              <w:rPr>
                <w:rFonts w:hint="eastAsia" w:ascii="仿宋" w:hAnsi="仿宋" w:eastAsia="仿宋" w:cs="仿宋"/>
                <w:color w:val="333333"/>
                <w:sz w:val="22"/>
                <w:szCs w:val="22"/>
                <w:shd w:val="clear" w:color="auto" w:fill="FFFFFF"/>
              </w:rPr>
              <w:t>.</w:t>
            </w:r>
            <w:r>
              <w:rPr>
                <w:rFonts w:hint="default" w:ascii="Times New Roman" w:hAnsi="Times New Roman" w:eastAsia="仿宋" w:cs="Times New Roman"/>
                <w:color w:val="333333"/>
                <w:sz w:val="22"/>
                <w:szCs w:val="22"/>
                <w:shd w:val="clear" w:color="auto" w:fill="FFFFFF"/>
              </w:rPr>
              <w:t>39</w:t>
            </w:r>
            <w:r>
              <w:rPr>
                <w:rFonts w:hint="eastAsia" w:ascii="仿宋" w:hAnsi="仿宋" w:eastAsia="仿宋" w:cs="仿宋"/>
                <w:color w:val="333333"/>
                <w:sz w:val="22"/>
                <w:szCs w:val="22"/>
                <w:shd w:val="clear" w:color="auto" w:fill="FFFFFF"/>
              </w:rPr>
              <w:t>%</w:t>
            </w:r>
          </w:p>
        </w:tc>
      </w:tr>
    </w:tbl>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outlineLvl w:val="1"/>
        <w:rPr>
          <w:rFonts w:ascii="仿宋" w:hAnsi="仿宋" w:eastAsia="仿宋" w:cs="仿宋"/>
          <w:b/>
          <w:kern w:val="2"/>
          <w:sz w:val="28"/>
          <w:szCs w:val="28"/>
        </w:rPr>
      </w:pPr>
      <w:bookmarkStart w:id="13" w:name="_Toc21570"/>
      <w:r>
        <w:rPr>
          <w:rFonts w:hint="eastAsia" w:ascii="仿宋" w:hAnsi="仿宋" w:eastAsia="仿宋" w:cs="仿宋"/>
          <w:b/>
          <w:kern w:val="2"/>
          <w:sz w:val="28"/>
          <w:szCs w:val="28"/>
        </w:rPr>
        <w:t>（二）指标分析</w:t>
      </w:r>
      <w:bookmarkEnd w:id="13"/>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1</w:t>
      </w:r>
      <w:r>
        <w:rPr>
          <w:rFonts w:hint="eastAsia" w:ascii="仿宋" w:hAnsi="仿宋" w:eastAsia="仿宋" w:cs="仿宋"/>
          <w:b w:val="0"/>
          <w:bCs w:val="0"/>
          <w:color w:val="333333"/>
          <w:sz w:val="28"/>
          <w:szCs w:val="28"/>
          <w:shd w:val="clear" w:color="auto" w:fill="FFFFFF"/>
        </w:rPr>
        <w:t>.投入（</w:t>
      </w:r>
      <w:r>
        <w:rPr>
          <w:rFonts w:hint="default" w:ascii="Times New Roman" w:hAnsi="Times New Roman" w:eastAsia="仿宋" w:cs="Times New Roman"/>
          <w:b w:val="0"/>
          <w:bCs w:val="0"/>
          <w:color w:val="333333"/>
          <w:sz w:val="28"/>
          <w:szCs w:val="28"/>
          <w:shd w:val="clear" w:color="auto" w:fill="FFFFFF"/>
        </w:rPr>
        <w:t>20</w:t>
      </w:r>
      <w:r>
        <w:rPr>
          <w:rFonts w:hint="eastAsia" w:ascii="仿宋" w:hAnsi="仿宋" w:eastAsia="仿宋" w:cs="仿宋"/>
          <w:b w:val="0"/>
          <w:bCs w:val="0"/>
          <w:color w:val="333333"/>
          <w:sz w:val="28"/>
          <w:szCs w:val="28"/>
          <w:shd w:val="clear" w:color="auto" w:fill="FFFFFF"/>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投入主要从目标设定和预算配置两个方面对惠安县统计局的预算投入情况展开综合评价。</w:t>
      </w:r>
    </w:p>
    <w:p>
      <w:pPr>
        <w:pStyle w:val="1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目标设定</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“目标设定”分解为“绩效目标合理性”和“绩效目标明确性”两个三级指标。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b/>
          <w:bCs/>
          <w:color w:val="333333"/>
          <w:sz w:val="22"/>
          <w:szCs w:val="22"/>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2</w:t>
      </w:r>
      <w:r>
        <w:rPr>
          <w:rFonts w:hint="eastAsia" w:ascii="仿宋" w:hAnsi="仿宋" w:eastAsia="仿宋" w:cs="仿宋"/>
          <w:b/>
          <w:bCs/>
          <w:color w:val="333333"/>
          <w:sz w:val="24"/>
          <w:szCs w:val="24"/>
          <w:shd w:val="clear" w:color="auto" w:fill="FFFFFF"/>
        </w:rPr>
        <w:t xml:space="preserve"> 目标设定的得分情况表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075"/>
        <w:gridCol w:w="1188"/>
        <w:gridCol w:w="1212"/>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一级指标</w:t>
            </w:r>
          </w:p>
        </w:tc>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二级指标</w:t>
            </w:r>
          </w:p>
        </w:tc>
        <w:tc>
          <w:tcPr>
            <w:tcW w:w="207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三级指标</w:t>
            </w:r>
          </w:p>
        </w:tc>
        <w:tc>
          <w:tcPr>
            <w:tcW w:w="1188"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分值</w:t>
            </w:r>
          </w:p>
        </w:tc>
        <w:tc>
          <w:tcPr>
            <w:tcW w:w="121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w:t>
            </w:r>
          </w:p>
        </w:tc>
        <w:tc>
          <w:tcPr>
            <w:tcW w:w="120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投入</w:t>
            </w:r>
          </w:p>
        </w:tc>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目标设定</w:t>
            </w:r>
          </w:p>
        </w:tc>
        <w:tc>
          <w:tcPr>
            <w:tcW w:w="207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绩效目标合理性</w:t>
            </w:r>
          </w:p>
        </w:tc>
        <w:tc>
          <w:tcPr>
            <w:tcW w:w="1188"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21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20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07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绩效目标明确性</w:t>
            </w:r>
          </w:p>
        </w:tc>
        <w:tc>
          <w:tcPr>
            <w:tcW w:w="1188"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3</w:t>
            </w:r>
          </w:p>
        </w:tc>
        <w:tc>
          <w:tcPr>
            <w:tcW w:w="121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3</w:t>
            </w:r>
          </w:p>
        </w:tc>
        <w:tc>
          <w:tcPr>
            <w:tcW w:w="120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①绩效目标合理性</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惠安县统计局“绩效目标合理性”指标得分为</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分，得分率</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绩效目标合理性”指标用于评价部门所设立的整体绩效目标依据是否充分，是否符合客观实际。惠安县统计局设定的整体绩效目标包括数量、质量、时效、成本指标等产出指标，经济效益、社会效益、生态效益、可持续影响等效益指标和服务对象满意度指标，符合《中共中央 国务院关于全面实施预算绩效管理的意见》（中发〔</w:t>
      </w:r>
      <w:r>
        <w:rPr>
          <w:rFonts w:hint="default" w:ascii="Times New Roman" w:hAnsi="Times New Roman" w:eastAsia="仿宋" w:cs="Times New Roman"/>
          <w:color w:val="333333"/>
          <w:sz w:val="28"/>
          <w:szCs w:val="28"/>
          <w:shd w:val="clear" w:color="auto" w:fill="FFFFFF"/>
        </w:rPr>
        <w:t>2018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34</w:t>
      </w:r>
      <w:r>
        <w:rPr>
          <w:rFonts w:hint="eastAsia" w:ascii="仿宋" w:hAnsi="仿宋" w:eastAsia="仿宋" w:cs="仿宋"/>
          <w:color w:val="333333"/>
          <w:sz w:val="28"/>
          <w:szCs w:val="28"/>
          <w:shd w:val="clear" w:color="auto" w:fill="FFFFFF"/>
        </w:rPr>
        <w:t>号）文件和《项目支出绩效评价管理办法》（财预〔</w:t>
      </w:r>
      <w:r>
        <w:rPr>
          <w:rFonts w:hint="default" w:ascii="Times New Roman" w:hAnsi="Times New Roman" w:eastAsia="仿宋" w:cs="Times New Roman"/>
          <w:color w:val="333333"/>
          <w:sz w:val="28"/>
          <w:szCs w:val="28"/>
          <w:shd w:val="clear" w:color="auto" w:fill="FFFFFF"/>
        </w:rPr>
        <w:t>2020</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10</w:t>
      </w:r>
      <w:r>
        <w:rPr>
          <w:rFonts w:hint="eastAsia" w:ascii="仿宋" w:hAnsi="仿宋" w:eastAsia="仿宋" w:cs="仿宋"/>
          <w:color w:val="333333"/>
          <w:sz w:val="28"/>
          <w:szCs w:val="28"/>
          <w:shd w:val="clear" w:color="auto" w:fill="FFFFFF"/>
        </w:rPr>
        <w:t>号）文件的相关规定；惠安县统计局的主要职责符合“三定”方案对部门职责的规定。</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②绩效目标明确性</w:t>
      </w:r>
    </w:p>
    <w:p>
      <w:pPr>
        <w:pageBreakBefore w:val="0"/>
        <w:widowControl/>
        <w:shd w:val="clear" w:color="auto" w:fill="FFFFFF"/>
        <w:kinsoku/>
        <w:wordWrap/>
        <w:overflowPunct/>
        <w:topLinePunct w:val="0"/>
        <w:autoSpaceDE/>
        <w:autoSpaceDN/>
        <w:bidi w:val="0"/>
        <w:adjustRightInd/>
        <w:snapToGrid/>
        <w:spacing w:line="360" w:lineRule="auto"/>
        <w:ind w:firstLine="560" w:firstLineChars="200"/>
        <w:textAlignment w:val="auto"/>
        <w:rPr>
          <w:rFonts w:ascii="仿宋" w:hAnsi="仿宋" w:eastAsia="仿宋" w:cs="仿宋"/>
          <w:color w:val="333333"/>
          <w:kern w:val="0"/>
          <w:sz w:val="28"/>
          <w:szCs w:val="28"/>
          <w:shd w:val="clear" w:color="auto" w:fill="FFFFFF"/>
          <w:lang w:bidi="ar"/>
        </w:rPr>
      </w:pPr>
      <w:r>
        <w:rPr>
          <w:rFonts w:hint="eastAsia" w:ascii="仿宋" w:hAnsi="仿宋" w:eastAsia="仿宋" w:cs="仿宋"/>
          <w:color w:val="333333"/>
          <w:kern w:val="0"/>
          <w:sz w:val="28"/>
          <w:szCs w:val="28"/>
          <w:shd w:val="clear" w:color="auto" w:fill="FFFFFF"/>
          <w:lang w:bidi="ar"/>
        </w:rPr>
        <w:t>惠安县统计局“绩效目标明确性”指标得分为</w:t>
      </w:r>
      <w:r>
        <w:rPr>
          <w:rFonts w:hint="default" w:ascii="Times New Roman" w:hAnsi="Times New Roman" w:eastAsia="仿宋" w:cs="Times New Roman"/>
          <w:color w:val="333333"/>
          <w:kern w:val="0"/>
          <w:sz w:val="28"/>
          <w:szCs w:val="28"/>
          <w:shd w:val="clear" w:color="auto" w:fill="FFFFFF"/>
          <w:lang w:bidi="ar"/>
        </w:rPr>
        <w:t>3</w:t>
      </w:r>
      <w:r>
        <w:rPr>
          <w:rFonts w:hint="eastAsia" w:ascii="仿宋" w:hAnsi="仿宋" w:eastAsia="仿宋" w:cs="仿宋"/>
          <w:color w:val="333333"/>
          <w:kern w:val="0"/>
          <w:sz w:val="28"/>
          <w:szCs w:val="28"/>
          <w:shd w:val="clear" w:color="auto" w:fill="FFFFFF"/>
          <w:lang w:bidi="ar"/>
        </w:rPr>
        <w:t>分，得分率</w:t>
      </w:r>
      <w:r>
        <w:rPr>
          <w:rFonts w:hint="default" w:ascii="Times New Roman" w:hAnsi="Times New Roman" w:eastAsia="仿宋" w:cs="Times New Roman"/>
          <w:color w:val="333333"/>
          <w:kern w:val="0"/>
          <w:sz w:val="28"/>
          <w:szCs w:val="28"/>
          <w:shd w:val="clear" w:color="auto" w:fill="FFFFFF"/>
          <w:lang w:bidi="ar"/>
        </w:rPr>
        <w:t>100</w:t>
      </w:r>
      <w:r>
        <w:rPr>
          <w:rFonts w:hint="eastAsia" w:ascii="仿宋" w:hAnsi="仿宋" w:eastAsia="仿宋" w:cs="仿宋"/>
          <w:color w:val="333333"/>
          <w:kern w:val="0"/>
          <w:sz w:val="28"/>
          <w:szCs w:val="28"/>
          <w:shd w:val="clear" w:color="auto" w:fill="FFFFFF"/>
          <w:lang w:bidi="ar"/>
        </w:rPr>
        <w:t>%。</w:t>
      </w:r>
    </w:p>
    <w:p>
      <w:pPr>
        <w:pageBreakBefore w:val="0"/>
        <w:widowControl/>
        <w:shd w:val="clear" w:color="auto" w:fill="FFFFFF"/>
        <w:kinsoku/>
        <w:wordWrap/>
        <w:overflowPunct/>
        <w:topLinePunct w:val="0"/>
        <w:autoSpaceDE/>
        <w:autoSpaceDN/>
        <w:bidi w:val="0"/>
        <w:adjustRightInd/>
        <w:snapToGrid/>
        <w:spacing w:line="360" w:lineRule="auto"/>
        <w:ind w:firstLine="560" w:firstLineChars="200"/>
        <w:textAlignment w:val="auto"/>
        <w:rPr>
          <w:rFonts w:ascii="仿宋" w:hAnsi="仿宋" w:eastAsia="仿宋" w:cs="仿宋"/>
          <w:color w:val="333333"/>
          <w:kern w:val="0"/>
          <w:sz w:val="28"/>
          <w:szCs w:val="28"/>
          <w:shd w:val="clear" w:color="auto" w:fill="FFFFFF"/>
          <w:lang w:bidi="ar"/>
        </w:rPr>
      </w:pPr>
      <w:r>
        <w:rPr>
          <w:rFonts w:hint="eastAsia" w:ascii="仿宋" w:hAnsi="仿宋" w:eastAsia="仿宋" w:cs="仿宋"/>
          <w:color w:val="333333"/>
          <w:kern w:val="0"/>
          <w:sz w:val="28"/>
          <w:szCs w:val="28"/>
          <w:shd w:val="clear" w:color="auto" w:fill="FFFFFF"/>
          <w:lang w:bidi="ar"/>
        </w:rPr>
        <w:t>“绩效目标明确性”指标用于评价部门依据整体绩效目标所设定的绩效指标是否清晰、细化、可衡量。根据《惠安县统计局</w:t>
      </w:r>
      <w:r>
        <w:rPr>
          <w:rFonts w:hint="default" w:ascii="Times New Roman" w:hAnsi="Times New Roman" w:eastAsia="仿宋" w:cs="Times New Roman"/>
          <w:color w:val="333333"/>
          <w:kern w:val="0"/>
          <w:sz w:val="28"/>
          <w:szCs w:val="28"/>
          <w:shd w:val="clear" w:color="auto" w:fill="FFFFFF"/>
          <w:lang w:bidi="ar"/>
        </w:rPr>
        <w:t>2022</w:t>
      </w:r>
      <w:r>
        <w:rPr>
          <w:rFonts w:hint="eastAsia" w:ascii="仿宋" w:hAnsi="仿宋" w:eastAsia="仿宋" w:cs="仿宋"/>
          <w:color w:val="333333"/>
          <w:kern w:val="0"/>
          <w:sz w:val="28"/>
          <w:szCs w:val="28"/>
          <w:shd w:val="clear" w:color="auto" w:fill="FFFFFF"/>
          <w:lang w:bidi="ar"/>
        </w:rPr>
        <w:t>年工作计划》文件，惠安县统计局根据国家、省、市统计局的工作部署和县委、县政府的年度工作安排，结合本局实际，进行了任务分解，年度工作要点建立了责任分解机制，基本上做到分工明确，责任清晰，工作目标内容总体上比较明确，部门整体的绩效目标细化分解为了具体的工作任务，能够与部门年度的任务数或计划数相对应，并且与本年度部门预算资金相匹配。同时，根据惠安县统计局制定的项目支出绩效目标申报表，部门整体的绩效目标通过清晰、可衡量的指标值予以体现。惠安县统计局按照自身职能围绕核心目标开展业务活动，项目目标申报基本做到定性与定量相结合，基本上做到可衡量、可比较。</w:t>
      </w:r>
    </w:p>
    <w:p>
      <w:pPr>
        <w:pStyle w:val="1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预算配置</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eastAsia"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“预算配置”分解为“在职人员控制率”、“三公经费变动率”和“重点支出安排率”三个三级指标。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hint="eastAsia" w:ascii="仿宋" w:hAnsi="仿宋" w:eastAsia="仿宋" w:cs="仿宋"/>
          <w:b/>
          <w:bCs/>
          <w:color w:val="333333"/>
          <w:sz w:val="24"/>
          <w:szCs w:val="24"/>
          <w:shd w:val="clear" w:color="auto" w:fill="FFFFFF"/>
        </w:rPr>
      </w:pP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2"/>
          <w:szCs w:val="22"/>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3</w:t>
      </w:r>
      <w:r>
        <w:rPr>
          <w:rFonts w:hint="eastAsia" w:ascii="仿宋" w:hAnsi="仿宋" w:eastAsia="仿宋" w:cs="仿宋"/>
          <w:b/>
          <w:bCs/>
          <w:color w:val="333333"/>
          <w:sz w:val="24"/>
          <w:szCs w:val="24"/>
          <w:shd w:val="clear" w:color="auto" w:fill="FFFFFF"/>
        </w:rPr>
        <w:t xml:space="preserve"> 预算配置的得分情况表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315"/>
        <w:gridCol w:w="1140"/>
        <w:gridCol w:w="1104"/>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一级指标</w:t>
            </w:r>
          </w:p>
        </w:tc>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二级指标</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三级指标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分值</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投入</w:t>
            </w:r>
          </w:p>
        </w:tc>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预算配置</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在职人员控制率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“三公经费”变动率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0</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重点支出安排率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①在职人员控制率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惠安县统计局“在职人员控制率”指标得分为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在职人员控制率”指标评价部门本年度实际在职人员数与编制数的比率，用以反映和考核部门对人员成本的控制程度。根据惠安县人民政府办公室《惠安县统计局职能配置、内设机构和人员编制规定》，核定惠安县统计局行政编制人数为</w:t>
      </w:r>
      <w:r>
        <w:rPr>
          <w:rFonts w:hint="default" w:ascii="Times New Roman" w:hAnsi="Times New Roman" w:eastAsia="仿宋" w:cs="Times New Roman"/>
          <w:color w:val="333333"/>
          <w:sz w:val="28"/>
          <w:szCs w:val="28"/>
          <w:shd w:val="clear" w:color="auto" w:fill="FFFFFF"/>
        </w:rPr>
        <w:t>6</w:t>
      </w:r>
      <w:r>
        <w:rPr>
          <w:rFonts w:hint="eastAsia" w:ascii="仿宋" w:hAnsi="仿宋" w:eastAsia="仿宋" w:cs="仿宋"/>
          <w:color w:val="333333"/>
          <w:sz w:val="28"/>
          <w:szCs w:val="28"/>
          <w:shd w:val="clear" w:color="auto" w:fill="FFFFFF"/>
        </w:rPr>
        <w:t>名、事业编制人数为</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名；根据惠安县统计局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年度财务分析报告和机构人员情况表、基本数字表显示单位</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年末实有在职人数为</w:t>
      </w:r>
      <w:r>
        <w:rPr>
          <w:rFonts w:hint="default" w:ascii="Times New Roman" w:hAnsi="Times New Roman" w:eastAsia="仿宋" w:cs="Times New Roman"/>
          <w:color w:val="333333"/>
          <w:sz w:val="28"/>
          <w:szCs w:val="28"/>
          <w:shd w:val="clear" w:color="auto" w:fill="FFFFFF"/>
        </w:rPr>
        <w:t>11</w:t>
      </w:r>
      <w:r>
        <w:rPr>
          <w:rFonts w:hint="eastAsia" w:ascii="仿宋" w:hAnsi="仿宋" w:eastAsia="仿宋" w:cs="仿宋"/>
          <w:color w:val="333333"/>
          <w:sz w:val="28"/>
          <w:szCs w:val="28"/>
          <w:shd w:val="clear" w:color="auto" w:fill="FFFFFF"/>
        </w:rPr>
        <w:t>名，因此在职人员控制率为</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%，该指标得分为</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②“三公经费”变动率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“三公经费变动率”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0</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三公经费变动率”指标评价部门本年度“三公经费”预算数与上年度“三公经费”预算数的变动比率，用以反映和考核部门对控制重点行政成本的努力程度。“三公经费”变动率=[（本年度“三公经费”总额-上年度“三公经费”总额）/上年度“三公经费”总额]×</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%。根据《惠安县财政局关于下达</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年度部门预算的批复》（惠财预指〔</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010</w:t>
      </w:r>
      <w:r>
        <w:rPr>
          <w:rFonts w:hint="eastAsia" w:ascii="仿宋" w:hAnsi="仿宋" w:eastAsia="仿宋" w:cs="仿宋"/>
          <w:color w:val="333333"/>
          <w:sz w:val="28"/>
          <w:szCs w:val="28"/>
          <w:shd w:val="clear" w:color="auto" w:fill="FFFFFF"/>
        </w:rPr>
        <w:t>号）和《惠安县财政局关于下达</w:t>
      </w:r>
      <w:r>
        <w:rPr>
          <w:rFonts w:hint="default" w:ascii="Times New Roman" w:hAnsi="Times New Roman" w:eastAsia="仿宋" w:cs="Times New Roman"/>
          <w:color w:val="333333"/>
          <w:sz w:val="28"/>
          <w:szCs w:val="28"/>
          <w:shd w:val="clear" w:color="auto" w:fill="FFFFFF"/>
        </w:rPr>
        <w:t>2021</w:t>
      </w:r>
      <w:r>
        <w:rPr>
          <w:rFonts w:hint="eastAsia" w:ascii="仿宋" w:hAnsi="仿宋" w:eastAsia="仿宋" w:cs="仿宋"/>
          <w:color w:val="333333"/>
          <w:sz w:val="28"/>
          <w:szCs w:val="28"/>
          <w:shd w:val="clear" w:color="auto" w:fill="FFFFFF"/>
        </w:rPr>
        <w:t>年度部门预算的批复》（惠财预指〔</w:t>
      </w:r>
      <w:r>
        <w:rPr>
          <w:rFonts w:hint="default" w:ascii="Times New Roman" w:hAnsi="Times New Roman" w:eastAsia="仿宋" w:cs="Times New Roman"/>
          <w:color w:val="333333"/>
          <w:sz w:val="28"/>
          <w:szCs w:val="28"/>
          <w:shd w:val="clear" w:color="auto" w:fill="FFFFFF"/>
        </w:rPr>
        <w:t>2021</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010</w:t>
      </w:r>
      <w:r>
        <w:rPr>
          <w:rFonts w:hint="eastAsia" w:ascii="仿宋" w:hAnsi="仿宋" w:eastAsia="仿宋" w:cs="仿宋"/>
          <w:color w:val="333333"/>
          <w:sz w:val="28"/>
          <w:szCs w:val="28"/>
          <w:shd w:val="clear" w:color="auto" w:fill="FFFFFF"/>
        </w:rPr>
        <w:t>号）文件可知本年度和上年度的三公经费预算数分别为</w:t>
      </w:r>
      <w:r>
        <w:rPr>
          <w:rFonts w:hint="default" w:ascii="Times New Roman" w:hAnsi="Times New Roman" w:eastAsia="仿宋" w:cs="Times New Roman"/>
          <w:color w:val="333333"/>
          <w:sz w:val="28"/>
          <w:szCs w:val="28"/>
          <w:shd w:val="clear" w:color="auto" w:fill="FFFFFF"/>
        </w:rPr>
        <w:t>3</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36</w:t>
      </w:r>
      <w:r>
        <w:rPr>
          <w:rFonts w:hint="eastAsia" w:ascii="仿宋" w:hAnsi="仿宋" w:eastAsia="仿宋" w:cs="仿宋"/>
          <w:color w:val="333333"/>
          <w:sz w:val="28"/>
          <w:szCs w:val="28"/>
          <w:shd w:val="clear" w:color="auto" w:fill="FFFFFF"/>
        </w:rPr>
        <w:t>万元和</w:t>
      </w:r>
      <w:r>
        <w:rPr>
          <w:rFonts w:hint="default" w:ascii="Times New Roman" w:hAnsi="Times New Roman" w:eastAsia="仿宋" w:cs="Times New Roman"/>
          <w:color w:val="333333"/>
          <w:sz w:val="28"/>
          <w:szCs w:val="28"/>
          <w:shd w:val="clear" w:color="auto" w:fill="FFFFFF"/>
        </w:rPr>
        <w:t>0</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84</w:t>
      </w:r>
      <w:r>
        <w:rPr>
          <w:rFonts w:hint="eastAsia" w:ascii="仿宋" w:hAnsi="仿宋" w:eastAsia="仿宋" w:cs="仿宋"/>
          <w:color w:val="333333"/>
          <w:sz w:val="28"/>
          <w:szCs w:val="28"/>
          <w:shd w:val="clear" w:color="auto" w:fill="FFFFFF"/>
        </w:rPr>
        <w:t>万元，因此三公经费变动率为</w:t>
      </w:r>
      <w:r>
        <w:rPr>
          <w:rFonts w:hint="default" w:ascii="Times New Roman" w:hAnsi="Times New Roman" w:eastAsia="仿宋" w:cs="Times New Roman"/>
          <w:color w:val="333333"/>
          <w:sz w:val="28"/>
          <w:szCs w:val="28"/>
          <w:shd w:val="clear" w:color="auto" w:fill="FFFFFF"/>
        </w:rPr>
        <w:t>300</w:t>
      </w:r>
      <w:r>
        <w:rPr>
          <w:rFonts w:hint="eastAsia" w:ascii="仿宋" w:hAnsi="仿宋" w:eastAsia="仿宋" w:cs="仿宋"/>
          <w:color w:val="333333"/>
          <w:sz w:val="28"/>
          <w:szCs w:val="28"/>
          <w:shd w:val="clear" w:color="auto" w:fill="FFFFFF"/>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③重点支出安排率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“重点支出安排率”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“重点支出安排率”指标评价部门本年度预算安排的重点项目支出与部门项目总支出的比率，用以反映和考核部门对履行主要职责或完成重点任务的保障程度。根据《惠安县财政局关于下达</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年度部门预算的批复》（惠财预指〔</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010</w:t>
      </w:r>
      <w:r>
        <w:rPr>
          <w:rFonts w:hint="eastAsia" w:ascii="仿宋" w:hAnsi="仿宋" w:eastAsia="仿宋" w:cs="仿宋"/>
          <w:color w:val="333333"/>
          <w:sz w:val="28"/>
          <w:szCs w:val="28"/>
          <w:shd w:val="clear" w:color="auto" w:fill="FFFFFF"/>
        </w:rPr>
        <w:t>号）文件，惠安县统计局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年度预算安排的项目总支出为</w:t>
      </w:r>
      <w:r>
        <w:rPr>
          <w:rFonts w:hint="default" w:ascii="Times New Roman" w:hAnsi="Times New Roman" w:eastAsia="仿宋" w:cs="Times New Roman"/>
          <w:color w:val="333333"/>
          <w:sz w:val="28"/>
          <w:szCs w:val="28"/>
          <w:shd w:val="clear" w:color="auto" w:fill="FFFFFF"/>
        </w:rPr>
        <w:t>248</w:t>
      </w:r>
      <w:r>
        <w:rPr>
          <w:rFonts w:hint="eastAsia" w:ascii="仿宋" w:hAnsi="仿宋" w:eastAsia="仿宋" w:cs="仿宋"/>
          <w:color w:val="333333"/>
          <w:sz w:val="28"/>
          <w:szCs w:val="28"/>
          <w:shd w:val="clear" w:color="auto" w:fill="FFFFFF"/>
        </w:rPr>
        <w:t>万元，重点项目支出为专项普查活动、统计抽样调查和其他统计信息事务支出三项，总金额为</w:t>
      </w:r>
      <w:r>
        <w:rPr>
          <w:rFonts w:hint="default" w:ascii="Times New Roman" w:hAnsi="Times New Roman" w:eastAsia="仿宋" w:cs="Times New Roman"/>
          <w:color w:val="333333"/>
          <w:sz w:val="28"/>
          <w:szCs w:val="28"/>
          <w:shd w:val="clear" w:color="auto" w:fill="FFFFFF"/>
        </w:rPr>
        <w:t>248</w:t>
      </w:r>
      <w:r>
        <w:rPr>
          <w:rFonts w:hint="eastAsia" w:ascii="仿宋" w:hAnsi="仿宋" w:eastAsia="仿宋" w:cs="仿宋"/>
          <w:color w:val="333333"/>
          <w:sz w:val="28"/>
          <w:szCs w:val="28"/>
          <w:shd w:val="clear" w:color="auto" w:fill="FFFFFF"/>
        </w:rPr>
        <w:t>万元，因此重点支出安排率为</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%，该指标得分为</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2</w:t>
      </w:r>
      <w:r>
        <w:rPr>
          <w:rFonts w:hint="eastAsia" w:ascii="仿宋" w:hAnsi="仿宋" w:eastAsia="仿宋" w:cs="仿宋"/>
          <w:b w:val="0"/>
          <w:bCs w:val="0"/>
          <w:color w:val="333333"/>
          <w:sz w:val="28"/>
          <w:szCs w:val="28"/>
          <w:shd w:val="clear" w:color="auto" w:fill="FFFFFF"/>
        </w:rPr>
        <w:t>.过程（</w:t>
      </w:r>
      <w:r>
        <w:rPr>
          <w:rFonts w:hint="default" w:ascii="Times New Roman" w:hAnsi="Times New Roman" w:eastAsia="仿宋" w:cs="Times New Roman"/>
          <w:b w:val="0"/>
          <w:bCs w:val="0"/>
          <w:color w:val="333333"/>
          <w:sz w:val="28"/>
          <w:szCs w:val="28"/>
          <w:shd w:val="clear" w:color="auto" w:fill="FFFFFF"/>
        </w:rPr>
        <w:t>20</w:t>
      </w:r>
      <w:r>
        <w:rPr>
          <w:rFonts w:hint="eastAsia" w:ascii="仿宋" w:hAnsi="仿宋" w:eastAsia="仿宋" w:cs="仿宋"/>
          <w:b w:val="0"/>
          <w:bCs w:val="0"/>
          <w:color w:val="333333"/>
          <w:sz w:val="28"/>
          <w:szCs w:val="28"/>
          <w:shd w:val="clear" w:color="auto" w:fill="FFFFFF"/>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过程主要从预算执行、预算管理和资产管理三个方面对惠安县统计局的预算过程情况展开综合评价。</w:t>
      </w:r>
    </w:p>
    <w:p>
      <w:pPr>
        <w:pStyle w:val="1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预算执行</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hd w:val="clear" w:color="auto" w:fill="FFFFFF"/>
        </w:rPr>
      </w:pPr>
      <w:r>
        <w:rPr>
          <w:rFonts w:hint="eastAsia" w:ascii="仿宋" w:hAnsi="仿宋" w:eastAsia="仿宋" w:cs="仿宋"/>
          <w:color w:val="333333"/>
          <w:sz w:val="28"/>
          <w:szCs w:val="28"/>
          <w:shd w:val="clear" w:color="auto" w:fill="FFFFFF"/>
        </w:rPr>
        <w:t>“预算执行”分解为“预算完成率”、“预算调整率”、“支付进度率”、“结转结余控制率”、“公用经费控制率”、“三公经费控制率”和“政府采购执行率”</w:t>
      </w:r>
      <w:r>
        <w:rPr>
          <w:rFonts w:hint="default" w:ascii="Times New Roman" w:hAnsi="Times New Roman" w:eastAsia="仿宋" w:cs="Times New Roman"/>
          <w:color w:val="333333"/>
          <w:sz w:val="28"/>
          <w:szCs w:val="28"/>
          <w:shd w:val="clear" w:color="auto" w:fill="FFFFFF"/>
        </w:rPr>
        <w:t>7</w:t>
      </w:r>
      <w:r>
        <w:rPr>
          <w:rFonts w:hint="eastAsia" w:ascii="仿宋" w:hAnsi="仿宋" w:eastAsia="仿宋" w:cs="仿宋"/>
          <w:color w:val="333333"/>
          <w:sz w:val="28"/>
          <w:szCs w:val="28"/>
          <w:shd w:val="clear" w:color="auto" w:fill="FFFFFF"/>
        </w:rPr>
        <w:t>个三级指标。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4"/>
          <w:szCs w:val="24"/>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4</w:t>
      </w:r>
      <w:r>
        <w:rPr>
          <w:rFonts w:hint="eastAsia" w:ascii="仿宋" w:hAnsi="仿宋" w:eastAsia="仿宋" w:cs="仿宋"/>
          <w:b/>
          <w:bCs/>
          <w:color w:val="333333"/>
          <w:sz w:val="24"/>
          <w:szCs w:val="24"/>
          <w:shd w:val="clear" w:color="auto" w:fill="FFFFFF"/>
        </w:rPr>
        <w:t xml:space="preserve"> 预算执行的得分情况表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315"/>
        <w:gridCol w:w="1140"/>
        <w:gridCol w:w="1104"/>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一级指标</w:t>
            </w:r>
          </w:p>
        </w:tc>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二级指标</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三级指标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分值</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过程</w:t>
            </w:r>
          </w:p>
        </w:tc>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预算执行</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预算完成率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r>
              <w:rPr>
                <w:rFonts w:hint="eastAsia" w:ascii="仿宋" w:hAnsi="仿宋" w:eastAsia="仿宋" w:cs="仿宋"/>
                <w:color w:val="333333"/>
                <w:sz w:val="21"/>
                <w:szCs w:val="21"/>
                <w:shd w:val="clear" w:color="auto" w:fill="FFFFFF"/>
              </w:rPr>
              <w:t>.</w:t>
            </w:r>
            <w:r>
              <w:rPr>
                <w:rFonts w:hint="default" w:ascii="Times New Roman" w:hAnsi="Times New Roman" w:eastAsia="仿宋" w:cs="Times New Roman"/>
                <w:color w:val="333333"/>
                <w:sz w:val="21"/>
                <w:szCs w:val="21"/>
                <w:shd w:val="clear" w:color="auto" w:fill="FFFFFF"/>
              </w:rPr>
              <w:t>74</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68</w:t>
            </w:r>
            <w:r>
              <w:rPr>
                <w:rFonts w:hint="eastAsia" w:ascii="仿宋" w:hAnsi="仿宋" w:eastAsia="仿宋" w:cs="仿宋"/>
                <w:color w:val="333333"/>
                <w:sz w:val="21"/>
                <w:szCs w:val="21"/>
                <w:shd w:val="clear" w:color="auto" w:fill="FFFFFF"/>
              </w:rPr>
              <w:t>.</w:t>
            </w:r>
            <w:r>
              <w:rPr>
                <w:rFonts w:hint="default" w:ascii="Times New Roman" w:hAnsi="Times New Roman" w:eastAsia="仿宋" w:cs="Times New Roman"/>
                <w:color w:val="333333"/>
                <w:sz w:val="21"/>
                <w:szCs w:val="21"/>
                <w:shd w:val="clear" w:color="auto" w:fill="FFFFFF"/>
              </w:rPr>
              <w:t>5</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预算调整率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r>
              <w:rPr>
                <w:rFonts w:hint="eastAsia" w:ascii="仿宋" w:hAnsi="仿宋" w:eastAsia="仿宋" w:cs="仿宋"/>
                <w:color w:val="333333"/>
                <w:sz w:val="21"/>
                <w:szCs w:val="21"/>
                <w:shd w:val="clear" w:color="auto" w:fill="FFFFFF"/>
              </w:rPr>
              <w:t>.</w:t>
            </w:r>
            <w:r>
              <w:rPr>
                <w:rFonts w:hint="default" w:ascii="Times New Roman" w:hAnsi="Times New Roman" w:eastAsia="仿宋" w:cs="Times New Roman"/>
                <w:color w:val="333333"/>
                <w:sz w:val="21"/>
                <w:szCs w:val="21"/>
                <w:shd w:val="clear" w:color="auto" w:fill="FFFFFF"/>
              </w:rPr>
              <w:t>65</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82</w:t>
            </w:r>
            <w:r>
              <w:rPr>
                <w:rFonts w:hint="eastAsia" w:ascii="仿宋" w:hAnsi="仿宋" w:eastAsia="仿宋" w:cs="仿宋"/>
                <w:color w:val="333333"/>
                <w:sz w:val="21"/>
                <w:szCs w:val="21"/>
                <w:shd w:val="clear" w:color="auto" w:fill="FFFFFF"/>
              </w:rPr>
              <w:t>.</w:t>
            </w:r>
            <w:r>
              <w:rPr>
                <w:rFonts w:hint="default" w:ascii="Times New Roman" w:hAnsi="Times New Roman" w:eastAsia="仿宋" w:cs="Times New Roman"/>
                <w:color w:val="333333"/>
                <w:sz w:val="21"/>
                <w:szCs w:val="21"/>
                <w:shd w:val="clear" w:color="auto" w:fill="FFFFFF"/>
              </w:rPr>
              <w:t>5</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支付进度率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结转结余控制率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0</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公用经费控制率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“三公经费”控制率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政府采购执行率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①预算完成率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惠安县统计局“预算完成率”指标得分为</w:t>
      </w:r>
      <w:r>
        <w:rPr>
          <w:rFonts w:hint="default" w:ascii="Times New Roman" w:hAnsi="Times New Roman" w:eastAsia="仿宋" w:cs="Times New Roman"/>
          <w:color w:val="333333"/>
          <w:sz w:val="28"/>
          <w:szCs w:val="28"/>
          <w:shd w:val="clear" w:color="auto" w:fill="FFFFFF"/>
          <w:lang w:bidi="ar"/>
        </w:rPr>
        <w:t>2</w:t>
      </w:r>
      <w:r>
        <w:rPr>
          <w:rFonts w:hint="eastAsia" w:ascii="仿宋" w:hAnsi="仿宋" w:eastAsia="仿宋" w:cs="仿宋"/>
          <w:color w:val="333333"/>
          <w:sz w:val="28"/>
          <w:szCs w:val="28"/>
          <w:shd w:val="clear" w:color="auto" w:fill="FFFFFF"/>
          <w:lang w:bidi="ar"/>
        </w:rPr>
        <w:t>.</w:t>
      </w:r>
      <w:r>
        <w:rPr>
          <w:rFonts w:hint="default" w:ascii="Times New Roman" w:hAnsi="Times New Roman" w:eastAsia="仿宋" w:cs="Times New Roman"/>
          <w:color w:val="333333"/>
          <w:sz w:val="28"/>
          <w:szCs w:val="28"/>
          <w:shd w:val="clear" w:color="auto" w:fill="FFFFFF"/>
          <w:lang w:bidi="ar"/>
        </w:rPr>
        <w:t>74</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68</w:t>
      </w:r>
      <w:r>
        <w:rPr>
          <w:rFonts w:hint="eastAsia" w:ascii="仿宋" w:hAnsi="仿宋" w:eastAsia="仿宋" w:cs="仿宋"/>
          <w:color w:val="333333"/>
          <w:sz w:val="28"/>
          <w:szCs w:val="28"/>
          <w:shd w:val="clear" w:color="auto" w:fill="FFFFFF"/>
          <w:lang w:bidi="ar"/>
        </w:rPr>
        <w:t>.</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“预算完成率”指标评价部门本年度预算完成数与预算数的比率，用以反映和考核部门预算完成程度。预算完成率=（预算完成数/预算数）×</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%。根据《惠安县财政局关于下达</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年度部门预算的批复》（惠财预指〔</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010</w:t>
      </w:r>
      <w:r>
        <w:rPr>
          <w:rFonts w:hint="eastAsia" w:ascii="仿宋" w:hAnsi="仿宋" w:eastAsia="仿宋" w:cs="仿宋"/>
          <w:color w:val="333333"/>
          <w:sz w:val="28"/>
          <w:szCs w:val="28"/>
          <w:shd w:val="clear" w:color="auto" w:fill="FFFFFF"/>
        </w:rPr>
        <w:t>号）文件，</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年度部门预算数为</w:t>
      </w:r>
      <w:r>
        <w:rPr>
          <w:rFonts w:hint="default" w:ascii="Times New Roman" w:hAnsi="Times New Roman" w:eastAsia="仿宋" w:cs="Times New Roman"/>
          <w:color w:val="333333"/>
          <w:sz w:val="28"/>
          <w:szCs w:val="28"/>
          <w:shd w:val="clear" w:color="auto" w:fill="FFFFFF"/>
        </w:rPr>
        <w:t>466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31</w:t>
      </w:r>
      <w:r>
        <w:rPr>
          <w:rFonts w:hint="eastAsia" w:ascii="仿宋" w:hAnsi="仿宋" w:eastAsia="仿宋" w:cs="仿宋"/>
          <w:color w:val="333333"/>
          <w:sz w:val="28"/>
          <w:szCs w:val="28"/>
          <w:shd w:val="clear" w:color="auto" w:fill="FFFFFF"/>
        </w:rPr>
        <w:t>万元；在年中时，根据县领导对《关于申请统计规范化建设工作经费的请示》（惠统〔</w:t>
      </w:r>
      <w:r>
        <w:rPr>
          <w:rFonts w:hint="default" w:ascii="Times New Roman" w:hAnsi="Times New Roman" w:eastAsia="仿宋" w:cs="Times New Roman"/>
          <w:color w:val="333333"/>
          <w:sz w:val="28"/>
          <w:szCs w:val="28"/>
          <w:shd w:val="clear" w:color="auto" w:fill="FFFFFF"/>
        </w:rPr>
        <w:t>2021</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6</w:t>
      </w:r>
      <w:r>
        <w:rPr>
          <w:rFonts w:hint="eastAsia" w:ascii="仿宋" w:hAnsi="仿宋" w:eastAsia="仿宋" w:cs="仿宋"/>
          <w:color w:val="333333"/>
          <w:sz w:val="28"/>
          <w:szCs w:val="28"/>
          <w:shd w:val="clear" w:color="auto" w:fill="FFFFFF"/>
        </w:rPr>
        <w:t>号）的批示精神，全县共有</w:t>
      </w:r>
      <w:r>
        <w:rPr>
          <w:rFonts w:hint="default" w:ascii="Times New Roman" w:hAnsi="Times New Roman" w:eastAsia="仿宋" w:cs="Times New Roman"/>
          <w:color w:val="333333"/>
          <w:sz w:val="28"/>
          <w:szCs w:val="28"/>
          <w:shd w:val="clear" w:color="auto" w:fill="FFFFFF"/>
        </w:rPr>
        <w:t>277</w:t>
      </w:r>
      <w:r>
        <w:rPr>
          <w:rFonts w:hint="eastAsia" w:ascii="仿宋" w:hAnsi="仿宋" w:eastAsia="仿宋" w:cs="仿宋"/>
          <w:color w:val="333333"/>
          <w:sz w:val="28"/>
          <w:szCs w:val="28"/>
          <w:shd w:val="clear" w:color="auto" w:fill="FFFFFF"/>
        </w:rPr>
        <w:t>家“四上”企业（规模以上工业</w:t>
      </w:r>
      <w:r>
        <w:rPr>
          <w:rFonts w:hint="default" w:ascii="Times New Roman" w:hAnsi="Times New Roman" w:eastAsia="仿宋" w:cs="Times New Roman"/>
          <w:color w:val="333333"/>
          <w:sz w:val="28"/>
          <w:szCs w:val="28"/>
          <w:shd w:val="clear" w:color="auto" w:fill="FFFFFF"/>
        </w:rPr>
        <w:t>223</w:t>
      </w:r>
      <w:r>
        <w:rPr>
          <w:rFonts w:hint="eastAsia" w:ascii="仿宋" w:hAnsi="仿宋" w:eastAsia="仿宋" w:cs="仿宋"/>
          <w:color w:val="333333"/>
          <w:sz w:val="28"/>
          <w:szCs w:val="28"/>
          <w:shd w:val="clear" w:color="auto" w:fill="FFFFFF"/>
        </w:rPr>
        <w:t>家，限额以上商贸业</w:t>
      </w:r>
      <w:r>
        <w:rPr>
          <w:rFonts w:hint="default" w:ascii="Times New Roman" w:hAnsi="Times New Roman" w:eastAsia="仿宋" w:cs="Times New Roman"/>
          <w:color w:val="333333"/>
          <w:sz w:val="28"/>
          <w:szCs w:val="28"/>
          <w:shd w:val="clear" w:color="auto" w:fill="FFFFFF"/>
        </w:rPr>
        <w:t>54</w:t>
      </w:r>
      <w:r>
        <w:rPr>
          <w:rFonts w:hint="eastAsia" w:ascii="仿宋" w:hAnsi="仿宋" w:eastAsia="仿宋" w:cs="仿宋"/>
          <w:color w:val="333333"/>
          <w:sz w:val="28"/>
          <w:szCs w:val="28"/>
          <w:shd w:val="clear" w:color="auto" w:fill="FFFFFF"/>
        </w:rPr>
        <w:t>家）开展统计规范化建设工作，工作成果均已通过所属镇验收，因此追加预算</w:t>
      </w:r>
      <w:r>
        <w:rPr>
          <w:rFonts w:hint="default" w:ascii="Times New Roman" w:hAnsi="Times New Roman" w:eastAsia="仿宋" w:cs="Times New Roman"/>
          <w:color w:val="333333"/>
          <w:sz w:val="28"/>
          <w:szCs w:val="28"/>
          <w:shd w:val="clear" w:color="auto" w:fill="FFFFFF"/>
        </w:rPr>
        <w:t>116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万元；根据惠安县统计局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年度专项资金使用情况总结，以前年度结余结转</w:t>
      </w:r>
      <w:r>
        <w:rPr>
          <w:rFonts w:hint="default" w:ascii="Times New Roman" w:hAnsi="Times New Roman" w:eastAsia="仿宋" w:cs="Times New Roman"/>
          <w:color w:val="333333"/>
          <w:sz w:val="28"/>
          <w:szCs w:val="28"/>
          <w:shd w:val="clear" w:color="auto" w:fill="FFFFFF"/>
        </w:rPr>
        <w:t>86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22</w:t>
      </w:r>
      <w:r>
        <w:rPr>
          <w:rFonts w:hint="eastAsia" w:ascii="仿宋" w:hAnsi="仿宋" w:eastAsia="仿宋" w:cs="仿宋"/>
          <w:color w:val="333333"/>
          <w:sz w:val="28"/>
          <w:szCs w:val="28"/>
          <w:shd w:val="clear" w:color="auto" w:fill="FFFFFF"/>
        </w:rPr>
        <w:t>万元。因此，</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年度总预算数为</w:t>
      </w:r>
      <w:r>
        <w:rPr>
          <w:rFonts w:hint="default" w:ascii="Times New Roman" w:hAnsi="Times New Roman" w:eastAsia="仿宋" w:cs="Times New Roman"/>
          <w:color w:val="333333"/>
          <w:sz w:val="28"/>
          <w:szCs w:val="28"/>
          <w:shd w:val="clear" w:color="auto" w:fill="FFFFFF"/>
        </w:rPr>
        <w:t>669</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43</w:t>
      </w:r>
      <w:r>
        <w:rPr>
          <w:rFonts w:hint="eastAsia" w:ascii="仿宋" w:hAnsi="仿宋" w:eastAsia="仿宋" w:cs="仿宋"/>
          <w:color w:val="333333"/>
          <w:sz w:val="28"/>
          <w:szCs w:val="28"/>
          <w:shd w:val="clear" w:color="auto" w:fill="FFFFFF"/>
        </w:rPr>
        <w:t>万元。而根据惠安县统计局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年度项目支出决算表可知，项目决算支出为</w:t>
      </w:r>
      <w:r>
        <w:rPr>
          <w:rFonts w:hint="default" w:ascii="Times New Roman" w:hAnsi="Times New Roman" w:eastAsia="仿宋" w:cs="Times New Roman"/>
          <w:color w:val="333333"/>
          <w:sz w:val="28"/>
          <w:szCs w:val="28"/>
          <w:shd w:val="clear" w:color="auto" w:fill="FFFFFF"/>
        </w:rPr>
        <w:t>239</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万元，加上基本支出</w:t>
      </w:r>
      <w:r>
        <w:rPr>
          <w:rFonts w:hint="default" w:ascii="Times New Roman" w:hAnsi="Times New Roman" w:eastAsia="仿宋" w:cs="Times New Roman"/>
          <w:color w:val="333333"/>
          <w:sz w:val="28"/>
          <w:szCs w:val="28"/>
          <w:shd w:val="clear" w:color="auto" w:fill="FFFFFF"/>
        </w:rPr>
        <w:t>218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31</w:t>
      </w:r>
      <w:r>
        <w:rPr>
          <w:rFonts w:hint="eastAsia" w:ascii="仿宋" w:hAnsi="仿宋" w:eastAsia="仿宋" w:cs="仿宋"/>
          <w:color w:val="333333"/>
          <w:sz w:val="28"/>
          <w:szCs w:val="28"/>
          <w:shd w:val="clear" w:color="auto" w:fill="FFFFFF"/>
        </w:rPr>
        <w:t>万元，预算完成数为</w:t>
      </w:r>
      <w:r>
        <w:rPr>
          <w:rFonts w:hint="default" w:ascii="Times New Roman" w:hAnsi="Times New Roman" w:eastAsia="仿宋" w:cs="Times New Roman"/>
          <w:color w:val="333333"/>
          <w:sz w:val="28"/>
          <w:szCs w:val="28"/>
          <w:shd w:val="clear" w:color="auto" w:fill="FFFFFF"/>
        </w:rPr>
        <w:t>458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21</w:t>
      </w:r>
      <w:r>
        <w:rPr>
          <w:rFonts w:hint="eastAsia" w:ascii="仿宋" w:hAnsi="仿宋" w:eastAsia="仿宋" w:cs="仿宋"/>
          <w:color w:val="333333"/>
          <w:sz w:val="28"/>
          <w:szCs w:val="28"/>
          <w:shd w:val="clear" w:color="auto" w:fill="FFFFFF"/>
        </w:rPr>
        <w:t>万元。因此预算完成率为</w:t>
      </w:r>
      <w:r>
        <w:rPr>
          <w:rFonts w:hint="default" w:ascii="Times New Roman" w:hAnsi="Times New Roman" w:eastAsia="仿宋" w:cs="Times New Roman"/>
          <w:color w:val="333333"/>
          <w:sz w:val="28"/>
          <w:szCs w:val="28"/>
          <w:shd w:val="clear" w:color="auto" w:fill="FFFFFF"/>
        </w:rPr>
        <w:t>68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45</w:t>
      </w:r>
      <w:r>
        <w:rPr>
          <w:rFonts w:hint="eastAsia" w:ascii="仿宋" w:hAnsi="仿宋" w:eastAsia="仿宋" w:cs="仿宋"/>
          <w:color w:val="333333"/>
          <w:sz w:val="28"/>
          <w:szCs w:val="28"/>
          <w:shd w:val="clear" w:color="auto" w:fill="FFFFFF"/>
        </w:rPr>
        <w:t>%，反映</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年惠安县统计局预算执行程度一般。</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②预算调整率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“预算调整率”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w:t>
      </w:r>
      <w:r>
        <w:rPr>
          <w:rFonts w:hint="default" w:ascii="Times New Roman" w:hAnsi="Times New Roman" w:eastAsia="仿宋" w:cs="Times New Roman"/>
          <w:color w:val="333333"/>
          <w:sz w:val="28"/>
          <w:szCs w:val="28"/>
          <w:shd w:val="clear" w:color="auto" w:fill="FFFFFF"/>
          <w:lang w:bidi="ar"/>
        </w:rPr>
        <w:t>65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82</w:t>
      </w:r>
      <w:r>
        <w:rPr>
          <w:rFonts w:hint="eastAsia" w:ascii="仿宋" w:hAnsi="仿宋" w:eastAsia="仿宋" w:cs="仿宋"/>
          <w:color w:val="333333"/>
          <w:sz w:val="28"/>
          <w:szCs w:val="28"/>
          <w:shd w:val="clear" w:color="auto" w:fill="FFFFFF"/>
          <w:lang w:bidi="ar"/>
        </w:rPr>
        <w:t>.</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“预算调整率”指标评价部门本年度预算调整数与预算数的比率，用以反映和考核部门预算的调整程度。根据惠安县统计局《关于申请拨付统计规范化建设工作经费的函》，全县共有</w:t>
      </w:r>
      <w:r>
        <w:rPr>
          <w:rFonts w:hint="default" w:ascii="Times New Roman" w:hAnsi="Times New Roman" w:eastAsia="仿宋" w:cs="Times New Roman"/>
          <w:color w:val="333333"/>
          <w:sz w:val="28"/>
          <w:szCs w:val="28"/>
          <w:shd w:val="clear" w:color="auto" w:fill="FFFFFF"/>
        </w:rPr>
        <w:t>277</w:t>
      </w:r>
      <w:r>
        <w:rPr>
          <w:rFonts w:hint="eastAsia" w:ascii="仿宋" w:hAnsi="仿宋" w:eastAsia="仿宋" w:cs="仿宋"/>
          <w:color w:val="333333"/>
          <w:sz w:val="28"/>
          <w:szCs w:val="28"/>
          <w:shd w:val="clear" w:color="auto" w:fill="FFFFFF"/>
        </w:rPr>
        <w:t>家“四上”企业（规模以上工业</w:t>
      </w:r>
      <w:r>
        <w:rPr>
          <w:rFonts w:hint="default" w:ascii="Times New Roman" w:hAnsi="Times New Roman" w:eastAsia="仿宋" w:cs="Times New Roman"/>
          <w:color w:val="333333"/>
          <w:sz w:val="28"/>
          <w:szCs w:val="28"/>
          <w:shd w:val="clear" w:color="auto" w:fill="FFFFFF"/>
        </w:rPr>
        <w:t>223</w:t>
      </w:r>
      <w:r>
        <w:rPr>
          <w:rFonts w:hint="eastAsia" w:ascii="仿宋" w:hAnsi="仿宋" w:eastAsia="仿宋" w:cs="仿宋"/>
          <w:color w:val="333333"/>
          <w:sz w:val="28"/>
          <w:szCs w:val="28"/>
          <w:shd w:val="clear" w:color="auto" w:fill="FFFFFF"/>
        </w:rPr>
        <w:t>家，限额以上商贸业</w:t>
      </w:r>
      <w:r>
        <w:rPr>
          <w:rFonts w:hint="default" w:ascii="Times New Roman" w:hAnsi="Times New Roman" w:eastAsia="仿宋" w:cs="Times New Roman"/>
          <w:color w:val="333333"/>
          <w:sz w:val="28"/>
          <w:szCs w:val="28"/>
          <w:shd w:val="clear" w:color="auto" w:fill="FFFFFF"/>
        </w:rPr>
        <w:t>54</w:t>
      </w:r>
      <w:r>
        <w:rPr>
          <w:rFonts w:hint="eastAsia" w:ascii="仿宋" w:hAnsi="仿宋" w:eastAsia="仿宋" w:cs="仿宋"/>
          <w:color w:val="333333"/>
          <w:sz w:val="28"/>
          <w:szCs w:val="28"/>
          <w:shd w:val="clear" w:color="auto" w:fill="FFFFFF"/>
        </w:rPr>
        <w:t>家）开展统计规范化建设工作，因此向县财政局申请拨付统计规范化建设工作经费</w:t>
      </w:r>
      <w:r>
        <w:rPr>
          <w:rFonts w:hint="default" w:ascii="Times New Roman" w:hAnsi="Times New Roman" w:eastAsia="仿宋" w:cs="Times New Roman"/>
          <w:color w:val="333333"/>
          <w:sz w:val="28"/>
          <w:szCs w:val="28"/>
          <w:shd w:val="clear" w:color="auto" w:fill="FFFFFF"/>
        </w:rPr>
        <w:t>116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万元（</w:t>
      </w:r>
      <w:r>
        <w:rPr>
          <w:rFonts w:hint="default" w:ascii="Times New Roman" w:hAnsi="Times New Roman" w:eastAsia="仿宋" w:cs="Times New Roman"/>
          <w:color w:val="333333"/>
          <w:sz w:val="28"/>
          <w:szCs w:val="28"/>
          <w:shd w:val="clear" w:color="auto" w:fill="FFFFFF"/>
        </w:rPr>
        <w:t>223</w:t>
      </w:r>
      <w:r>
        <w:rPr>
          <w:rFonts w:hint="eastAsia" w:ascii="仿宋" w:hAnsi="仿宋" w:eastAsia="仿宋" w:cs="仿宋"/>
          <w:color w:val="333333"/>
          <w:sz w:val="28"/>
          <w:szCs w:val="28"/>
          <w:shd w:val="clear" w:color="auto" w:fill="FFFFFF"/>
        </w:rPr>
        <w:t>家*</w:t>
      </w:r>
      <w:r>
        <w:rPr>
          <w:rFonts w:hint="default" w:ascii="Times New Roman" w:hAnsi="Times New Roman" w:eastAsia="仿宋" w:cs="Times New Roman"/>
          <w:color w:val="333333"/>
          <w:sz w:val="28"/>
          <w:szCs w:val="28"/>
          <w:shd w:val="clear" w:color="auto" w:fill="FFFFFF"/>
        </w:rPr>
        <w:t>5000</w:t>
      </w:r>
      <w:r>
        <w:rPr>
          <w:rFonts w:hint="eastAsia" w:ascii="仿宋" w:hAnsi="仿宋" w:eastAsia="仿宋" w:cs="仿宋"/>
          <w:color w:val="333333"/>
          <w:sz w:val="28"/>
          <w:szCs w:val="28"/>
          <w:shd w:val="clear" w:color="auto" w:fill="FFFFFF"/>
        </w:rPr>
        <w:t>元/家+</w:t>
      </w:r>
      <w:r>
        <w:rPr>
          <w:rFonts w:hint="default" w:ascii="Times New Roman" w:hAnsi="Times New Roman" w:eastAsia="仿宋" w:cs="Times New Roman"/>
          <w:color w:val="333333"/>
          <w:sz w:val="28"/>
          <w:szCs w:val="28"/>
          <w:shd w:val="clear" w:color="auto" w:fill="FFFFFF"/>
        </w:rPr>
        <w:t>54</w:t>
      </w:r>
      <w:r>
        <w:rPr>
          <w:rFonts w:hint="eastAsia" w:ascii="仿宋" w:hAnsi="仿宋" w:eastAsia="仿宋" w:cs="仿宋"/>
          <w:color w:val="333333"/>
          <w:sz w:val="28"/>
          <w:szCs w:val="28"/>
          <w:shd w:val="clear" w:color="auto" w:fill="FFFFFF"/>
        </w:rPr>
        <w:t>家*</w:t>
      </w:r>
      <w:r>
        <w:rPr>
          <w:rFonts w:hint="default" w:ascii="Times New Roman" w:hAnsi="Times New Roman" w:eastAsia="仿宋" w:cs="Times New Roman"/>
          <w:color w:val="333333"/>
          <w:sz w:val="28"/>
          <w:szCs w:val="28"/>
          <w:shd w:val="clear" w:color="auto" w:fill="FFFFFF"/>
        </w:rPr>
        <w:t>1000</w:t>
      </w:r>
      <w:r>
        <w:rPr>
          <w:rFonts w:hint="eastAsia" w:ascii="仿宋" w:hAnsi="仿宋" w:eastAsia="仿宋" w:cs="仿宋"/>
          <w:color w:val="333333"/>
          <w:sz w:val="28"/>
          <w:szCs w:val="28"/>
          <w:shd w:val="clear" w:color="auto" w:fill="FFFFFF"/>
        </w:rPr>
        <w:t>元/家），因此预算调整数为</w:t>
      </w:r>
      <w:r>
        <w:rPr>
          <w:rFonts w:hint="default" w:ascii="Times New Roman" w:hAnsi="Times New Roman" w:eastAsia="仿宋" w:cs="Times New Roman"/>
          <w:color w:val="333333"/>
          <w:sz w:val="28"/>
          <w:szCs w:val="28"/>
          <w:shd w:val="clear" w:color="auto" w:fill="FFFFFF"/>
        </w:rPr>
        <w:t>116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w:t>
      </w:r>
      <w:r>
        <w:rPr>
          <w:rFonts w:hint="eastAsia" w:ascii="仿宋" w:hAnsi="仿宋" w:eastAsia="仿宋" w:cs="仿宋"/>
          <w:color w:val="333333"/>
          <w:sz w:val="28"/>
          <w:szCs w:val="28"/>
          <w:shd w:val="clear" w:color="auto" w:fill="FFFFFF"/>
        </w:rPr>
        <w:t>万元，预算调整率为</w:t>
      </w:r>
      <w:r>
        <w:rPr>
          <w:rFonts w:hint="default" w:ascii="Times New Roman" w:hAnsi="Times New Roman" w:eastAsia="仿宋" w:cs="Times New Roman"/>
          <w:color w:val="333333"/>
          <w:sz w:val="28"/>
          <w:szCs w:val="28"/>
          <w:shd w:val="clear" w:color="auto" w:fill="FFFFFF"/>
        </w:rPr>
        <w:t>17</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46</w:t>
      </w:r>
      <w:r>
        <w:rPr>
          <w:rFonts w:hint="eastAsia" w:ascii="仿宋" w:hAnsi="仿宋" w:eastAsia="仿宋" w:cs="仿宋"/>
          <w:color w:val="333333"/>
          <w:sz w:val="28"/>
          <w:szCs w:val="28"/>
          <w:shd w:val="clear" w:color="auto" w:fill="FFFFFF"/>
        </w:rPr>
        <w:t>%，该指标得分为</w:t>
      </w:r>
      <w:r>
        <w:rPr>
          <w:rFonts w:hint="default" w:ascii="Times New Roman" w:hAnsi="Times New Roman" w:eastAsia="仿宋" w:cs="Times New Roman"/>
          <w:color w:val="333333"/>
          <w:sz w:val="28"/>
          <w:szCs w:val="28"/>
          <w:shd w:val="clear" w:color="auto" w:fill="FFFFFF"/>
        </w:rPr>
        <w:t>1</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65</w:t>
      </w:r>
      <w:r>
        <w:rPr>
          <w:rFonts w:hint="eastAsia" w:ascii="仿宋" w:hAnsi="仿宋" w:eastAsia="仿宋" w:cs="仿宋"/>
          <w:color w:val="333333"/>
          <w:sz w:val="28"/>
          <w:szCs w:val="28"/>
          <w:shd w:val="clear" w:color="auto" w:fill="FFFFFF"/>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③支付进度率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“支付进度率”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“支付进度率”指标评价部门实际支付进度与既定支付进度的比率，用以反映和考核部门预算执行的及时性和均衡性程度。惠安县统计局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年度预算支出执行进度率四个季度都达到了相关要求，总体反映了惠安县统计局的预算支出按计划执行，对预算支出的执行进度做到了较有效的控制。</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④结转结余控制率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“结转结余控制率”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0</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“结转结余控制率”指标评价部门本年度结转结余总额与上年结转结余总额增减比例，用以反映和考核部门对存量资金的实际控制程度。结转结余控制率低于</w:t>
      </w:r>
      <w:r>
        <w:rPr>
          <w:rFonts w:hint="default" w:ascii="Times New Roman" w:hAnsi="Times New Roman" w:eastAsia="仿宋" w:cs="Times New Roman"/>
          <w:color w:val="333333"/>
          <w:sz w:val="28"/>
          <w:szCs w:val="28"/>
          <w:shd w:val="clear" w:color="auto" w:fill="FFFFFF"/>
        </w:rPr>
        <w:t>15</w:t>
      </w:r>
      <w:r>
        <w:rPr>
          <w:rFonts w:hint="eastAsia" w:ascii="仿宋" w:hAnsi="仿宋" w:eastAsia="仿宋" w:cs="仿宋"/>
          <w:color w:val="333333"/>
          <w:sz w:val="28"/>
          <w:szCs w:val="28"/>
          <w:shd w:val="clear" w:color="auto" w:fill="FFFFFF"/>
        </w:rPr>
        <w:t>%的计</w:t>
      </w:r>
      <w:r>
        <w:rPr>
          <w:rFonts w:hint="default" w:ascii="Times New Roman" w:hAnsi="Times New Roman" w:eastAsia="仿宋" w:cs="Times New Roman"/>
          <w:color w:val="333333"/>
          <w:sz w:val="28"/>
          <w:szCs w:val="28"/>
          <w:shd w:val="clear" w:color="auto" w:fill="FFFFFF"/>
        </w:rPr>
        <w:t>4</w:t>
      </w:r>
      <w:r>
        <w:rPr>
          <w:rFonts w:hint="eastAsia" w:ascii="仿宋" w:hAnsi="仿宋" w:eastAsia="仿宋" w:cs="仿宋"/>
          <w:color w:val="333333"/>
          <w:sz w:val="28"/>
          <w:szCs w:val="28"/>
          <w:shd w:val="clear" w:color="auto" w:fill="FFFFFF"/>
        </w:rPr>
        <w:t>分，每超过</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个百分点扣</w:t>
      </w:r>
      <w:r>
        <w:rPr>
          <w:rFonts w:hint="default" w:ascii="Times New Roman" w:hAnsi="Times New Roman" w:eastAsia="仿宋" w:cs="Times New Roman"/>
          <w:color w:val="333333"/>
          <w:sz w:val="28"/>
          <w:szCs w:val="28"/>
          <w:shd w:val="clear" w:color="auto" w:fill="FFFFFF"/>
        </w:rPr>
        <w:t>1</w:t>
      </w:r>
      <w:r>
        <w:rPr>
          <w:rFonts w:hint="eastAsia" w:ascii="仿宋" w:hAnsi="仿宋" w:eastAsia="仿宋" w:cs="仿宋"/>
          <w:color w:val="333333"/>
          <w:sz w:val="28"/>
          <w:szCs w:val="28"/>
          <w:shd w:val="clear" w:color="auto" w:fill="FFFFFF"/>
        </w:rPr>
        <w:t>分。根据惠安县统计局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年度专项资金使用情况总结和</w:t>
      </w:r>
      <w:r>
        <w:rPr>
          <w:rFonts w:hint="default" w:ascii="Times New Roman" w:hAnsi="Times New Roman" w:eastAsia="仿宋" w:cs="Times New Roman"/>
          <w:color w:val="333333"/>
          <w:sz w:val="28"/>
          <w:szCs w:val="28"/>
          <w:shd w:val="clear" w:color="auto" w:fill="FFFFFF"/>
        </w:rPr>
        <w:t>2021</w:t>
      </w:r>
      <w:r>
        <w:rPr>
          <w:rFonts w:hint="eastAsia" w:ascii="仿宋" w:hAnsi="仿宋" w:eastAsia="仿宋" w:cs="仿宋"/>
          <w:color w:val="333333"/>
          <w:sz w:val="28"/>
          <w:szCs w:val="28"/>
          <w:shd w:val="clear" w:color="auto" w:fill="FFFFFF"/>
        </w:rPr>
        <w:t>年度专项资金使用情况总结可知，本年度结转结余资金总额和上年度结转结余资金总额分别为</w:t>
      </w:r>
      <w:r>
        <w:rPr>
          <w:rFonts w:hint="default" w:ascii="Times New Roman" w:hAnsi="Times New Roman" w:eastAsia="仿宋" w:cs="Times New Roman"/>
          <w:color w:val="333333"/>
          <w:sz w:val="28"/>
          <w:szCs w:val="28"/>
          <w:shd w:val="clear" w:color="auto" w:fill="FFFFFF"/>
        </w:rPr>
        <w:t>211</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万元和</w:t>
      </w:r>
      <w:r>
        <w:rPr>
          <w:rFonts w:hint="default" w:ascii="Times New Roman" w:hAnsi="Times New Roman" w:eastAsia="仿宋" w:cs="Times New Roman"/>
          <w:color w:val="333333"/>
          <w:sz w:val="28"/>
          <w:szCs w:val="28"/>
          <w:shd w:val="clear" w:color="auto" w:fill="FFFFFF"/>
        </w:rPr>
        <w:t>86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22</w:t>
      </w:r>
      <w:r>
        <w:rPr>
          <w:rFonts w:hint="eastAsia" w:ascii="仿宋" w:hAnsi="仿宋" w:eastAsia="仿宋" w:cs="仿宋"/>
          <w:color w:val="333333"/>
          <w:sz w:val="28"/>
          <w:szCs w:val="28"/>
          <w:shd w:val="clear" w:color="auto" w:fill="FFFFFF"/>
        </w:rPr>
        <w:t>万元，结转结余控制率为</w:t>
      </w:r>
      <w:r>
        <w:rPr>
          <w:rFonts w:hint="default" w:ascii="Times New Roman" w:hAnsi="Times New Roman" w:eastAsia="仿宋" w:cs="Times New Roman"/>
          <w:color w:val="333333"/>
          <w:sz w:val="28"/>
          <w:szCs w:val="28"/>
          <w:shd w:val="clear" w:color="auto" w:fill="FFFFFF"/>
        </w:rPr>
        <w:t>144</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95</w:t>
      </w:r>
      <w:r>
        <w:rPr>
          <w:rFonts w:hint="eastAsia" w:ascii="仿宋" w:hAnsi="仿宋" w:eastAsia="仿宋" w:cs="仿宋"/>
          <w:color w:val="333333"/>
          <w:sz w:val="28"/>
          <w:szCs w:val="28"/>
          <w:shd w:val="clear" w:color="auto" w:fill="FFFFFF"/>
        </w:rPr>
        <w:t>%。因此，此项不能得分。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⑤公用经费控制率、“三公经费”控制率、政府采购执行率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根据惠安县统计局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年收入支出决算总表显示，</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年度实际支出公用经费和预算安排公用经费总额、“三公经费”的实际支出数和预算安排支出均相等，根据《惠安县财政局关于下达</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年度部门预算的批复》（惠财预指〔</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010</w:t>
      </w:r>
      <w:r>
        <w:rPr>
          <w:rFonts w:hint="eastAsia" w:ascii="仿宋" w:hAnsi="仿宋" w:eastAsia="仿宋" w:cs="仿宋"/>
          <w:color w:val="333333"/>
          <w:sz w:val="28"/>
          <w:szCs w:val="28"/>
          <w:shd w:val="clear" w:color="auto" w:fill="FFFFFF"/>
        </w:rPr>
        <w:t>号），本年度无政府采购预算，根据相关财务资料显示本年度执行政府采购个数为</w:t>
      </w:r>
      <w:r>
        <w:rPr>
          <w:rFonts w:hint="default" w:ascii="Times New Roman" w:hAnsi="Times New Roman" w:eastAsia="仿宋" w:cs="Times New Roman"/>
          <w:color w:val="333333"/>
          <w:sz w:val="28"/>
          <w:szCs w:val="28"/>
          <w:shd w:val="clear" w:color="auto" w:fill="FFFFFF"/>
        </w:rPr>
        <w:t>0</w:t>
      </w:r>
      <w:r>
        <w:rPr>
          <w:rFonts w:hint="eastAsia" w:ascii="仿宋" w:hAnsi="仿宋" w:eastAsia="仿宋" w:cs="仿宋"/>
          <w:color w:val="333333"/>
          <w:sz w:val="28"/>
          <w:szCs w:val="28"/>
          <w:shd w:val="clear" w:color="auto" w:fill="FFFFFF"/>
        </w:rPr>
        <w:t>个。因此，公用经费控制率、“三公经费”控制率、政府采购执行率均为</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w:t>
      </w:r>
    </w:p>
    <w:p>
      <w:pPr>
        <w:pStyle w:val="1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预算管理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hd w:val="clear" w:color="auto" w:fill="FFFFFF"/>
        </w:rPr>
      </w:pPr>
      <w:r>
        <w:rPr>
          <w:rFonts w:hint="eastAsia" w:ascii="仿宋" w:hAnsi="仿宋" w:eastAsia="仿宋" w:cs="仿宋"/>
          <w:color w:val="333333"/>
          <w:sz w:val="28"/>
          <w:szCs w:val="28"/>
          <w:shd w:val="clear" w:color="auto" w:fill="FFFFFF"/>
        </w:rPr>
        <w:t>“预算管理”分解为“管理制度健全性”、“资金使用合规性”、“预决算信息公开性”和“基础信息完善性”</w:t>
      </w:r>
      <w:r>
        <w:rPr>
          <w:rFonts w:hint="default" w:ascii="Times New Roman" w:hAnsi="Times New Roman" w:eastAsia="仿宋" w:cs="Times New Roman"/>
          <w:color w:val="333333"/>
          <w:sz w:val="28"/>
          <w:szCs w:val="28"/>
          <w:shd w:val="clear" w:color="auto" w:fill="FFFFFF"/>
        </w:rPr>
        <w:t>4</w:t>
      </w:r>
      <w:r>
        <w:rPr>
          <w:rFonts w:hint="eastAsia" w:ascii="仿宋" w:hAnsi="仿宋" w:eastAsia="仿宋" w:cs="仿宋"/>
          <w:color w:val="333333"/>
          <w:sz w:val="28"/>
          <w:szCs w:val="28"/>
          <w:shd w:val="clear" w:color="auto" w:fill="FFFFFF"/>
        </w:rPr>
        <w:t>个三级指标。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8"/>
          <w:szCs w:val="28"/>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5</w:t>
      </w:r>
      <w:r>
        <w:rPr>
          <w:rFonts w:hint="eastAsia" w:ascii="仿宋" w:hAnsi="仿宋" w:eastAsia="仿宋" w:cs="仿宋"/>
          <w:b/>
          <w:bCs/>
          <w:color w:val="333333"/>
          <w:sz w:val="24"/>
          <w:szCs w:val="24"/>
          <w:shd w:val="clear" w:color="auto" w:fill="FFFFFF"/>
        </w:rPr>
        <w:t xml:space="preserve"> 预算管理的得分情况表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315"/>
        <w:gridCol w:w="1140"/>
        <w:gridCol w:w="1104"/>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一级指标</w:t>
            </w:r>
          </w:p>
        </w:tc>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二级指标</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三级指标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分值</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过程</w:t>
            </w:r>
          </w:p>
        </w:tc>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预算管理</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管理制度健全性</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资金使用合规性</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预决算信息公开性</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基础信息完善性</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①</w:t>
      </w:r>
      <w:r>
        <w:rPr>
          <w:rFonts w:hint="eastAsia" w:ascii="仿宋" w:hAnsi="仿宋" w:eastAsia="仿宋" w:cs="仿宋"/>
          <w:color w:val="333333"/>
          <w:sz w:val="28"/>
          <w:szCs w:val="28"/>
          <w:shd w:val="clear" w:color="auto" w:fill="FFFFFF"/>
        </w:rPr>
        <w:t>管理制度健全性</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惠安县统计局“管理制度健全性”指标得分为</w:t>
      </w:r>
      <w:r>
        <w:rPr>
          <w:rFonts w:hint="default" w:ascii="Times New Roman" w:hAnsi="Times New Roman" w:eastAsia="仿宋" w:cs="Times New Roman"/>
          <w:color w:val="333333"/>
          <w:sz w:val="28"/>
          <w:szCs w:val="28"/>
          <w:shd w:val="clear" w:color="auto" w:fill="FFFFFF"/>
          <w:lang w:bidi="ar"/>
        </w:rPr>
        <w:t>2</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惠安县统计局为进一步加强财务管理，规范财务行为，提高资金使用效益，修订完善了《惠安县统计局财务管理制度》，文件根据《预算法》、《会计法》、《行政单位财务规则》等有关法律法规的规定而修订，对预算、收入、支出、固定资产、办公费、支付印章、政府采购、报销凭证和会计档案管理等制度进行了相应的规定，管理制度健全完整。</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②资金使用合规性</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惠安县统计局“资金使用合规性”指标得分为</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根据惠安县统计局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专项资金使用情况来看，统计普查专项资金均用于开展普查和统计调查工作，包括专项统计业务、专项普查活动、统计抽样调查和其他统计信息事务支出等。专项资金的申报核定、拨付和使用都有完整的手续规定，管理使用上严格按照财政局专项资金使用规定，切实做到专人负责、专项管理、专款专用，确保专项经费的使用效益和安全，无截留、挪用、擅自扩大或缩小资金使用范围的行为，各专项资金按规定报账，严格管理，会计核算真实规范，符合《统计部门周期性普查和大型调查经费开支规定的通知》（国统〔</w:t>
      </w:r>
      <w:r>
        <w:rPr>
          <w:rFonts w:hint="default" w:ascii="Times New Roman" w:hAnsi="Times New Roman" w:eastAsia="仿宋" w:cs="Times New Roman"/>
          <w:color w:val="333333"/>
          <w:sz w:val="28"/>
          <w:szCs w:val="28"/>
          <w:shd w:val="clear" w:color="auto" w:fill="FFFFFF"/>
        </w:rPr>
        <w:t>2003</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74</w:t>
      </w:r>
      <w:r>
        <w:rPr>
          <w:rFonts w:hint="eastAsia" w:ascii="仿宋" w:hAnsi="仿宋" w:eastAsia="仿宋" w:cs="仿宋"/>
          <w:color w:val="333333"/>
          <w:sz w:val="28"/>
          <w:szCs w:val="28"/>
          <w:shd w:val="clear" w:color="auto" w:fill="FFFFFF"/>
        </w:rPr>
        <w:t>号）、《惠安县财政专项资金管理暂行规定》（惠政文〔</w:t>
      </w:r>
      <w:r>
        <w:rPr>
          <w:rFonts w:hint="default" w:ascii="Times New Roman" w:hAnsi="Times New Roman" w:eastAsia="仿宋" w:cs="Times New Roman"/>
          <w:color w:val="333333"/>
          <w:sz w:val="28"/>
          <w:szCs w:val="28"/>
          <w:shd w:val="clear" w:color="auto" w:fill="FFFFFF"/>
        </w:rPr>
        <w:t>2014</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57</w:t>
      </w:r>
      <w:r>
        <w:rPr>
          <w:rFonts w:hint="eastAsia" w:ascii="仿宋" w:hAnsi="仿宋" w:eastAsia="仿宋" w:cs="仿宋"/>
          <w:color w:val="333333"/>
          <w:sz w:val="28"/>
          <w:szCs w:val="28"/>
          <w:shd w:val="clear" w:color="auto" w:fill="FFFFFF"/>
        </w:rPr>
        <w:t>号）和《惠安县统计局专项资金管理暂行办法》（惠统〔</w:t>
      </w:r>
      <w:r>
        <w:rPr>
          <w:rFonts w:hint="default" w:ascii="Times New Roman" w:hAnsi="Times New Roman" w:eastAsia="仿宋" w:cs="Times New Roman"/>
          <w:color w:val="333333"/>
          <w:sz w:val="28"/>
          <w:szCs w:val="28"/>
          <w:shd w:val="clear" w:color="auto" w:fill="FFFFFF"/>
        </w:rPr>
        <w:t>2020</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7</w:t>
      </w:r>
      <w:r>
        <w:rPr>
          <w:rFonts w:hint="eastAsia" w:ascii="仿宋" w:hAnsi="仿宋" w:eastAsia="仿宋" w:cs="仿宋"/>
          <w:color w:val="333333"/>
          <w:sz w:val="28"/>
          <w:szCs w:val="28"/>
          <w:shd w:val="clear" w:color="auto" w:fill="FFFFFF"/>
        </w:rPr>
        <w:t>号）等文件的相关规定。</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③预决算信息公开性</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rPr>
        <w:t>惠安县统计局按要求通过官方网站公开了部门预算、决算内容及绩效信息，预算公开透明程度高。来自上级统计局和本级政府财政部门批复的部门预算、决算及报表，在批复后相应时间内通过部门门户网站、政府信息公开网等便于社会公众知晓的政务信息公开渠道向社会公开。</w:t>
      </w:r>
      <w:r>
        <w:rPr>
          <w:rFonts w:hint="eastAsia" w:ascii="仿宋" w:hAnsi="仿宋" w:eastAsia="仿宋" w:cs="仿宋"/>
          <w:color w:val="333333"/>
          <w:sz w:val="28"/>
          <w:szCs w:val="28"/>
          <w:shd w:val="clear" w:color="auto" w:fill="FFFFFF"/>
          <w:lang w:bidi="ar"/>
        </w:rPr>
        <w:t>“预决算信息公开性”指标得分为</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④基础信息完整性</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根据惠安县统计局的工作制度汇编、财务管理制度以及惠安县统计局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财务报告，惠安县统计局的财务管理制度健全，提供的基础数据信息和会计信息资料真实、准确、完整。基础数据统一由会计核算进行专业核算，相关会计信息资料统一由专人保管，基本达到了对预算管理工作的支撑作用。因此“基础信息完整性”指标得分为</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资产管理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hd w:val="clear" w:color="auto" w:fill="FFFFFF"/>
        </w:rPr>
      </w:pPr>
      <w:r>
        <w:rPr>
          <w:rFonts w:hint="eastAsia" w:ascii="仿宋" w:hAnsi="仿宋" w:eastAsia="仿宋" w:cs="仿宋"/>
          <w:color w:val="333333"/>
          <w:sz w:val="28"/>
          <w:szCs w:val="28"/>
          <w:shd w:val="clear" w:color="auto" w:fill="FFFFFF"/>
        </w:rPr>
        <w:t>资产管理方面主要衡量资产管理成效，指标分解为“管理制度健全性”、“资产管理安全性”和“固定资产利用率”</w:t>
      </w:r>
      <w:r>
        <w:rPr>
          <w:rFonts w:hint="default" w:ascii="Times New Roman" w:hAnsi="Times New Roman" w:eastAsia="仿宋" w:cs="Times New Roman"/>
          <w:color w:val="333333"/>
          <w:sz w:val="28"/>
          <w:szCs w:val="28"/>
          <w:shd w:val="clear" w:color="auto" w:fill="FFFFFF"/>
        </w:rPr>
        <w:t>3</w:t>
      </w:r>
      <w:r>
        <w:rPr>
          <w:rFonts w:hint="eastAsia" w:ascii="仿宋" w:hAnsi="仿宋" w:eastAsia="仿宋" w:cs="仿宋"/>
          <w:color w:val="333333"/>
          <w:sz w:val="28"/>
          <w:szCs w:val="28"/>
          <w:shd w:val="clear" w:color="auto" w:fill="FFFFFF"/>
        </w:rPr>
        <w:t>个三级指标。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6</w:t>
      </w:r>
      <w:r>
        <w:rPr>
          <w:rFonts w:hint="eastAsia" w:ascii="仿宋" w:hAnsi="仿宋" w:eastAsia="仿宋" w:cs="仿宋"/>
          <w:b/>
          <w:bCs/>
          <w:color w:val="333333"/>
          <w:sz w:val="24"/>
          <w:szCs w:val="24"/>
          <w:shd w:val="clear" w:color="auto" w:fill="FFFFFF"/>
        </w:rPr>
        <w:t xml:space="preserve"> 资产管理的得分情况表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315"/>
        <w:gridCol w:w="1140"/>
        <w:gridCol w:w="1104"/>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一级指标</w:t>
            </w:r>
          </w:p>
        </w:tc>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二级指标</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三级指标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分值</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过程</w:t>
            </w:r>
          </w:p>
        </w:tc>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资产管理</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管理制度健全性</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资产管理安全性</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固定资产利用率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惠安县统计局重视加强资产管理，资产管理科学规范，资产使用效益高。“管理制度健全性”得分</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分，“资产管理安全性”得分</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分，“固定资产利用率”得分</w:t>
      </w:r>
      <w:r>
        <w:rPr>
          <w:rFonts w:hint="default" w:ascii="Times New Roman" w:hAnsi="Times New Roman" w:eastAsia="仿宋" w:cs="Times New Roman"/>
          <w:color w:val="333333"/>
          <w:sz w:val="28"/>
          <w:szCs w:val="28"/>
          <w:shd w:val="clear" w:color="auto" w:fill="FFFFFF"/>
        </w:rPr>
        <w:t>1</w:t>
      </w:r>
      <w:r>
        <w:rPr>
          <w:rFonts w:hint="eastAsia" w:ascii="仿宋" w:hAnsi="仿宋" w:eastAsia="仿宋" w:cs="仿宋"/>
          <w:color w:val="333333"/>
          <w:sz w:val="28"/>
          <w:szCs w:val="28"/>
          <w:shd w:val="clear" w:color="auto" w:fill="FFFFFF"/>
        </w:rPr>
        <w:t>分，得分率平均为</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在管理制度健全性和资产管理安全性方面，惠安县统计局制定《惠安县统计局财务管理制度》、资产配置管理实施细则等制度，建立健全并有效实施资产管理制度和内部控制制度。严格按照配置标准和配置程序规范资产配置，资产保存完整。加强干部职工对固定资产管理的责任意识，规范资产使用。严格按照政府会计准则制度加强资产核算，及时开展资产清查与盘点工作，确保账实相符、账账相符。按照规定做好固定资产处置工作，严格执行报批程序，公开透明、规范处置。因此，“管理制度健全性”和“资产管理安全性”指标得分均为</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分，得分率</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在固定资产利用率方面，经过查看惠安县统计局固定资产的使用情况，得出惠安县统计局</w:t>
      </w:r>
      <w:r>
        <w:rPr>
          <w:rFonts w:hint="default" w:ascii="Times New Roman" w:hAnsi="Times New Roman" w:eastAsia="仿宋" w:cs="Times New Roman"/>
          <w:color w:val="333333"/>
          <w:sz w:val="28"/>
          <w:szCs w:val="28"/>
          <w:shd w:val="clear" w:color="auto" w:fill="FFFFFF"/>
        </w:rPr>
        <w:t>2022</w:t>
      </w:r>
      <w:r>
        <w:rPr>
          <w:rFonts w:hint="eastAsia" w:ascii="仿宋" w:hAnsi="仿宋" w:eastAsia="仿宋" w:cs="仿宋"/>
          <w:color w:val="333333"/>
          <w:sz w:val="28"/>
          <w:szCs w:val="28"/>
          <w:shd w:val="clear" w:color="auto" w:fill="FFFFFF"/>
        </w:rPr>
        <w:t>年度的固定资产利用率为</w:t>
      </w:r>
      <w:r>
        <w:rPr>
          <w:rFonts w:hint="default" w:ascii="Times New Roman" w:hAnsi="Times New Roman" w:eastAsia="仿宋" w:cs="Times New Roman"/>
          <w:color w:val="333333"/>
          <w:sz w:val="28"/>
          <w:szCs w:val="28"/>
          <w:shd w:val="clear" w:color="auto" w:fill="FFFFFF"/>
        </w:rPr>
        <w:t>100</w:t>
      </w:r>
      <w:r>
        <w:rPr>
          <w:rFonts w:hint="eastAsia" w:ascii="仿宋" w:hAnsi="仿宋" w:eastAsia="仿宋" w:cs="仿宋"/>
          <w:color w:val="333333"/>
          <w:sz w:val="28"/>
          <w:szCs w:val="28"/>
          <w:shd w:val="clear" w:color="auto" w:fill="FFFFFF"/>
        </w:rPr>
        <w:t>%。反映固定资产得到了有效利用。</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3</w:t>
      </w:r>
      <w:r>
        <w:rPr>
          <w:rFonts w:hint="eastAsia" w:ascii="仿宋" w:hAnsi="仿宋" w:eastAsia="仿宋" w:cs="仿宋"/>
          <w:b w:val="0"/>
          <w:bCs w:val="0"/>
          <w:color w:val="333333"/>
          <w:sz w:val="28"/>
          <w:szCs w:val="28"/>
          <w:shd w:val="clear" w:color="auto" w:fill="FFFFFF"/>
        </w:rPr>
        <w:t>.产出（</w:t>
      </w:r>
      <w:r>
        <w:rPr>
          <w:rFonts w:hint="default" w:ascii="Times New Roman" w:hAnsi="Times New Roman" w:eastAsia="仿宋" w:cs="Times New Roman"/>
          <w:b w:val="0"/>
          <w:bCs w:val="0"/>
          <w:color w:val="333333"/>
          <w:sz w:val="28"/>
          <w:szCs w:val="28"/>
          <w:shd w:val="clear" w:color="auto" w:fill="FFFFFF"/>
        </w:rPr>
        <w:t>30</w:t>
      </w:r>
      <w:r>
        <w:rPr>
          <w:rFonts w:hint="eastAsia" w:ascii="仿宋" w:hAnsi="仿宋" w:eastAsia="仿宋" w:cs="仿宋"/>
          <w:b w:val="0"/>
          <w:bCs w:val="0"/>
          <w:color w:val="333333"/>
          <w:sz w:val="28"/>
          <w:szCs w:val="28"/>
          <w:shd w:val="clear" w:color="auto" w:fill="FFFFFF"/>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产出主要从职责履行方面对惠安县统计局的预算产出情况展开综合评价。</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“职责履行”分解为“实际完成率”、“完成及时率”、“质量达标率”和“重点工作办结率”</w:t>
      </w:r>
      <w:r>
        <w:rPr>
          <w:rFonts w:hint="default" w:ascii="Times New Roman" w:hAnsi="Times New Roman" w:eastAsia="仿宋" w:cs="Times New Roman"/>
          <w:color w:val="333333"/>
          <w:sz w:val="28"/>
          <w:szCs w:val="28"/>
          <w:shd w:val="clear" w:color="auto" w:fill="FFFFFF"/>
        </w:rPr>
        <w:t>4</w:t>
      </w:r>
      <w:r>
        <w:rPr>
          <w:rFonts w:hint="eastAsia" w:ascii="仿宋" w:hAnsi="仿宋" w:eastAsia="仿宋" w:cs="仿宋"/>
          <w:color w:val="333333"/>
          <w:sz w:val="28"/>
          <w:szCs w:val="28"/>
          <w:shd w:val="clear" w:color="auto" w:fill="FFFFFF"/>
        </w:rPr>
        <w:t>个三级指标。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4"/>
          <w:szCs w:val="24"/>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7</w:t>
      </w:r>
      <w:r>
        <w:rPr>
          <w:rFonts w:hint="eastAsia" w:ascii="仿宋" w:hAnsi="仿宋" w:eastAsia="仿宋" w:cs="仿宋"/>
          <w:b/>
          <w:bCs/>
          <w:color w:val="333333"/>
          <w:sz w:val="24"/>
          <w:szCs w:val="24"/>
          <w:shd w:val="clear" w:color="auto" w:fill="FFFFFF"/>
        </w:rPr>
        <w:t xml:space="preserve"> 职责履行的得分情况表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315"/>
        <w:gridCol w:w="1140"/>
        <w:gridCol w:w="1104"/>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一级指标</w:t>
            </w:r>
          </w:p>
        </w:tc>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二级指标</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三级指标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分值</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产出</w:t>
            </w:r>
          </w:p>
        </w:tc>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职责履行</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实际完成率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8</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8</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完成及时率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质量达标率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8</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8</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重点工作办结率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numPr>
          <w:ilvl w:val="0"/>
          <w:numId w:val="3"/>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实际完成率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惠安县统计局“实际完成率”指标得分为</w:t>
      </w:r>
      <w:r>
        <w:rPr>
          <w:rFonts w:hint="default" w:ascii="Times New Roman" w:hAnsi="Times New Roman" w:eastAsia="仿宋" w:cs="Times New Roman"/>
          <w:color w:val="333333"/>
          <w:sz w:val="28"/>
          <w:szCs w:val="28"/>
          <w:shd w:val="clear" w:color="auto" w:fill="FFFFFF"/>
          <w:lang w:bidi="ar"/>
        </w:rPr>
        <w:t>8</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“实际完成率”指标评价部门履行职责而实际完成工作数与计划工作数的比率。根据惠安县统计局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年度的项目支出绩效申报目标表，</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年度共有</w:t>
      </w:r>
      <w:r>
        <w:rPr>
          <w:rFonts w:hint="default" w:ascii="Times New Roman" w:hAnsi="Times New Roman" w:eastAsia="仿宋" w:cs="Times New Roman"/>
          <w:color w:val="333333"/>
          <w:sz w:val="28"/>
          <w:szCs w:val="28"/>
          <w:shd w:val="clear" w:color="auto" w:fill="FFFFFF"/>
          <w:lang w:bidi="ar"/>
        </w:rPr>
        <w:t>7</w:t>
      </w:r>
      <w:r>
        <w:rPr>
          <w:rFonts w:hint="eastAsia" w:ascii="仿宋" w:hAnsi="仿宋" w:eastAsia="仿宋" w:cs="仿宋"/>
          <w:color w:val="333333"/>
          <w:sz w:val="28"/>
          <w:szCs w:val="28"/>
          <w:shd w:val="clear" w:color="auto" w:fill="FFFFFF"/>
          <w:lang w:bidi="ar"/>
        </w:rPr>
        <w:t>个预算项目经费，根据项目支出决算表，当年已完成的项目经费有</w:t>
      </w:r>
      <w:r>
        <w:rPr>
          <w:rFonts w:hint="default" w:ascii="Times New Roman" w:hAnsi="Times New Roman" w:eastAsia="仿宋" w:cs="Times New Roman"/>
          <w:color w:val="333333"/>
          <w:sz w:val="28"/>
          <w:szCs w:val="28"/>
          <w:shd w:val="clear" w:color="auto" w:fill="FFFFFF"/>
          <w:lang w:bidi="ar"/>
        </w:rPr>
        <w:t>7</w:t>
      </w:r>
      <w:r>
        <w:rPr>
          <w:rFonts w:hint="eastAsia" w:ascii="仿宋" w:hAnsi="仿宋" w:eastAsia="仿宋" w:cs="仿宋"/>
          <w:color w:val="333333"/>
          <w:sz w:val="28"/>
          <w:szCs w:val="28"/>
          <w:shd w:val="clear" w:color="auto" w:fill="FFFFFF"/>
          <w:lang w:bidi="ar"/>
        </w:rPr>
        <w:t>个，因此，实际完成率为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%，该指标得分为</w:t>
      </w:r>
      <w:r>
        <w:rPr>
          <w:rFonts w:hint="default" w:ascii="Times New Roman" w:hAnsi="Times New Roman" w:eastAsia="仿宋" w:cs="Times New Roman"/>
          <w:color w:val="333333"/>
          <w:sz w:val="28"/>
          <w:szCs w:val="28"/>
          <w:shd w:val="clear" w:color="auto" w:fill="FFFFFF"/>
          <w:lang w:bidi="ar"/>
        </w:rPr>
        <w:t>8</w:t>
      </w:r>
      <w:r>
        <w:rPr>
          <w:rFonts w:hint="eastAsia" w:ascii="仿宋" w:hAnsi="仿宋" w:eastAsia="仿宋" w:cs="仿宋"/>
          <w:color w:val="333333"/>
          <w:sz w:val="28"/>
          <w:szCs w:val="28"/>
          <w:shd w:val="clear" w:color="auto" w:fill="FFFFFF"/>
          <w:lang w:bidi="ar"/>
        </w:rPr>
        <w:t>分。</w:t>
      </w:r>
    </w:p>
    <w:p>
      <w:pPr>
        <w:pStyle w:val="10"/>
        <w:pageBreakBefore w:val="0"/>
        <w:widowControl/>
        <w:numPr>
          <w:ilvl w:val="0"/>
          <w:numId w:val="3"/>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完成及时率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完成及时率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4</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w:t>
      </w:r>
      <w:r>
        <w:rPr>
          <w:rFonts w:hint="eastAsia" w:ascii="仿宋" w:hAnsi="仿宋" w:eastAsia="仿宋" w:cs="仿宋"/>
          <w:color w:val="333333"/>
          <w:sz w:val="28"/>
          <w:szCs w:val="28"/>
          <w:shd w:val="clear" w:color="auto" w:fill="FFFFFF"/>
        </w:rPr>
        <w:t>完成及时率</w:t>
      </w:r>
      <w:r>
        <w:rPr>
          <w:rFonts w:hint="eastAsia" w:ascii="仿宋" w:hAnsi="仿宋" w:eastAsia="仿宋" w:cs="仿宋"/>
          <w:color w:val="333333"/>
          <w:sz w:val="28"/>
          <w:szCs w:val="28"/>
          <w:shd w:val="clear" w:color="auto" w:fill="FFFFFF"/>
          <w:lang w:bidi="ar"/>
        </w:rPr>
        <w:t>”指标评价部门在规定时限内及时完成的实际工作数与计划工作数的比率。惠安县统计局每个季度都在规定时限内完成了相应的工作数，该指标得分为</w:t>
      </w:r>
      <w:r>
        <w:rPr>
          <w:rFonts w:hint="default" w:ascii="Times New Roman" w:hAnsi="Times New Roman" w:eastAsia="仿宋" w:cs="Times New Roman"/>
          <w:color w:val="333333"/>
          <w:sz w:val="28"/>
          <w:szCs w:val="28"/>
          <w:shd w:val="clear" w:color="auto" w:fill="FFFFFF"/>
          <w:lang w:bidi="ar"/>
        </w:rPr>
        <w:t>4</w:t>
      </w:r>
      <w:r>
        <w:rPr>
          <w:rFonts w:hint="eastAsia" w:ascii="仿宋" w:hAnsi="仿宋" w:eastAsia="仿宋" w:cs="仿宋"/>
          <w:color w:val="333333"/>
          <w:sz w:val="28"/>
          <w:szCs w:val="28"/>
          <w:shd w:val="clear" w:color="auto" w:fill="FFFFFF"/>
          <w:lang w:bidi="ar"/>
        </w:rPr>
        <w:t>分。</w:t>
      </w:r>
    </w:p>
    <w:p>
      <w:pPr>
        <w:pStyle w:val="10"/>
        <w:pageBreakBefore w:val="0"/>
        <w:widowControl/>
        <w:numPr>
          <w:ilvl w:val="0"/>
          <w:numId w:val="3"/>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质量达标率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质量达标率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8</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hd w:val="clear" w:color="auto" w:fill="FFFFFF"/>
          <w:lang w:bidi="ar"/>
        </w:rPr>
      </w:pPr>
      <w:r>
        <w:rPr>
          <w:rFonts w:hint="eastAsia" w:ascii="仿宋" w:hAnsi="仿宋" w:eastAsia="仿宋" w:cs="仿宋"/>
          <w:color w:val="333333"/>
          <w:sz w:val="28"/>
          <w:szCs w:val="28"/>
          <w:shd w:val="clear" w:color="auto" w:fill="FFFFFF"/>
          <w:lang w:bidi="ar"/>
        </w:rPr>
        <w:t>“</w:t>
      </w:r>
      <w:r>
        <w:rPr>
          <w:rFonts w:hint="eastAsia" w:ascii="仿宋" w:hAnsi="仿宋" w:eastAsia="仿宋" w:cs="仿宋"/>
          <w:color w:val="333333"/>
          <w:sz w:val="28"/>
          <w:szCs w:val="28"/>
          <w:shd w:val="clear" w:color="auto" w:fill="FFFFFF"/>
        </w:rPr>
        <w:t>质量达标率</w:t>
      </w:r>
      <w:r>
        <w:rPr>
          <w:rFonts w:hint="eastAsia" w:ascii="仿宋" w:hAnsi="仿宋" w:eastAsia="仿宋" w:cs="仿宋"/>
          <w:color w:val="333333"/>
          <w:sz w:val="28"/>
          <w:szCs w:val="28"/>
          <w:shd w:val="clear" w:color="auto" w:fill="FFFFFF"/>
          <w:lang w:bidi="ar"/>
        </w:rPr>
        <w:t>”指标评价达到质量标准（绩效标准值）的实际工作数与计划工作数的比率。根据惠安县统计局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年度的项目绩效自评报告，第七次全国人口普查项目的津补贴及时发放率为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%；全国百强县申报工作经费项目的指标合格率为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%；统计调查工作经费项目的调查任务完成率为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%；人口抽样调查经费项目的上报进度完成率为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%；全县绩效评估公众评议调查经费项目的无效样本率为</w:t>
      </w:r>
      <w:r>
        <w:rPr>
          <w:rFonts w:hint="default" w:ascii="Times New Roman" w:hAnsi="Times New Roman" w:eastAsia="仿宋" w:cs="Times New Roman"/>
          <w:color w:val="333333"/>
          <w:sz w:val="28"/>
          <w:szCs w:val="28"/>
          <w:shd w:val="clear" w:color="auto" w:fill="FFFFFF"/>
          <w:lang w:bidi="ar"/>
        </w:rPr>
        <w:t>0</w:t>
      </w:r>
      <w:r>
        <w:rPr>
          <w:rFonts w:hint="eastAsia" w:ascii="仿宋" w:hAnsi="仿宋" w:eastAsia="仿宋" w:cs="仿宋"/>
          <w:color w:val="333333"/>
          <w:sz w:val="28"/>
          <w:szCs w:val="28"/>
          <w:shd w:val="clear" w:color="auto" w:fill="FFFFFF"/>
          <w:lang w:bidi="ar"/>
        </w:rPr>
        <w:t>；统计月报及《统计年鉴》编印经费项目的验收通过率为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%；统计规范化建设工作经费项目的任务完成率为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%，具体如表</w:t>
      </w:r>
      <w:r>
        <w:rPr>
          <w:rFonts w:hint="eastAsia" w:ascii="Times New Roman" w:hAnsi="Times New Roman" w:eastAsia="仿宋" w:cs="Times New Roman"/>
          <w:color w:val="333333"/>
          <w:sz w:val="28"/>
          <w:szCs w:val="28"/>
          <w:shd w:val="clear" w:color="auto" w:fill="FFFFFF"/>
          <w:lang w:val="en-US" w:eastAsia="zh-CN" w:bidi="ar"/>
        </w:rPr>
        <w:t>8</w:t>
      </w:r>
      <w:r>
        <w:rPr>
          <w:rFonts w:hint="eastAsia" w:ascii="仿宋" w:hAnsi="仿宋" w:eastAsia="仿宋" w:cs="仿宋"/>
          <w:color w:val="333333"/>
          <w:sz w:val="28"/>
          <w:szCs w:val="28"/>
          <w:shd w:val="clear" w:color="auto" w:fill="FFFFFF"/>
          <w:lang w:bidi="ar"/>
        </w:rPr>
        <w:t>，各项目的质量指标均达到绩效标准值。因此，“质量达标率”指标得分为</w:t>
      </w:r>
      <w:r>
        <w:rPr>
          <w:rFonts w:hint="default" w:ascii="Times New Roman" w:hAnsi="Times New Roman" w:eastAsia="仿宋" w:cs="Times New Roman"/>
          <w:color w:val="333333"/>
          <w:sz w:val="28"/>
          <w:szCs w:val="28"/>
          <w:shd w:val="clear" w:color="auto" w:fill="FFFFFF"/>
          <w:lang w:bidi="ar"/>
        </w:rPr>
        <w:t>8</w:t>
      </w:r>
      <w:r>
        <w:rPr>
          <w:rFonts w:hint="eastAsia" w:ascii="仿宋" w:hAnsi="仿宋" w:eastAsia="仿宋" w:cs="仿宋"/>
          <w:color w:val="333333"/>
          <w:sz w:val="28"/>
          <w:szCs w:val="28"/>
          <w:shd w:val="clear" w:color="auto" w:fill="FFFFFF"/>
          <w:lang w:bidi="ar"/>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4"/>
          <w:szCs w:val="24"/>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8</w:t>
      </w:r>
      <w:r>
        <w:rPr>
          <w:rFonts w:hint="eastAsia" w:ascii="仿宋" w:hAnsi="仿宋" w:eastAsia="仿宋" w:cs="仿宋"/>
          <w:b/>
          <w:bCs/>
          <w:color w:val="333333"/>
          <w:sz w:val="24"/>
          <w:szCs w:val="24"/>
          <w:shd w:val="clear" w:color="auto" w:fill="FFFFFF"/>
        </w:rPr>
        <w:t xml:space="preserve"> 各项目</w:t>
      </w:r>
      <w:r>
        <w:rPr>
          <w:rFonts w:hint="default" w:ascii="Times New Roman" w:hAnsi="Times New Roman" w:eastAsia="仿宋" w:cs="Times New Roman"/>
          <w:b/>
          <w:bCs/>
          <w:color w:val="333333"/>
          <w:sz w:val="24"/>
          <w:szCs w:val="24"/>
          <w:shd w:val="clear" w:color="auto" w:fill="FFFFFF"/>
        </w:rPr>
        <w:t>2022</w:t>
      </w:r>
      <w:r>
        <w:rPr>
          <w:rFonts w:hint="eastAsia" w:ascii="仿宋" w:hAnsi="仿宋" w:eastAsia="仿宋" w:cs="仿宋"/>
          <w:b/>
          <w:bCs/>
          <w:color w:val="333333"/>
          <w:sz w:val="24"/>
          <w:szCs w:val="24"/>
          <w:shd w:val="clear" w:color="auto" w:fill="FFFFFF"/>
        </w:rPr>
        <w:t>年质量指标目标值与完成值情况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066"/>
        <w:gridCol w:w="1044"/>
        <w:gridCol w:w="1020"/>
        <w:gridCol w:w="1020"/>
        <w:gridCol w:w="1092"/>
        <w:gridCol w:w="1104"/>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项目</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第七次全国人口普查</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全国百强县申报工作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统计调查工作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人口抽样调查</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全县绩效评估公众评议调查</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统计月报及《统计年鉴》编印</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统计规范化建设工作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目标值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95</w:t>
            </w:r>
            <w:r>
              <w:rPr>
                <w:rFonts w:hint="eastAsia" w:ascii="仿宋" w:hAnsi="仿宋" w:eastAsia="仿宋" w:cs="仿宋"/>
                <w:color w:val="333333"/>
                <w:sz w:val="21"/>
                <w:szCs w:val="21"/>
                <w:shd w:val="clear" w:color="auto" w:fill="FFFFFF"/>
              </w:rPr>
              <w:t>%</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r>
              <w:rPr>
                <w:rFonts w:hint="eastAsia" w:ascii="仿宋" w:hAnsi="仿宋" w:eastAsia="仿宋" w:cs="仿宋"/>
                <w:color w:val="333333"/>
                <w:sz w:val="21"/>
                <w:szCs w:val="21"/>
                <w:shd w:val="clear" w:color="auto" w:fill="FFFFFF"/>
              </w:rPr>
              <w:t>%</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完成值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0</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numPr>
          <w:ilvl w:val="0"/>
          <w:numId w:val="3"/>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重点工作办结率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w:t>
      </w:r>
      <w:r>
        <w:rPr>
          <w:rFonts w:hint="eastAsia" w:ascii="仿宋" w:hAnsi="仿宋" w:eastAsia="仿宋" w:cs="仿宋"/>
          <w:color w:val="333333"/>
          <w:sz w:val="28"/>
          <w:szCs w:val="28"/>
          <w:shd w:val="clear" w:color="auto" w:fill="FFFFFF"/>
        </w:rPr>
        <w:t>重点工作办结率</w:t>
      </w:r>
      <w:r>
        <w:rPr>
          <w:rFonts w:hint="eastAsia" w:ascii="仿宋" w:hAnsi="仿宋" w:eastAsia="仿宋" w:cs="仿宋"/>
          <w:color w:val="333333"/>
          <w:sz w:val="28"/>
          <w:szCs w:val="28"/>
          <w:shd w:val="clear" w:color="auto" w:fill="FFFFFF"/>
          <w:lang w:bidi="ar"/>
        </w:rPr>
        <w:t>”指标得分为</w:t>
      </w:r>
      <w:r>
        <w:rPr>
          <w:rFonts w:hint="default" w:ascii="Times New Roman" w:hAnsi="Times New Roman" w:eastAsia="仿宋" w:cs="Times New Roman"/>
          <w:color w:val="333333"/>
          <w:sz w:val="28"/>
          <w:szCs w:val="28"/>
          <w:shd w:val="clear" w:color="auto" w:fill="FFFFFF"/>
          <w:lang w:bidi="ar"/>
        </w:rPr>
        <w:t>10</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w:t>
      </w:r>
      <w:r>
        <w:rPr>
          <w:rFonts w:hint="eastAsia" w:ascii="仿宋" w:hAnsi="仿宋" w:eastAsia="仿宋" w:cs="仿宋"/>
          <w:color w:val="333333"/>
          <w:sz w:val="28"/>
          <w:szCs w:val="28"/>
          <w:shd w:val="clear" w:color="auto" w:fill="FFFFFF"/>
        </w:rPr>
        <w:t>重点工作办结率</w:t>
      </w:r>
      <w:r>
        <w:rPr>
          <w:rFonts w:hint="eastAsia" w:ascii="仿宋" w:hAnsi="仿宋" w:eastAsia="仿宋" w:cs="仿宋"/>
          <w:color w:val="333333"/>
          <w:sz w:val="28"/>
          <w:szCs w:val="28"/>
          <w:shd w:val="clear" w:color="auto" w:fill="FFFFFF"/>
          <w:lang w:bidi="ar"/>
        </w:rPr>
        <w:t>”指标评价部门年度重点工作实际完成数与交办或下达数的比率，用以反映部门对重点工作的办理落实程度。惠安县统计局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年度重点工作主要集中在专项统计业务、专项普查活动、统计抽样调查和其他统计信息事务支出四个方面，并且根据</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年度的项目绩效自评报告，各项目均已完成目标工作量，达到省统计局、市统计局下达政策文件中的相关要求，重点工作办结率为</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4</w:t>
      </w:r>
      <w:r>
        <w:rPr>
          <w:rFonts w:hint="eastAsia" w:ascii="仿宋" w:hAnsi="仿宋" w:eastAsia="仿宋" w:cs="仿宋"/>
          <w:b w:val="0"/>
          <w:bCs w:val="0"/>
          <w:color w:val="333333"/>
          <w:sz w:val="28"/>
          <w:szCs w:val="28"/>
          <w:shd w:val="clear" w:color="auto" w:fill="FFFFFF"/>
        </w:rPr>
        <w:t>.效果（</w:t>
      </w:r>
      <w:r>
        <w:rPr>
          <w:rFonts w:hint="default" w:ascii="Times New Roman" w:hAnsi="Times New Roman" w:eastAsia="仿宋" w:cs="Times New Roman"/>
          <w:b w:val="0"/>
          <w:bCs w:val="0"/>
          <w:color w:val="333333"/>
          <w:sz w:val="28"/>
          <w:szCs w:val="28"/>
          <w:shd w:val="clear" w:color="auto" w:fill="FFFFFF"/>
        </w:rPr>
        <w:t>20</w:t>
      </w:r>
      <w:r>
        <w:rPr>
          <w:rFonts w:hint="eastAsia" w:ascii="仿宋" w:hAnsi="仿宋" w:eastAsia="仿宋" w:cs="仿宋"/>
          <w:b w:val="0"/>
          <w:bCs w:val="0"/>
          <w:color w:val="333333"/>
          <w:sz w:val="28"/>
          <w:szCs w:val="28"/>
          <w:shd w:val="clear" w:color="auto" w:fill="FFFFFF"/>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效果主要从履职效益方面对惠安县统计局的预算效果情况展开综合评价。</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hd w:val="clear" w:color="auto" w:fill="FFFFFF"/>
        </w:rPr>
      </w:pPr>
      <w:r>
        <w:rPr>
          <w:rFonts w:hint="eastAsia" w:ascii="仿宋" w:hAnsi="仿宋" w:eastAsia="仿宋" w:cs="仿宋"/>
          <w:color w:val="333333"/>
          <w:sz w:val="28"/>
          <w:szCs w:val="28"/>
          <w:shd w:val="clear" w:color="auto" w:fill="FFFFFF"/>
        </w:rPr>
        <w:t>“履职效益”分解为“经济效益”、“社会效益”、“生态效益”和“社会公众或服务对象满意度”</w:t>
      </w:r>
      <w:r>
        <w:rPr>
          <w:rFonts w:hint="default" w:ascii="Times New Roman" w:hAnsi="Times New Roman" w:eastAsia="仿宋" w:cs="Times New Roman"/>
          <w:color w:val="333333"/>
          <w:sz w:val="28"/>
          <w:szCs w:val="28"/>
          <w:shd w:val="clear" w:color="auto" w:fill="FFFFFF"/>
        </w:rPr>
        <w:t>4</w:t>
      </w:r>
      <w:r>
        <w:rPr>
          <w:rFonts w:hint="eastAsia" w:ascii="仿宋" w:hAnsi="仿宋" w:eastAsia="仿宋" w:cs="仿宋"/>
          <w:color w:val="333333"/>
          <w:sz w:val="28"/>
          <w:szCs w:val="28"/>
          <w:shd w:val="clear" w:color="auto" w:fill="FFFFFF"/>
        </w:rPr>
        <w:t>个三级指标。</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2"/>
          <w:szCs w:val="22"/>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9</w:t>
      </w:r>
      <w:r>
        <w:rPr>
          <w:rFonts w:hint="eastAsia" w:ascii="仿宋" w:hAnsi="仿宋" w:eastAsia="仿宋" w:cs="仿宋"/>
          <w:b/>
          <w:bCs/>
          <w:color w:val="333333"/>
          <w:sz w:val="24"/>
          <w:szCs w:val="24"/>
          <w:shd w:val="clear" w:color="auto" w:fill="FFFFFF"/>
        </w:rPr>
        <w:t xml:space="preserve"> 履职效益的得分情况表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315"/>
        <w:gridCol w:w="1140"/>
        <w:gridCol w:w="1104"/>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一级指标</w:t>
            </w:r>
          </w:p>
        </w:tc>
        <w:tc>
          <w:tcPr>
            <w:tcW w:w="14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二级指标</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三级指标</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分值</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效果</w:t>
            </w:r>
          </w:p>
        </w:tc>
        <w:tc>
          <w:tcPr>
            <w:tcW w:w="1420" w:type="dxa"/>
            <w:vMerge w:val="restart"/>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履职效益</w:t>
            </w: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经济效益</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社会效益</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生态效益</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1420" w:type="dxa"/>
            <w:vMerge w:val="continue"/>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p>
        </w:tc>
        <w:tc>
          <w:tcPr>
            <w:tcW w:w="2315"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社会公众或服务对象满意度</w:t>
            </w:r>
          </w:p>
        </w:tc>
        <w:tc>
          <w:tcPr>
            <w:tcW w:w="114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5</w:t>
            </w:r>
          </w:p>
        </w:tc>
        <w:tc>
          <w:tcPr>
            <w:tcW w:w="1123"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numPr>
          <w:ilvl w:val="0"/>
          <w:numId w:val="4"/>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经济效益</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惠安县统计局“经济效益”指标得分为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根据惠安县统计局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年度的项目绩效自评报告，第七次全国人口普查项目完成</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篇人普课题研究分析报告；全国百强县申报工作经费项目完成</w:t>
      </w:r>
      <w:r>
        <w:rPr>
          <w:rFonts w:hint="default" w:ascii="Times New Roman" w:hAnsi="Times New Roman" w:eastAsia="仿宋" w:cs="Times New Roman"/>
          <w:color w:val="333333"/>
          <w:sz w:val="28"/>
          <w:szCs w:val="28"/>
          <w:shd w:val="clear" w:color="auto" w:fill="FFFFFF"/>
          <w:lang w:bidi="ar"/>
        </w:rPr>
        <w:t>2</w:t>
      </w:r>
      <w:r>
        <w:rPr>
          <w:rFonts w:hint="eastAsia" w:ascii="仿宋" w:hAnsi="仿宋" w:eastAsia="仿宋" w:cs="仿宋"/>
          <w:color w:val="333333"/>
          <w:sz w:val="28"/>
          <w:szCs w:val="28"/>
          <w:shd w:val="clear" w:color="auto" w:fill="FFFFFF"/>
          <w:lang w:bidi="ar"/>
        </w:rPr>
        <w:t>个参评结果；统计调查工作经费项目完成</w:t>
      </w:r>
      <w:r>
        <w:rPr>
          <w:rFonts w:hint="default" w:ascii="Times New Roman" w:hAnsi="Times New Roman" w:eastAsia="仿宋" w:cs="Times New Roman"/>
          <w:color w:val="333333"/>
          <w:sz w:val="28"/>
          <w:szCs w:val="28"/>
          <w:shd w:val="clear" w:color="auto" w:fill="FFFFFF"/>
          <w:lang w:bidi="ar"/>
        </w:rPr>
        <w:t>4</w:t>
      </w:r>
      <w:r>
        <w:rPr>
          <w:rFonts w:hint="eastAsia" w:ascii="仿宋" w:hAnsi="仿宋" w:eastAsia="仿宋" w:cs="仿宋"/>
          <w:color w:val="333333"/>
          <w:sz w:val="28"/>
          <w:szCs w:val="28"/>
          <w:shd w:val="clear" w:color="auto" w:fill="FFFFFF"/>
          <w:lang w:bidi="ar"/>
        </w:rPr>
        <w:t>篇经济运行监测报告；统计月报及《统计年鉴》编印经费项目完成</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%数据资料开发与运用。而人口抽样调查经费项目、全县绩效评估公众评议调查经费项目和统计规范化建设工作经费项目未设置相应的经济效益指标，因此“经济效益”指标得分为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4"/>
          <w:szCs w:val="24"/>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10</w:t>
      </w:r>
      <w:r>
        <w:rPr>
          <w:rFonts w:hint="eastAsia" w:ascii="仿宋" w:hAnsi="仿宋" w:eastAsia="仿宋" w:cs="仿宋"/>
          <w:b/>
          <w:bCs/>
          <w:color w:val="333333"/>
          <w:sz w:val="24"/>
          <w:szCs w:val="24"/>
          <w:shd w:val="clear" w:color="auto" w:fill="FFFFFF"/>
        </w:rPr>
        <w:t xml:space="preserve"> 各项目</w:t>
      </w:r>
      <w:r>
        <w:rPr>
          <w:rFonts w:hint="default" w:ascii="Times New Roman" w:hAnsi="Times New Roman" w:eastAsia="仿宋" w:cs="Times New Roman"/>
          <w:b/>
          <w:bCs/>
          <w:color w:val="333333"/>
          <w:sz w:val="24"/>
          <w:szCs w:val="24"/>
          <w:shd w:val="clear" w:color="auto" w:fill="FFFFFF"/>
        </w:rPr>
        <w:t>2022</w:t>
      </w:r>
      <w:r>
        <w:rPr>
          <w:rFonts w:hint="eastAsia" w:ascii="仿宋" w:hAnsi="仿宋" w:eastAsia="仿宋" w:cs="仿宋"/>
          <w:b/>
          <w:bCs/>
          <w:color w:val="333333"/>
          <w:sz w:val="24"/>
          <w:szCs w:val="24"/>
          <w:shd w:val="clear" w:color="auto" w:fill="FFFFFF"/>
        </w:rPr>
        <w:t>年经济效益指标情况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066"/>
        <w:gridCol w:w="1044"/>
        <w:gridCol w:w="1020"/>
        <w:gridCol w:w="1020"/>
        <w:gridCol w:w="1092"/>
        <w:gridCol w:w="1104"/>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项目</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第七次全国人口普查</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全国百强县申报工作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统计调查工作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人口抽样调查</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全县绩效评估公众评议调查</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统计月报及《统计年鉴》编印</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统计规范化建设工作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目标值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完成值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4</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r>
    </w:tbl>
    <w:p>
      <w:pPr>
        <w:pStyle w:val="10"/>
        <w:pageBreakBefore w:val="0"/>
        <w:widowControl/>
        <w:numPr>
          <w:ilvl w:val="0"/>
          <w:numId w:val="4"/>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社会效益</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惠安县统计局“社会效益”指标得分为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hd w:val="clear" w:color="auto" w:fill="FFFFFF"/>
          <w:lang w:bidi="ar"/>
        </w:rPr>
      </w:pPr>
      <w:r>
        <w:rPr>
          <w:rFonts w:hint="eastAsia" w:ascii="仿宋" w:hAnsi="仿宋" w:eastAsia="仿宋" w:cs="仿宋"/>
          <w:color w:val="333333"/>
          <w:sz w:val="28"/>
          <w:szCs w:val="28"/>
          <w:shd w:val="clear" w:color="auto" w:fill="FFFFFF"/>
          <w:lang w:bidi="ar"/>
        </w:rPr>
        <w:t>根据惠安县统计局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年度的项目绩效自评报告，第七次全国人口普查项目发布人普公告</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版；全国百强县申报工作经费项目发布</w:t>
      </w:r>
      <w:r>
        <w:rPr>
          <w:rFonts w:hint="default" w:ascii="Times New Roman" w:hAnsi="Times New Roman" w:eastAsia="仿宋" w:cs="Times New Roman"/>
          <w:color w:val="333333"/>
          <w:sz w:val="28"/>
          <w:szCs w:val="28"/>
          <w:shd w:val="clear" w:color="auto" w:fill="FFFFFF"/>
          <w:lang w:bidi="ar"/>
        </w:rPr>
        <w:t>2</w:t>
      </w:r>
      <w:r>
        <w:rPr>
          <w:rFonts w:hint="eastAsia" w:ascii="仿宋" w:hAnsi="仿宋" w:eastAsia="仿宋" w:cs="仿宋"/>
          <w:color w:val="333333"/>
          <w:sz w:val="28"/>
          <w:szCs w:val="28"/>
          <w:shd w:val="clear" w:color="auto" w:fill="FFFFFF"/>
          <w:lang w:bidi="ar"/>
        </w:rPr>
        <w:t>篇信息报道；统计调查工作经费项目为部门单位提供</w:t>
      </w:r>
      <w:r>
        <w:rPr>
          <w:rFonts w:hint="default" w:ascii="Times New Roman" w:hAnsi="Times New Roman" w:eastAsia="仿宋" w:cs="Times New Roman"/>
          <w:color w:val="333333"/>
          <w:sz w:val="28"/>
          <w:szCs w:val="28"/>
          <w:shd w:val="clear" w:color="auto" w:fill="FFFFFF"/>
          <w:lang w:bidi="ar"/>
        </w:rPr>
        <w:t>12</w:t>
      </w:r>
      <w:r>
        <w:rPr>
          <w:rFonts w:hint="eastAsia" w:ascii="仿宋" w:hAnsi="仿宋" w:eastAsia="仿宋" w:cs="仿宋"/>
          <w:color w:val="333333"/>
          <w:sz w:val="28"/>
          <w:szCs w:val="28"/>
          <w:shd w:val="clear" w:color="auto" w:fill="FFFFFF"/>
          <w:lang w:bidi="ar"/>
        </w:rPr>
        <w:t>个统计数据；人口抽样调查经费项目完成</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篇调查工作分析报告；全县绩效评估公众评议调查经费项目完成</w:t>
      </w:r>
      <w:r>
        <w:rPr>
          <w:rFonts w:hint="default" w:ascii="Times New Roman" w:hAnsi="Times New Roman" w:eastAsia="仿宋" w:cs="Times New Roman"/>
          <w:color w:val="333333"/>
          <w:sz w:val="28"/>
          <w:szCs w:val="28"/>
          <w:shd w:val="clear" w:color="auto" w:fill="FFFFFF"/>
          <w:lang w:bidi="ar"/>
        </w:rPr>
        <w:t>1</w:t>
      </w:r>
      <w:r>
        <w:rPr>
          <w:rFonts w:hint="eastAsia" w:ascii="仿宋" w:hAnsi="仿宋" w:eastAsia="仿宋" w:cs="仿宋"/>
          <w:color w:val="333333"/>
          <w:sz w:val="28"/>
          <w:szCs w:val="28"/>
          <w:shd w:val="clear" w:color="auto" w:fill="FFFFFF"/>
          <w:lang w:bidi="ar"/>
        </w:rPr>
        <w:t>份绩效评估方案；统计月报及《统计年鉴》编印经费项目完成</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%数据公开发布；统计规范化建设工作经费项目完成抽样调查对象覆盖率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%。具体如表</w:t>
      </w:r>
      <w:r>
        <w:rPr>
          <w:rFonts w:hint="default" w:ascii="Times New Roman" w:hAnsi="Times New Roman" w:eastAsia="仿宋" w:cs="Times New Roman"/>
          <w:color w:val="333333"/>
          <w:sz w:val="28"/>
          <w:szCs w:val="28"/>
          <w:shd w:val="clear" w:color="auto" w:fill="FFFFFF"/>
          <w:lang w:bidi="ar"/>
        </w:rPr>
        <w:t>11</w:t>
      </w:r>
      <w:r>
        <w:rPr>
          <w:rFonts w:hint="eastAsia" w:ascii="仿宋" w:hAnsi="仿宋" w:eastAsia="仿宋" w:cs="仿宋"/>
          <w:color w:val="333333"/>
          <w:sz w:val="28"/>
          <w:szCs w:val="28"/>
          <w:shd w:val="clear" w:color="auto" w:fill="FFFFFF"/>
          <w:lang w:bidi="ar"/>
        </w:rPr>
        <w:t>，各项目的社会效益指标均达到绩效标准值。整体项目支出具有较好的社会效益，开展各项统计调查或普查，扩大统计调查覆盖面，统计汇集各项数据，提高各项统计数据的真实有效性，为有关政府部门提供统计信息，提高统计数据有效利用率。同时推进统计基础规范化创建，加强统计基础规范化，将统计工作真正向村级、企业延伸，着力构建网格化基层统计工作体系。因此“社会效益”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hint="eastAsia" w:ascii="仿宋" w:hAnsi="仿宋" w:eastAsia="仿宋" w:cs="仿宋"/>
          <w:b/>
          <w:bCs/>
          <w:color w:val="333333"/>
          <w:sz w:val="24"/>
          <w:szCs w:val="24"/>
          <w:shd w:val="clear" w:color="auto" w:fill="FFFFFF"/>
        </w:rPr>
      </w:pP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hint="eastAsia" w:ascii="仿宋" w:hAnsi="仿宋" w:eastAsia="仿宋" w:cs="仿宋"/>
          <w:b/>
          <w:bCs/>
          <w:color w:val="333333"/>
          <w:sz w:val="24"/>
          <w:szCs w:val="24"/>
          <w:shd w:val="clear" w:color="auto" w:fill="FFFFFF"/>
        </w:rPr>
      </w:pP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4"/>
          <w:szCs w:val="24"/>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11</w:t>
      </w:r>
      <w:r>
        <w:rPr>
          <w:rFonts w:hint="eastAsia" w:ascii="仿宋" w:hAnsi="仿宋" w:eastAsia="仿宋" w:cs="仿宋"/>
          <w:b/>
          <w:bCs/>
          <w:color w:val="333333"/>
          <w:sz w:val="24"/>
          <w:szCs w:val="24"/>
          <w:shd w:val="clear" w:color="auto" w:fill="FFFFFF"/>
        </w:rPr>
        <w:t xml:space="preserve"> 各项目</w:t>
      </w:r>
      <w:r>
        <w:rPr>
          <w:rFonts w:hint="default" w:ascii="Times New Roman" w:hAnsi="Times New Roman" w:eastAsia="仿宋" w:cs="Times New Roman"/>
          <w:b/>
          <w:bCs/>
          <w:color w:val="333333"/>
          <w:sz w:val="24"/>
          <w:szCs w:val="24"/>
          <w:shd w:val="clear" w:color="auto" w:fill="FFFFFF"/>
        </w:rPr>
        <w:t>2022</w:t>
      </w:r>
      <w:r>
        <w:rPr>
          <w:rFonts w:hint="eastAsia" w:ascii="仿宋" w:hAnsi="仿宋" w:eastAsia="仿宋" w:cs="仿宋"/>
          <w:b/>
          <w:bCs/>
          <w:color w:val="333333"/>
          <w:sz w:val="24"/>
          <w:szCs w:val="24"/>
          <w:shd w:val="clear" w:color="auto" w:fill="FFFFFF"/>
        </w:rPr>
        <w:t>年社会效益指标情况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066"/>
        <w:gridCol w:w="1044"/>
        <w:gridCol w:w="1020"/>
        <w:gridCol w:w="1020"/>
        <w:gridCol w:w="1092"/>
        <w:gridCol w:w="1104"/>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项目</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第七次全国人口普查</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全国百强县申报工作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统计调查工作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人口抽样调查</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全县绩效评估公众评议调查</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统计月报及《统计年鉴》编印</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统计规范化建设工作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目标值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11</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95</w:t>
            </w: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完成值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2</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12</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100</w:t>
            </w:r>
            <w:r>
              <w:rPr>
                <w:rFonts w:hint="eastAsia" w:ascii="仿宋" w:hAnsi="仿宋" w:eastAsia="仿宋" w:cs="仿宋"/>
                <w:color w:val="333333"/>
                <w:sz w:val="21"/>
                <w:szCs w:val="21"/>
                <w:shd w:val="clear" w:color="auto" w:fill="FFFFFF"/>
              </w:rPr>
              <w:t>%</w:t>
            </w:r>
          </w:p>
        </w:tc>
      </w:tr>
    </w:tbl>
    <w:p>
      <w:pPr>
        <w:pStyle w:val="10"/>
        <w:pageBreakBefore w:val="0"/>
        <w:widowControl/>
        <w:numPr>
          <w:ilvl w:val="0"/>
          <w:numId w:val="4"/>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生态效益</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惠安县统计局“生态效益”指标得分为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根据惠安县统计局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年度的项目绩效自评报告，统计调查工作经费项目完成</w:t>
      </w:r>
      <w:r>
        <w:rPr>
          <w:rFonts w:hint="default" w:ascii="Times New Roman" w:hAnsi="Times New Roman" w:eastAsia="仿宋" w:cs="Times New Roman"/>
          <w:color w:val="333333"/>
          <w:sz w:val="28"/>
          <w:szCs w:val="28"/>
          <w:shd w:val="clear" w:color="auto" w:fill="FFFFFF"/>
          <w:lang w:bidi="ar"/>
        </w:rPr>
        <w:t>11</w:t>
      </w:r>
      <w:r>
        <w:rPr>
          <w:rFonts w:hint="eastAsia" w:ascii="仿宋" w:hAnsi="仿宋" w:eastAsia="仿宋" w:cs="仿宋"/>
          <w:color w:val="333333"/>
          <w:sz w:val="28"/>
          <w:szCs w:val="28"/>
          <w:shd w:val="clear" w:color="auto" w:fill="FFFFFF"/>
          <w:lang w:bidi="ar"/>
        </w:rPr>
        <w:t>篇高耗能企业监控分析报告；而第七次全国人口普查项目、全国百强县申报工作经费项目、人口抽样调查经费项目、全县绩效评估公众评议调查经费项目、统计月报及《统计年鉴》编印经费项目和统计规范化建设工作经费项目均未设置相应的生态效益指标，因此“生态效益”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center"/>
        <w:textAlignment w:val="auto"/>
        <w:rPr>
          <w:rFonts w:ascii="仿宋" w:hAnsi="仿宋" w:eastAsia="仿宋" w:cs="仿宋"/>
          <w:color w:val="333333"/>
          <w:sz w:val="22"/>
          <w:szCs w:val="22"/>
          <w:shd w:val="clear" w:color="auto" w:fill="FFFFFF"/>
        </w:rPr>
      </w:pPr>
      <w:r>
        <w:rPr>
          <w:rFonts w:hint="eastAsia" w:ascii="仿宋" w:hAnsi="仿宋" w:eastAsia="仿宋" w:cs="仿宋"/>
          <w:b/>
          <w:bCs/>
          <w:color w:val="333333"/>
          <w:sz w:val="24"/>
          <w:szCs w:val="24"/>
          <w:shd w:val="clear" w:color="auto" w:fill="FFFFFF"/>
        </w:rPr>
        <w:t>表</w:t>
      </w:r>
      <w:r>
        <w:rPr>
          <w:rFonts w:hint="default" w:ascii="Times New Roman" w:hAnsi="Times New Roman" w:eastAsia="仿宋" w:cs="Times New Roman"/>
          <w:b/>
          <w:bCs/>
          <w:color w:val="333333"/>
          <w:sz w:val="24"/>
          <w:szCs w:val="24"/>
          <w:shd w:val="clear" w:color="auto" w:fill="FFFFFF"/>
        </w:rPr>
        <w:t>12</w:t>
      </w:r>
      <w:r>
        <w:rPr>
          <w:rFonts w:hint="eastAsia" w:ascii="仿宋" w:hAnsi="仿宋" w:eastAsia="仿宋" w:cs="仿宋"/>
          <w:b/>
          <w:bCs/>
          <w:color w:val="333333"/>
          <w:sz w:val="24"/>
          <w:szCs w:val="24"/>
          <w:shd w:val="clear" w:color="auto" w:fill="FFFFFF"/>
        </w:rPr>
        <w:t xml:space="preserve"> 各项目</w:t>
      </w:r>
      <w:r>
        <w:rPr>
          <w:rFonts w:hint="default" w:ascii="Times New Roman" w:hAnsi="Times New Roman" w:eastAsia="仿宋" w:cs="Times New Roman"/>
          <w:b/>
          <w:bCs/>
          <w:color w:val="333333"/>
          <w:sz w:val="24"/>
          <w:szCs w:val="24"/>
          <w:shd w:val="clear" w:color="auto" w:fill="FFFFFF"/>
        </w:rPr>
        <w:t>2022</w:t>
      </w:r>
      <w:r>
        <w:rPr>
          <w:rFonts w:hint="eastAsia" w:ascii="仿宋" w:hAnsi="仿宋" w:eastAsia="仿宋" w:cs="仿宋"/>
          <w:b/>
          <w:bCs/>
          <w:color w:val="333333"/>
          <w:sz w:val="24"/>
          <w:szCs w:val="24"/>
          <w:shd w:val="clear" w:color="auto" w:fill="FFFFFF"/>
        </w:rPr>
        <w:t>年生态效益指标情况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066"/>
        <w:gridCol w:w="1044"/>
        <w:gridCol w:w="1020"/>
        <w:gridCol w:w="1020"/>
        <w:gridCol w:w="1092"/>
        <w:gridCol w:w="1104"/>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项目</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第七次全国人口普查</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全国百强县申报工作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统计调查工作</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人口抽样调查</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全县绩效评估公众评议调查</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统计月报及《统计年鉴》编印</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s="仿宋"/>
                <w:b/>
                <w:bCs/>
                <w:color w:val="333333"/>
                <w:sz w:val="21"/>
                <w:szCs w:val="21"/>
                <w:shd w:val="clear" w:color="auto" w:fill="FFFFFF"/>
              </w:rPr>
            </w:pPr>
            <w:r>
              <w:rPr>
                <w:rFonts w:hint="eastAsia" w:ascii="仿宋" w:hAnsi="仿宋" w:eastAsia="仿宋" w:cs="仿宋"/>
                <w:b/>
                <w:bCs/>
                <w:color w:val="333333"/>
                <w:sz w:val="21"/>
                <w:szCs w:val="21"/>
                <w:shd w:val="clear" w:color="auto" w:fill="FFFFFF"/>
              </w:rPr>
              <w:t>统计规范化建设工作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目标值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11</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完成值</w:t>
            </w:r>
          </w:p>
        </w:tc>
        <w:tc>
          <w:tcPr>
            <w:tcW w:w="1066"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4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default" w:ascii="Times New Roman" w:hAnsi="Times New Roman" w:eastAsia="仿宋" w:cs="Times New Roman"/>
                <w:color w:val="333333"/>
                <w:sz w:val="21"/>
                <w:szCs w:val="21"/>
                <w:shd w:val="clear" w:color="auto" w:fill="FFFFFF"/>
              </w:rPr>
              <w:t>11</w:t>
            </w:r>
          </w:p>
        </w:tc>
        <w:tc>
          <w:tcPr>
            <w:tcW w:w="1020"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92"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104"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c>
          <w:tcPr>
            <w:tcW w:w="1099" w:type="dxa"/>
            <w:vAlign w:val="center"/>
          </w:tcPr>
          <w:p>
            <w:pPr>
              <w:pStyle w:val="1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ascii="仿宋" w:hAnsi="仿宋" w:eastAsia="仿宋" w:cs="仿宋"/>
                <w:color w:val="333333"/>
                <w:sz w:val="21"/>
                <w:szCs w:val="21"/>
                <w:shd w:val="clear" w:color="auto" w:fill="FFFFFF"/>
              </w:rPr>
            </w:pPr>
            <w:r>
              <w:rPr>
                <w:rFonts w:hint="eastAsia" w:ascii="仿宋" w:hAnsi="仿宋" w:eastAsia="仿宋" w:cs="仿宋"/>
                <w:color w:val="333333"/>
                <w:sz w:val="21"/>
                <w:szCs w:val="21"/>
                <w:shd w:val="clear" w:color="auto" w:fill="FFFFFF"/>
              </w:rPr>
              <w:t>-</w:t>
            </w:r>
          </w:p>
        </w:tc>
      </w:tr>
    </w:tbl>
    <w:p>
      <w:pPr>
        <w:pStyle w:val="10"/>
        <w:pageBreakBefore w:val="0"/>
        <w:widowControl/>
        <w:numPr>
          <w:ilvl w:val="0"/>
          <w:numId w:val="4"/>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eastAsia" w:ascii="仿宋" w:hAnsi="仿宋" w:eastAsia="仿宋" w:cs="仿宋"/>
          <w:b w:val="0"/>
          <w:bCs w:val="0"/>
          <w:color w:val="333333"/>
          <w:sz w:val="28"/>
          <w:szCs w:val="28"/>
          <w:shd w:val="clear" w:color="auto" w:fill="FFFFFF"/>
        </w:rPr>
        <w:t>社会公众或服务对象满意度</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lang w:bidi="ar"/>
        </w:rPr>
        <w:t>惠安县统计局“社会公众或服务对象满意度”指标得分为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分，得分率</w:t>
      </w:r>
      <w:r>
        <w:rPr>
          <w:rFonts w:hint="default" w:ascii="Times New Roman" w:hAnsi="Times New Roman" w:eastAsia="仿宋" w:cs="Times New Roman"/>
          <w:color w:val="333333"/>
          <w:sz w:val="28"/>
          <w:szCs w:val="28"/>
          <w:shd w:val="clear" w:color="auto" w:fill="FFFFFF"/>
          <w:lang w:bidi="ar"/>
        </w:rPr>
        <w:t>100</w:t>
      </w:r>
      <w:r>
        <w:rPr>
          <w:rFonts w:hint="eastAsia" w:ascii="仿宋" w:hAnsi="仿宋" w:eastAsia="仿宋" w:cs="仿宋"/>
          <w:color w:val="333333"/>
          <w:sz w:val="28"/>
          <w:szCs w:val="28"/>
          <w:shd w:val="clear" w:color="auto" w:fill="FFFFFF"/>
          <w:lang w:bidi="ar"/>
        </w:rPr>
        <w:t>%。</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lang w:bidi="ar"/>
        </w:rPr>
      </w:pPr>
      <w:r>
        <w:rPr>
          <w:rFonts w:hint="eastAsia" w:ascii="仿宋" w:hAnsi="仿宋" w:eastAsia="仿宋" w:cs="仿宋"/>
          <w:color w:val="333333"/>
          <w:sz w:val="28"/>
          <w:szCs w:val="28"/>
          <w:shd w:val="clear" w:color="auto" w:fill="FFFFFF"/>
          <w:lang w:bidi="ar"/>
        </w:rPr>
        <w:t>“社会公众或服务对象满意度”指标评价社会公众或部门的服务对象对部门履职效果的满意程度，按收集到的服务对象的满意率计算得分。根据惠安县统计局</w:t>
      </w:r>
      <w:r>
        <w:rPr>
          <w:rFonts w:hint="default" w:ascii="Times New Roman" w:hAnsi="Times New Roman" w:eastAsia="仿宋" w:cs="Times New Roman"/>
          <w:color w:val="333333"/>
          <w:sz w:val="28"/>
          <w:szCs w:val="28"/>
          <w:shd w:val="clear" w:color="auto" w:fill="FFFFFF"/>
          <w:lang w:bidi="ar"/>
        </w:rPr>
        <w:t>2022</w:t>
      </w:r>
      <w:r>
        <w:rPr>
          <w:rFonts w:hint="eastAsia" w:ascii="仿宋" w:hAnsi="仿宋" w:eastAsia="仿宋" w:cs="仿宋"/>
          <w:color w:val="333333"/>
          <w:sz w:val="28"/>
          <w:szCs w:val="28"/>
          <w:shd w:val="clear" w:color="auto" w:fill="FFFFFF"/>
          <w:lang w:bidi="ar"/>
        </w:rPr>
        <w:t>年度的项目绩效自评报告，各项目的投诉率均为零。因此“社会公众或服务对象满意度”指标得分为</w:t>
      </w:r>
      <w:r>
        <w:rPr>
          <w:rFonts w:hint="default" w:ascii="Times New Roman" w:hAnsi="Times New Roman" w:eastAsia="仿宋" w:cs="Times New Roman"/>
          <w:color w:val="333333"/>
          <w:sz w:val="28"/>
          <w:szCs w:val="28"/>
          <w:shd w:val="clear" w:color="auto" w:fill="FFFFFF"/>
          <w:lang w:bidi="ar"/>
        </w:rPr>
        <w:t>5</w:t>
      </w:r>
      <w:r>
        <w:rPr>
          <w:rFonts w:hint="eastAsia" w:ascii="仿宋" w:hAnsi="仿宋" w:eastAsia="仿宋" w:cs="仿宋"/>
          <w:color w:val="333333"/>
          <w:sz w:val="28"/>
          <w:szCs w:val="28"/>
          <w:shd w:val="clear" w:color="auto" w:fill="FFFFFF"/>
          <w:lang w:bidi="ar"/>
        </w:rPr>
        <w:t>分。</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ascii="仿宋" w:hAnsi="仿宋" w:eastAsia="仿宋" w:cs="仿宋"/>
          <w:color w:val="333333"/>
          <w:shd w:val="clear" w:color="auto" w:fill="FFFFFF"/>
          <w:lang w:bidi="ar"/>
        </w:rPr>
      </w:pPr>
    </w:p>
    <w:p>
      <w:pPr>
        <w:pStyle w:val="10"/>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43" w:firstLineChars="200"/>
        <w:jc w:val="both"/>
        <w:textAlignment w:val="auto"/>
        <w:outlineLvl w:val="0"/>
        <w:rPr>
          <w:rFonts w:ascii="仿宋" w:hAnsi="仿宋" w:eastAsia="仿宋" w:cs="仿宋"/>
          <w:b/>
          <w:kern w:val="44"/>
          <w:sz w:val="32"/>
          <w:szCs w:val="20"/>
        </w:rPr>
      </w:pPr>
      <w:bookmarkStart w:id="14" w:name="_Toc5156"/>
      <w:r>
        <w:rPr>
          <w:rFonts w:hint="eastAsia" w:ascii="仿宋" w:hAnsi="仿宋" w:eastAsia="仿宋" w:cs="仿宋"/>
          <w:b/>
          <w:kern w:val="44"/>
          <w:sz w:val="32"/>
          <w:szCs w:val="20"/>
        </w:rPr>
        <w:t>五、工作成效及经验</w:t>
      </w:r>
      <w:bookmarkEnd w:id="14"/>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近年来，惠安县统计局坚持以习近平新时代中国特色社会主义思想为指导，全面贯彻落实党的十九大和十九届二中、三中、四中全会精神，认真落实党中央、国务院关于统计改革发展的决策部署，在县委、县政府和市局的直接领导下，以科学发展观为统领，紧紧围绕县委、县政府的中心工作，强化思想政治建设，加强队伍建设和作风建设，提高机关建设科学化水平，深化统计改革，加快统计建设，不断提高统计能力、提高统计数据质量、提高统计公信力，努力开创统计新局面，工作取得明显进展。按时完成人普后续数据开发应用、资料编印出版工作以及人普宣传册编印工作；上榜全国县域高质量发展百强榜以及中小城市综合实力发展指数研究城市排名；按时完成惠安县规上、规下所有专业（工业、商业、建筑业、服务业、投资、劳资）月报、季报、年报的上报工作；做好所有专业企业入库资料审核、上传工作以及每月做好固定资产投资项目入库工作；更新及维护名录库，完成分析报告，完成全省城乡划分工作。根据省市文件要求，按照抽样调查工作安排表及时完成了各项工作项目；按照上级部署工作完成了全县公众评议调查工作，完成了市对县政府绩效考核相关资料的整理和汇总；根据汇总的全县考核指标完成情况认真做好各部门考核指标完成情况简要分析；以书面形式报送公众评议工作调查结果。完成了每年度统计月报小册子以及上年度年鉴编印发行工作，提供统计数据的参考依据；已对全县</w:t>
      </w:r>
      <w:r>
        <w:rPr>
          <w:rFonts w:hint="default" w:ascii="Times New Roman" w:hAnsi="Times New Roman" w:eastAsia="仿宋" w:cs="Times New Roman"/>
          <w:color w:val="333333"/>
          <w:sz w:val="28"/>
          <w:szCs w:val="28"/>
          <w:shd w:val="clear" w:color="auto" w:fill="FFFFFF"/>
        </w:rPr>
        <w:t>277</w:t>
      </w:r>
      <w:r>
        <w:rPr>
          <w:rFonts w:hint="eastAsia" w:ascii="仿宋" w:hAnsi="仿宋" w:eastAsia="仿宋" w:cs="仿宋"/>
          <w:color w:val="333333"/>
          <w:sz w:val="28"/>
          <w:szCs w:val="28"/>
          <w:shd w:val="clear" w:color="auto" w:fill="FFFFFF"/>
        </w:rPr>
        <w:t>家企业开展统计规范化建设并通过验收。</w:t>
      </w:r>
    </w:p>
    <w:p>
      <w:pPr>
        <w:pStyle w:val="10"/>
        <w:keepNext w:val="0"/>
        <w:keepLines w:val="0"/>
        <w:pageBreakBefore w:val="0"/>
        <w:widowControl/>
        <w:shd w:val="clear" w:color="auto" w:fill="FFFFFF"/>
        <w:kinsoku/>
        <w:wordWrap/>
        <w:overflowPunct/>
        <w:topLinePunct w:val="0"/>
        <w:autoSpaceDE/>
        <w:autoSpaceDN/>
        <w:bidi w:val="0"/>
        <w:adjustRightInd/>
        <w:snapToGrid/>
        <w:spacing w:before="157" w:beforeLines="50" w:beforeAutospacing="0" w:after="157" w:afterLines="50" w:afterAutospacing="0" w:line="360" w:lineRule="auto"/>
        <w:ind w:firstLine="643" w:firstLineChars="200"/>
        <w:jc w:val="both"/>
        <w:textAlignment w:val="auto"/>
        <w:outlineLvl w:val="0"/>
        <w:rPr>
          <w:rFonts w:ascii="仿宋" w:hAnsi="仿宋" w:eastAsia="仿宋" w:cs="仿宋"/>
          <w:b/>
          <w:kern w:val="44"/>
          <w:sz w:val="32"/>
          <w:szCs w:val="20"/>
        </w:rPr>
      </w:pPr>
      <w:bookmarkStart w:id="15" w:name="_Toc4308"/>
      <w:r>
        <w:rPr>
          <w:rFonts w:hint="eastAsia" w:ascii="仿宋" w:hAnsi="仿宋" w:eastAsia="仿宋" w:cs="仿宋"/>
          <w:b/>
          <w:kern w:val="44"/>
          <w:sz w:val="32"/>
          <w:szCs w:val="20"/>
        </w:rPr>
        <w:t>六、主要问题及政策建议</w:t>
      </w:r>
      <w:bookmarkEnd w:id="15"/>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outlineLvl w:val="1"/>
        <w:rPr>
          <w:rFonts w:ascii="仿宋" w:hAnsi="仿宋" w:eastAsia="仿宋" w:cs="仿宋"/>
          <w:b/>
          <w:kern w:val="2"/>
          <w:sz w:val="28"/>
          <w:szCs w:val="22"/>
        </w:rPr>
      </w:pPr>
      <w:bookmarkStart w:id="16" w:name="_Toc3118"/>
      <w:r>
        <w:rPr>
          <w:rFonts w:hint="eastAsia" w:ascii="仿宋" w:hAnsi="仿宋" w:eastAsia="仿宋" w:cs="仿宋"/>
          <w:b/>
          <w:kern w:val="2"/>
          <w:sz w:val="28"/>
          <w:szCs w:val="22"/>
        </w:rPr>
        <w:t>（一）主要问题</w:t>
      </w:r>
      <w:bookmarkEnd w:id="16"/>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left="482"/>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1</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宣传力度不够强，普查对象配合力度不够高，导致工作难度大。</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以人口普查为例，首先，普查对象配合程度下降，普查员入户调查难。随着经济社会的发展，人们的安全防范意识、隐私保护意识也逐渐增强。人口普查采取的是入户询问、当场填报的方式，并且人口普查全过程需经过摸底、正式入户、PAD录入等阶段，需要多次入户。“见面难”和“入户难”是当前困扰人口普查的主要问题。特别是近几年来抽样调查、商业调查大量增加，群众难以分辨，厌烦情绪增多，配合程度下降。其次，人户分离现象普遍，锁定普查对象非常困难。由于人口普查采用按现住地登记的原则，但是，当前常住人口中，不但有省内、市内以及省外的迁移流动人口，而且“人户分离”，“一屋多户”和“学区房”等现象较多，流动人口、空挂、拆迁、寄挂户口等情况较多。这些都给锁定普查对象增大了难度，容易造成人口普查的遗漏和重复。最后，普查标准时间紧，“两员”选调培训难。在市场经济条件下，有一定文化素质的青壮年劳动力纷纷外出务工经商，城市和农村闲散人员减少，能够胜任普查工作要求的对象更少。并且普查员工作时间紧，工作任务重，也给选调增加了难度。</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left="482"/>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2</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预算资金执行力度有待加强，资金使用效率较低。</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惠安县统计局上年度结转结余资金较多，以前年度专项资金结转结余</w:t>
      </w:r>
      <w:r>
        <w:rPr>
          <w:rFonts w:hint="default" w:ascii="Times New Roman" w:hAnsi="Times New Roman" w:eastAsia="仿宋" w:cs="Times New Roman"/>
          <w:color w:val="333333"/>
          <w:sz w:val="28"/>
          <w:szCs w:val="28"/>
          <w:shd w:val="clear" w:color="auto" w:fill="FFFFFF"/>
        </w:rPr>
        <w:t>86</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22</w:t>
      </w:r>
      <w:r>
        <w:rPr>
          <w:rFonts w:hint="eastAsia" w:ascii="仿宋" w:hAnsi="仿宋" w:eastAsia="仿宋" w:cs="仿宋"/>
          <w:color w:val="333333"/>
          <w:sz w:val="28"/>
          <w:szCs w:val="28"/>
          <w:shd w:val="clear" w:color="auto" w:fill="FFFFFF"/>
        </w:rPr>
        <w:t>万元，本年度专项资金结转结余</w:t>
      </w:r>
      <w:r>
        <w:rPr>
          <w:rFonts w:hint="default" w:ascii="Times New Roman" w:hAnsi="Times New Roman" w:eastAsia="仿宋" w:cs="Times New Roman"/>
          <w:color w:val="333333"/>
          <w:sz w:val="28"/>
          <w:szCs w:val="28"/>
          <w:shd w:val="clear" w:color="auto" w:fill="FFFFFF"/>
        </w:rPr>
        <w:t>211</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2</w:t>
      </w:r>
      <w:r>
        <w:rPr>
          <w:rFonts w:hint="eastAsia" w:ascii="仿宋" w:hAnsi="仿宋" w:eastAsia="仿宋" w:cs="仿宋"/>
          <w:color w:val="333333"/>
          <w:sz w:val="28"/>
          <w:szCs w:val="28"/>
          <w:shd w:val="clear" w:color="auto" w:fill="FFFFFF"/>
        </w:rPr>
        <w:t>万元，结转结余控制率为</w:t>
      </w:r>
      <w:r>
        <w:rPr>
          <w:rFonts w:hint="default" w:ascii="Times New Roman" w:hAnsi="Times New Roman" w:eastAsia="仿宋" w:cs="Times New Roman"/>
          <w:color w:val="333333"/>
          <w:sz w:val="28"/>
          <w:szCs w:val="28"/>
          <w:shd w:val="clear" w:color="auto" w:fill="FFFFFF"/>
        </w:rPr>
        <w:t>144</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95</w:t>
      </w:r>
      <w:r>
        <w:rPr>
          <w:rFonts w:hint="eastAsia" w:ascii="仿宋" w:hAnsi="仿宋" w:eastAsia="仿宋" w:cs="仿宋"/>
          <w:color w:val="333333"/>
          <w:sz w:val="28"/>
          <w:szCs w:val="28"/>
          <w:shd w:val="clear" w:color="auto" w:fill="FFFFFF"/>
        </w:rPr>
        <w:t>%，优先使用往年度结余造成本年度资金执行力度较低，预算完成率只有</w:t>
      </w:r>
      <w:r>
        <w:rPr>
          <w:rFonts w:hint="default" w:ascii="Times New Roman" w:hAnsi="Times New Roman" w:eastAsia="仿宋" w:cs="Times New Roman"/>
          <w:color w:val="333333"/>
          <w:sz w:val="28"/>
          <w:szCs w:val="28"/>
          <w:shd w:val="clear" w:color="auto" w:fill="FFFFFF"/>
        </w:rPr>
        <w:t>68</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45</w:t>
      </w:r>
      <w:r>
        <w:rPr>
          <w:rFonts w:hint="eastAsia" w:ascii="仿宋" w:hAnsi="仿宋" w:eastAsia="仿宋" w:cs="仿宋"/>
          <w:color w:val="333333"/>
          <w:sz w:val="28"/>
          <w:szCs w:val="28"/>
          <w:shd w:val="clear" w:color="auto" w:fill="FFFFFF"/>
        </w:rPr>
        <w:t>%。同时，部门预算编制不够合理，在制定年初预算过程中未能准确全面判定工作开展情况，不能及时发挥资金使用效率，预算调整率为</w:t>
      </w:r>
      <w:r>
        <w:rPr>
          <w:rFonts w:hint="default" w:ascii="Times New Roman" w:hAnsi="Times New Roman" w:eastAsia="仿宋" w:cs="Times New Roman"/>
          <w:color w:val="333333"/>
          <w:sz w:val="28"/>
          <w:szCs w:val="28"/>
          <w:shd w:val="clear" w:color="auto" w:fill="FFFFFF"/>
        </w:rPr>
        <w:t>17</w:t>
      </w:r>
      <w:r>
        <w:rPr>
          <w:rFonts w:hint="eastAsia" w:ascii="仿宋" w:hAnsi="仿宋" w:eastAsia="仿宋" w:cs="仿宋"/>
          <w:color w:val="333333"/>
          <w:sz w:val="28"/>
          <w:szCs w:val="28"/>
          <w:shd w:val="clear" w:color="auto" w:fill="FFFFFF"/>
        </w:rPr>
        <w:t>.</w:t>
      </w:r>
      <w:r>
        <w:rPr>
          <w:rFonts w:hint="default" w:ascii="Times New Roman" w:hAnsi="Times New Roman" w:eastAsia="仿宋" w:cs="Times New Roman"/>
          <w:color w:val="333333"/>
          <w:sz w:val="28"/>
          <w:szCs w:val="28"/>
          <w:shd w:val="clear" w:color="auto" w:fill="FFFFFF"/>
        </w:rPr>
        <w:t>46</w:t>
      </w:r>
      <w:r>
        <w:rPr>
          <w:rFonts w:hint="eastAsia" w:ascii="仿宋" w:hAnsi="仿宋" w:eastAsia="仿宋" w:cs="仿宋"/>
          <w:color w:val="333333"/>
          <w:sz w:val="28"/>
          <w:szCs w:val="28"/>
          <w:shd w:val="clear" w:color="auto" w:fill="FFFFFF"/>
        </w:rPr>
        <w:t>%，预算调整数较高。</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left="482"/>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3</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乡镇统计人员变动较频繁，业务培训不够充分。</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由于受工作变动调整影响，基层统计人员变动频繁，影响了基层统计工作的正常开展，造成统计队伍的不稳定和统计队伍素质下降。同时，企业统计人员缺乏系统的岗位知识，难以满足对统计工作的要求。由于统计是一个专业性强的工作，企业统计员一般由财务人员担任，对统计指标理解不够全面，影响了统计数据的报送。</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4</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经费科目归类不够规范，导致三公经费预算增幅较大，支出管理有待进一步优化。</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惠安县统计局的三公经费变动率较大，为</w:t>
      </w:r>
      <w:r>
        <w:rPr>
          <w:rFonts w:hint="default" w:ascii="Times New Roman" w:hAnsi="Times New Roman" w:eastAsia="仿宋" w:cs="Times New Roman"/>
          <w:color w:val="333333"/>
          <w:sz w:val="28"/>
          <w:szCs w:val="28"/>
          <w:shd w:val="clear" w:color="auto" w:fill="FFFFFF"/>
        </w:rPr>
        <w:t>300</w:t>
      </w:r>
      <w:r>
        <w:rPr>
          <w:rFonts w:hint="eastAsia" w:ascii="仿宋" w:hAnsi="仿宋" w:eastAsia="仿宋" w:cs="仿宋"/>
          <w:color w:val="333333"/>
          <w:sz w:val="28"/>
          <w:szCs w:val="28"/>
          <w:shd w:val="clear" w:color="auto" w:fill="FFFFFF"/>
        </w:rPr>
        <w:t>%，且主要是公务接待费的预算增加。虽然惠安县统计局已经制定</w:t>
      </w:r>
      <w:r>
        <w:rPr>
          <w:rFonts w:hint="eastAsia" w:ascii="仿宋" w:hAnsi="仿宋" w:eastAsia="仿宋" w:cs="仿宋"/>
          <w:color w:val="333333"/>
          <w:sz w:val="28"/>
          <w:szCs w:val="28"/>
          <w:shd w:val="clear" w:color="auto" w:fill="FFFFFF"/>
          <w:lang w:bidi="ar"/>
        </w:rPr>
        <w:t>《惠安县统计局财务管理制度》，对于公务接待费的审批、报销有相关的规定，但</w:t>
      </w:r>
      <w:r>
        <w:rPr>
          <w:rFonts w:hint="eastAsia" w:ascii="仿宋" w:hAnsi="仿宋" w:eastAsia="仿宋" w:cs="仿宋"/>
          <w:color w:val="333333"/>
          <w:sz w:val="28"/>
          <w:szCs w:val="28"/>
          <w:shd w:val="clear" w:color="auto" w:fill="FFFFFF"/>
        </w:rPr>
        <w:t>由于科目归类不够规范，部门安排细化不够，对财政预算的公用经费、人员经费和专项经费指标的细化不够，造成“三公支出”的费用有些归类于“其他行政经费支出”等宽泛科目当中,进一步导致公务支出超出预算,使“三公”经费增加。</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562" w:firstLineChars="200"/>
        <w:jc w:val="both"/>
        <w:textAlignment w:val="auto"/>
        <w:outlineLvl w:val="1"/>
        <w:rPr>
          <w:rFonts w:ascii="仿宋" w:hAnsi="仿宋" w:eastAsia="仿宋" w:cs="仿宋"/>
          <w:b/>
          <w:kern w:val="2"/>
          <w:sz w:val="28"/>
          <w:szCs w:val="22"/>
        </w:rPr>
      </w:pPr>
      <w:bookmarkStart w:id="17" w:name="_Toc4751"/>
      <w:r>
        <w:rPr>
          <w:rFonts w:hint="eastAsia" w:ascii="仿宋" w:hAnsi="仿宋" w:eastAsia="仿宋" w:cs="仿宋"/>
          <w:b/>
          <w:kern w:val="2"/>
          <w:sz w:val="28"/>
          <w:szCs w:val="22"/>
        </w:rPr>
        <w:t>（二）政策建议</w:t>
      </w:r>
      <w:bookmarkEnd w:id="17"/>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left="482"/>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1</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加大宣传力度，为普查营造浓厚氛围</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bCs/>
          <w:color w:val="333333"/>
          <w:sz w:val="28"/>
          <w:szCs w:val="28"/>
          <w:shd w:val="clear" w:color="auto" w:fill="FFFFFF"/>
        </w:rPr>
      </w:pPr>
      <w:r>
        <w:rPr>
          <w:rFonts w:hint="eastAsia" w:ascii="仿宋" w:hAnsi="仿宋" w:eastAsia="仿宋" w:cs="仿宋"/>
          <w:color w:val="333333"/>
          <w:sz w:val="28"/>
          <w:szCs w:val="28"/>
          <w:shd w:val="clear" w:color="auto" w:fill="FFFFFF"/>
        </w:rPr>
        <w:t>政府要加大对普查的宣传力度，增强依法普查意识，教育和引导普查对象依法进行普查。各村庄、社区要采取悬挂横幅、张贴标语、微信公众号等多种方式做好人口普查宣传工作。上级部门要尽快出台规定，对不配合人员的处罚措施要明确，或纳入失信名单，或依法予以处理。其次，加强配合联动，充分利用部门资料。建立惠安县人口普查成员单位与各镇、工业园区联系挂钩制度，根据县人口办的统一部署和安排，分组分批深入挂钩点，检查、指导所挂钩镇、工业园区人口普查工作，推动解决挂钩点人口普查过程中出现的困难和问题，督促落实人口普查各项工作质量要求和时序进度，确保人口普查顺利开展。最后，要切实解决普查指导员、普查员的劳动报酬工作补贴问题，调动广大普查人员的积极性。业务培训时要注重细致全面、对普查工作中涉及的每个工作环节和每项内容都必须讲解清楚，使每个普查人员都能熟练掌握。通过培训不仅要使普查人员弄清登记项目的涵义，还要学会做好群众工作，掌握普查技巧，从而在登记时更好地得到广大普查对象的理解支持和配合，保证普查登记质量。</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2</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细化预算编制工作，认真做好预算的编制</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提高对预算绩效管理的认识，充分理解财政绩效评价指标体系，注重绩效目标、评价指标的关联性，依据部门职责和年度工作重点，更加科学合理地确定部门绩效目标和评价目标。进一步加强内部机构的预算管理意识，严格按照预算编制的相关制度和要求，本着“勤俭节约、保障运转”的原则进行预算的编制；编制范围尽可能的全面、不漏项，进一步提高预算编制的科学性、合理性、严谨性和可控性。其次，加强资金管理，合理安排预算资金，充分发挥财政资金的使用效率。在日常预算管理过程中，进一步加强预算支出的审核、跟踪及预算执行情况分析。合理制定项目方案和计划，减少预算执行中的项目预算调整和结余，平衡好预算执行进度，提高财政资金使用效率和效益。加强预算项目事前、事中、事后管控，做到事前有评估、事中有监控、事后有评价，并且按预期绩效目标完成程度考核项目实施效果。</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left="48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3</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加强和确保统计人员的稳定性</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基层单位要设立专职的统计人员，定期开展统计业务培训，更新统计知识，提高统计队伍整体素质。培训指导采用召开培训会议、借助软件平台进行网上培训、上门服务指导等方式进行，各专业部门负责实施相关专业的业务培训，提高企业统计人员业务水平。一是加强定报培训。联合相关行业主管部门，通过开展年报、半年报、季报培训会等形式，加强对基层统计人员报表指导，提升统计数据填报准度，确保源头数据真实性。二是强化重点指导。结合统计数据报表，对统计业务能力较弱，报表不规范的重点企业统计人员开展点对点业务指导。一方面，通过统计QQ、微信远程协助，点对点进行答疑解惑，另一方面，通过现场走访企业，及时了解统计人员报表过程中存在的疑惑与问题，现场帮助企业统计人员解决困难，提升业务技能。三是开展专业知识培训。通过举办基层统计业务培训班，在统计数据生产及GDP核算、统计升规入库、统计法律知识、统计业务与规范等方面开展专业知识培训，进一步提升统计人员综合业务能力，为建设一支能力素质过硬的基层统计队伍奠定坚实基础。</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left="480"/>
        <w:jc w:val="both"/>
        <w:textAlignment w:val="auto"/>
        <w:rPr>
          <w:rFonts w:ascii="仿宋" w:hAnsi="仿宋" w:eastAsia="仿宋" w:cs="仿宋"/>
          <w:b w:val="0"/>
          <w:bCs w:val="0"/>
          <w:color w:val="333333"/>
          <w:sz w:val="28"/>
          <w:szCs w:val="28"/>
          <w:shd w:val="clear" w:color="auto" w:fill="FFFFFF"/>
        </w:rPr>
      </w:pPr>
      <w:r>
        <w:rPr>
          <w:rFonts w:hint="default" w:ascii="Times New Roman" w:hAnsi="Times New Roman" w:eastAsia="仿宋" w:cs="Times New Roman"/>
          <w:b w:val="0"/>
          <w:bCs w:val="0"/>
          <w:color w:val="333333"/>
          <w:sz w:val="28"/>
          <w:szCs w:val="28"/>
          <w:shd w:val="clear" w:color="auto" w:fill="FFFFFF"/>
        </w:rPr>
        <w:t>4</w:t>
      </w:r>
      <w:r>
        <w:rPr>
          <w:rFonts w:ascii="仿宋" w:hAnsi="仿宋" w:eastAsia="仿宋" w:cs="仿宋"/>
          <w:b w:val="0"/>
          <w:bCs w:val="0"/>
          <w:color w:val="333333"/>
          <w:sz w:val="28"/>
          <w:szCs w:val="28"/>
          <w:shd w:val="clear" w:color="auto" w:fill="FFFFFF"/>
        </w:rPr>
        <w:t>.</w:t>
      </w:r>
      <w:r>
        <w:rPr>
          <w:rFonts w:hint="eastAsia" w:ascii="仿宋" w:hAnsi="仿宋" w:eastAsia="仿宋" w:cs="仿宋"/>
          <w:b w:val="0"/>
          <w:bCs w:val="0"/>
          <w:color w:val="333333"/>
          <w:sz w:val="28"/>
          <w:szCs w:val="28"/>
          <w:shd w:val="clear" w:color="auto" w:fill="FFFFFF"/>
        </w:rPr>
        <w:t>严格预算约束，编细做实“三公经费”预算</w:t>
      </w:r>
    </w:p>
    <w:p>
      <w:pPr>
        <w:pStyle w:val="10"/>
        <w:pageBreakBefore w:val="0"/>
        <w:widowControl/>
        <w:shd w:val="clear" w:color="auto" w:fill="FFFFFF"/>
        <w:tabs>
          <w:tab w:val="left" w:pos="312"/>
        </w:tabs>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预算编制严格遵循“先有预算、后有支出、厉行节约、只减不增”的原则，从源头上加强监管。一是“三公”经费应严格纳入预算管理,严格控制其所占比例,制定相应的支出计划,不得挤占挪用其他预算资金,不得转嫁相关费用。二是按照厉行节约原则,在确定的定额标准和限额内,将公务车辆购置及运行费、公务接待费等统一编入部门支出预算,并按照统一预算编制表式的要求单独分项列示,能明细到具体项目用途和承担部门的必须按实编制。三是在各级预算单位范围内牢固树立起“先预算,后支出”的观念,进一步加强部门预算管理,强化预算的约束力,从源头上践行厉行节约原则,进一步减少单位公用经费的开支,遏制公用经费的增长,从而有效地压缩行政成本。</w:t>
      </w:r>
    </w:p>
    <w:p>
      <w:pPr>
        <w:pStyle w:val="10"/>
        <w:pageBreakBefore w:val="0"/>
        <w:widowControl/>
        <w:shd w:val="clear" w:color="auto" w:fill="FFFFFF"/>
        <w:kinsoku/>
        <w:wordWrap/>
        <w:overflowPunct/>
        <w:topLinePunct w:val="0"/>
        <w:autoSpaceDE/>
        <w:autoSpaceDN/>
        <w:bidi w:val="0"/>
        <w:adjustRightInd/>
        <w:snapToGrid/>
        <w:spacing w:beforeAutospacing="0" w:afterAutospacing="0" w:line="360" w:lineRule="auto"/>
        <w:jc w:val="both"/>
        <w:textAlignment w:val="auto"/>
        <w:rPr>
          <w:rFonts w:ascii="仿宋" w:hAnsi="仿宋" w:eastAsia="仿宋" w:cs="仿宋"/>
          <w:color w:val="333333"/>
          <w:sz w:val="28"/>
          <w:szCs w:val="28"/>
          <w:shd w:val="clear" w:color="auto" w:fill="FFFFFF"/>
        </w:rPr>
      </w:pPr>
    </w:p>
    <w:p>
      <w:pPr>
        <w:pageBreakBefore w:val="0"/>
        <w:kinsoku/>
        <w:wordWrap/>
        <w:overflowPunct/>
        <w:topLinePunct w:val="0"/>
        <w:autoSpaceDE/>
        <w:autoSpaceDN/>
        <w:bidi w:val="0"/>
        <w:adjustRightInd/>
        <w:snapToGrid/>
        <w:spacing w:line="360" w:lineRule="auto"/>
        <w:textAlignment w:val="auto"/>
        <w:rPr>
          <w:rFonts w:ascii="仿宋" w:hAnsi="仿宋" w:eastAsia="仿宋" w:cs="仿宋"/>
          <w:sz w:val="28"/>
          <w:szCs w:val="28"/>
        </w:rPr>
        <w:sectPr>
          <w:pgSz w:w="11906" w:h="16838"/>
          <w:pgMar w:top="1440" w:right="1800" w:bottom="1440" w:left="1800" w:header="851" w:footer="992" w:gutter="0"/>
          <w:pgNumType w:start="1"/>
          <w:cols w:space="425" w:num="1"/>
          <w:docGrid w:type="lines" w:linePitch="312" w:charSpace="0"/>
        </w:sectPr>
      </w:pPr>
    </w:p>
    <w:p>
      <w:pPr>
        <w:pStyle w:val="2"/>
        <w:spacing w:before="0" w:after="0" w:line="560" w:lineRule="exact"/>
        <w:rPr>
          <w:rFonts w:ascii="仿宋" w:hAnsi="仿宋" w:eastAsia="仿宋" w:cs="仿宋"/>
          <w:sz w:val="28"/>
          <w:szCs w:val="18"/>
        </w:rPr>
      </w:pPr>
      <w:bookmarkStart w:id="18" w:name="_Toc28689"/>
      <w:r>
        <w:rPr>
          <w:rFonts w:hint="eastAsia" w:ascii="仿宋" w:hAnsi="仿宋" w:eastAsia="仿宋" w:cs="仿宋"/>
          <w:sz w:val="28"/>
          <w:szCs w:val="18"/>
        </w:rPr>
        <w:t>附件</w:t>
      </w:r>
      <w:r>
        <w:rPr>
          <w:rFonts w:hint="default" w:ascii="Times New Roman" w:hAnsi="Times New Roman" w:eastAsia="仿宋" w:cs="Times New Roman"/>
          <w:sz w:val="28"/>
          <w:szCs w:val="18"/>
        </w:rPr>
        <w:t>1</w:t>
      </w:r>
      <w:r>
        <w:rPr>
          <w:rFonts w:hint="eastAsia" w:ascii="仿宋" w:hAnsi="仿宋" w:eastAsia="仿宋" w:cs="仿宋"/>
          <w:sz w:val="28"/>
          <w:szCs w:val="18"/>
        </w:rPr>
        <w:t>：</w:t>
      </w:r>
      <w:bookmarkEnd w:id="18"/>
    </w:p>
    <w:p>
      <w:pPr>
        <w:pStyle w:val="10"/>
        <w:widowControl/>
        <w:shd w:val="clear" w:color="auto" w:fill="FFFFFF"/>
        <w:tabs>
          <w:tab w:val="left" w:pos="312"/>
        </w:tabs>
        <w:spacing w:beforeAutospacing="0" w:afterAutospacing="0" w:line="560" w:lineRule="exact"/>
        <w:ind w:left="480"/>
        <w:jc w:val="center"/>
        <w:rPr>
          <w:rFonts w:ascii="仿宋" w:hAnsi="仿宋" w:eastAsia="仿宋" w:cs="仿宋"/>
          <w:b/>
          <w:bCs/>
          <w:color w:val="333333"/>
          <w:shd w:val="clear" w:color="auto" w:fill="FFFFFF"/>
        </w:rPr>
      </w:pPr>
      <w:r>
        <w:rPr>
          <w:rFonts w:hint="eastAsia" w:ascii="仿宋" w:hAnsi="仿宋" w:eastAsia="仿宋" w:cs="仿宋"/>
          <w:b/>
          <w:bCs/>
          <w:color w:val="333333"/>
          <w:sz w:val="32"/>
          <w:szCs w:val="32"/>
          <w:shd w:val="clear" w:color="auto" w:fill="FFFFFF"/>
        </w:rPr>
        <w:t>惠安县统计局部门整体支出绩效评价指标体系</w:t>
      </w:r>
    </w:p>
    <w:tbl>
      <w:tblPr>
        <w:tblStyle w:val="13"/>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818"/>
        <w:gridCol w:w="832"/>
        <w:gridCol w:w="771"/>
        <w:gridCol w:w="2267"/>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35"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一级指标</w:t>
            </w:r>
          </w:p>
        </w:tc>
        <w:tc>
          <w:tcPr>
            <w:tcW w:w="818"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二级指标</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三级指标</w:t>
            </w:r>
          </w:p>
        </w:tc>
        <w:tc>
          <w:tcPr>
            <w:tcW w:w="771"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分数</w:t>
            </w:r>
          </w:p>
        </w:tc>
        <w:tc>
          <w:tcPr>
            <w:tcW w:w="2267"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指标解释</w:t>
            </w:r>
          </w:p>
        </w:tc>
        <w:tc>
          <w:tcPr>
            <w:tcW w:w="2836"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投入（</w:t>
            </w:r>
            <w:r>
              <w:rPr>
                <w:rFonts w:hint="default" w:ascii="Times New Roman" w:hAnsi="Times New Roman" w:eastAsia="仿宋" w:cs="Times New Roman"/>
                <w:sz w:val="18"/>
                <w:szCs w:val="18"/>
              </w:rPr>
              <w:t>20</w:t>
            </w:r>
            <w:r>
              <w:rPr>
                <w:rFonts w:hint="eastAsia" w:ascii="仿宋" w:hAnsi="仿宋" w:eastAsia="仿宋" w:cs="仿宋"/>
                <w:sz w:val="18"/>
                <w:szCs w:val="18"/>
              </w:rPr>
              <w:t>分）</w:t>
            </w:r>
          </w:p>
        </w:tc>
        <w:tc>
          <w:tcPr>
            <w:tcW w:w="818"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目标设定（</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绩效目标合理性（</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部门所设立的整体绩效目标依据是否充分，是否符合客观实际，用以反映和考核部门整体绩效目标与部门履职、年度工作任务的相符性情况。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①符合国家法律法规、国民经济和社会发展总体规划计</w:t>
            </w:r>
            <w:r>
              <w:rPr>
                <w:rFonts w:hint="default" w:ascii="Times New Roman" w:hAnsi="Times New Roman" w:eastAsia="仿宋" w:cs="Times New Roman"/>
                <w:sz w:val="18"/>
                <w:szCs w:val="18"/>
              </w:rPr>
              <w:t>1</w:t>
            </w:r>
            <w:r>
              <w:rPr>
                <w:rFonts w:hint="eastAsia" w:ascii="仿宋" w:hAnsi="仿宋" w:eastAsia="仿宋" w:cs="仿宋"/>
                <w:sz w:val="18"/>
                <w:szCs w:val="18"/>
              </w:rPr>
              <w:t>分；②符合部门“三定”方案确定的职责计</w:t>
            </w:r>
            <w:r>
              <w:rPr>
                <w:rFonts w:hint="default" w:ascii="Times New Roman" w:hAnsi="Times New Roman" w:eastAsia="仿宋" w:cs="Times New Roman"/>
                <w:sz w:val="18"/>
                <w:szCs w:val="18"/>
              </w:rPr>
              <w:t>0</w:t>
            </w:r>
            <w:r>
              <w:rPr>
                <w:rFonts w:hint="eastAsia" w:ascii="仿宋" w:hAnsi="仿宋" w:eastAsia="仿宋" w:cs="仿宋"/>
                <w:sz w:val="18"/>
                <w:szCs w:val="18"/>
              </w:rPr>
              <w:t>.</w:t>
            </w:r>
            <w:r>
              <w:rPr>
                <w:rFonts w:hint="default" w:ascii="Times New Roman" w:hAnsi="Times New Roman" w:eastAsia="仿宋" w:cs="Times New Roman"/>
                <w:sz w:val="18"/>
                <w:szCs w:val="18"/>
              </w:rPr>
              <w:t>5</w:t>
            </w:r>
            <w:r>
              <w:rPr>
                <w:rFonts w:hint="eastAsia" w:ascii="仿宋" w:hAnsi="仿宋" w:eastAsia="仿宋" w:cs="仿宋"/>
                <w:sz w:val="18"/>
                <w:szCs w:val="18"/>
              </w:rPr>
              <w:t>分；③是否符合部门制定的中长期实施规划计</w:t>
            </w:r>
            <w:r>
              <w:rPr>
                <w:rFonts w:hint="default" w:ascii="Times New Roman" w:hAnsi="Times New Roman" w:eastAsia="仿宋" w:cs="Times New Roman"/>
                <w:sz w:val="18"/>
                <w:szCs w:val="18"/>
              </w:rPr>
              <w:t>0</w:t>
            </w:r>
            <w:r>
              <w:rPr>
                <w:rFonts w:hint="eastAsia" w:ascii="仿宋" w:hAnsi="仿宋" w:eastAsia="仿宋" w:cs="仿宋"/>
                <w:sz w:val="18"/>
                <w:szCs w:val="18"/>
              </w:rPr>
              <w:t>.</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绩效目标明确性（</w:t>
            </w:r>
            <w:r>
              <w:rPr>
                <w:rFonts w:hint="default" w:ascii="Times New Roman" w:hAnsi="Times New Roman" w:eastAsia="仿宋" w:cs="Times New Roman"/>
                <w:sz w:val="18"/>
                <w:szCs w:val="18"/>
              </w:rPr>
              <w:t>3</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3</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部门依据整体绩效目标所设定的绩效指标是否清晰、细化、可衡量，用以反映和考核部门整体绩效目标的明细化情况。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①将部门整体的绩效目标细化分解为具体的工作任务计</w:t>
            </w:r>
            <w:r>
              <w:rPr>
                <w:rFonts w:hint="default" w:ascii="Times New Roman" w:hAnsi="Times New Roman" w:eastAsia="仿宋" w:cs="Times New Roman"/>
                <w:sz w:val="18"/>
                <w:szCs w:val="18"/>
              </w:rPr>
              <w:t>1</w:t>
            </w:r>
            <w:r>
              <w:rPr>
                <w:rFonts w:hint="eastAsia" w:ascii="仿宋" w:hAnsi="仿宋" w:eastAsia="仿宋" w:cs="仿宋"/>
                <w:sz w:val="18"/>
                <w:szCs w:val="18"/>
              </w:rPr>
              <w:t>分；②通过清晰、可衡量的指标值予以体现计</w:t>
            </w:r>
            <w:r>
              <w:rPr>
                <w:rFonts w:hint="default" w:ascii="Times New Roman" w:hAnsi="Times New Roman" w:eastAsia="仿宋" w:cs="Times New Roman"/>
                <w:sz w:val="18"/>
                <w:szCs w:val="18"/>
              </w:rPr>
              <w:t>0</w:t>
            </w:r>
            <w:r>
              <w:rPr>
                <w:rFonts w:hint="eastAsia" w:ascii="仿宋" w:hAnsi="仿宋" w:eastAsia="仿宋" w:cs="仿宋"/>
                <w:sz w:val="18"/>
                <w:szCs w:val="18"/>
              </w:rPr>
              <w:t>.</w:t>
            </w:r>
            <w:r>
              <w:rPr>
                <w:rFonts w:hint="default" w:ascii="Times New Roman" w:hAnsi="Times New Roman" w:eastAsia="仿宋" w:cs="Times New Roman"/>
                <w:sz w:val="18"/>
                <w:szCs w:val="18"/>
              </w:rPr>
              <w:t>5</w:t>
            </w:r>
            <w:r>
              <w:rPr>
                <w:rFonts w:hint="eastAsia" w:ascii="仿宋" w:hAnsi="仿宋" w:eastAsia="仿宋" w:cs="仿宋"/>
                <w:sz w:val="18"/>
                <w:szCs w:val="18"/>
              </w:rPr>
              <w:t>分。③与部门年度的任务数或计划数相对应计</w:t>
            </w:r>
            <w:r>
              <w:rPr>
                <w:rFonts w:hint="default" w:ascii="Times New Roman" w:hAnsi="Times New Roman" w:eastAsia="仿宋" w:cs="Times New Roman"/>
                <w:sz w:val="18"/>
                <w:szCs w:val="18"/>
              </w:rPr>
              <w:t>0</w:t>
            </w:r>
            <w:r>
              <w:rPr>
                <w:rFonts w:hint="eastAsia" w:ascii="仿宋" w:hAnsi="仿宋" w:eastAsia="仿宋" w:cs="仿宋"/>
                <w:sz w:val="18"/>
                <w:szCs w:val="18"/>
              </w:rPr>
              <w:t>.</w:t>
            </w:r>
            <w:r>
              <w:rPr>
                <w:rFonts w:hint="default" w:ascii="Times New Roman" w:hAnsi="Times New Roman" w:eastAsia="仿宋" w:cs="Times New Roman"/>
                <w:sz w:val="18"/>
                <w:szCs w:val="18"/>
              </w:rPr>
              <w:t>5</w:t>
            </w:r>
            <w:r>
              <w:rPr>
                <w:rFonts w:hint="eastAsia" w:ascii="仿宋" w:hAnsi="仿宋" w:eastAsia="仿宋" w:cs="仿宋"/>
                <w:sz w:val="18"/>
                <w:szCs w:val="18"/>
              </w:rPr>
              <w:t>分；④与本年度部门预算资金相匹配计</w:t>
            </w:r>
            <w:r>
              <w:rPr>
                <w:rFonts w:hint="default" w:ascii="Times New Roman" w:hAnsi="Times New Roman" w:eastAsia="仿宋" w:cs="Times New Roman"/>
                <w:sz w:val="18"/>
                <w:szCs w:val="18"/>
              </w:rPr>
              <w:t>1</w:t>
            </w:r>
            <w:r>
              <w:rPr>
                <w:rFonts w:hint="eastAsia" w:ascii="仿宋" w:hAnsi="仿宋" w:eastAsia="仿宋" w:cs="仿宋"/>
                <w:sz w:val="18"/>
                <w:szCs w:val="1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预算配置（</w:t>
            </w:r>
            <w:r>
              <w:rPr>
                <w:rFonts w:hint="default" w:ascii="Times New Roman" w:hAnsi="Times New Roman" w:eastAsia="仿宋" w:cs="Times New Roman"/>
                <w:sz w:val="18"/>
                <w:szCs w:val="18"/>
              </w:rPr>
              <w:t>15</w:t>
            </w:r>
            <w:r>
              <w:rPr>
                <w:rFonts w:hint="eastAsia" w:ascii="仿宋" w:hAnsi="仿宋" w:eastAsia="仿宋" w:cs="仿宋"/>
                <w:sz w:val="18"/>
                <w:szCs w:val="18"/>
              </w:rPr>
              <w:t>分）</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在职人员控制率（</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5</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部门本年度实际在职人员数与编制数的比率，用以反映和考核部门对人员成本的控制程度。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在职人员控制率=（在职人员数/编制数）×</w:t>
            </w:r>
            <w:r>
              <w:rPr>
                <w:rFonts w:hint="default" w:ascii="Times New Roman" w:hAnsi="Times New Roman" w:eastAsia="仿宋" w:cs="Times New Roman"/>
                <w:sz w:val="18"/>
                <w:szCs w:val="18"/>
              </w:rPr>
              <w:t>100</w:t>
            </w:r>
            <w:r>
              <w:rPr>
                <w:rFonts w:hint="eastAsia" w:ascii="仿宋" w:hAnsi="仿宋" w:eastAsia="仿宋" w:cs="仿宋"/>
                <w:sz w:val="18"/>
                <w:szCs w:val="18"/>
              </w:rPr>
              <w:t>%小于或等于</w:t>
            </w:r>
            <w:r>
              <w:rPr>
                <w:rFonts w:hint="default" w:ascii="Times New Roman" w:hAnsi="Times New Roman" w:eastAsia="仿宋" w:cs="Times New Roman"/>
                <w:sz w:val="18"/>
                <w:szCs w:val="18"/>
              </w:rPr>
              <w:t>1</w:t>
            </w:r>
            <w:r>
              <w:rPr>
                <w:rFonts w:hint="eastAsia" w:ascii="仿宋" w:hAnsi="仿宋" w:eastAsia="仿宋" w:cs="仿宋"/>
                <w:sz w:val="18"/>
                <w:szCs w:val="18"/>
              </w:rPr>
              <w:t>计</w:t>
            </w:r>
            <w:r>
              <w:rPr>
                <w:rFonts w:hint="default" w:ascii="Times New Roman" w:hAnsi="Times New Roman" w:eastAsia="仿宋" w:cs="Times New Roman"/>
                <w:sz w:val="18"/>
                <w:szCs w:val="18"/>
              </w:rPr>
              <w:t>5</w:t>
            </w:r>
            <w:r>
              <w:rPr>
                <w:rFonts w:hint="eastAsia" w:ascii="仿宋" w:hAnsi="仿宋" w:eastAsia="仿宋" w:cs="仿宋"/>
                <w:sz w:val="18"/>
                <w:szCs w:val="18"/>
              </w:rPr>
              <w:t>分，否则按比例计分。在职人员数：部门实际在职人数，以财政部确定的部门决算编制口径为准。编制数：机构编制部门核定批复的部门的人员编制数。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“三公经费”变动率（</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0</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部门本年度“三公经费”预算数与上年度“三公经费”预算数的变动比率，用以反映和考核部门对控制重点行政成本的努力程度。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“三公经费”变动率=[（本年度“三公经费”总额-上年度“三公经费”总额）/上年度“三公经费”总额]×</w:t>
            </w:r>
            <w:r>
              <w:rPr>
                <w:rFonts w:hint="default" w:ascii="Times New Roman" w:hAnsi="Times New Roman" w:eastAsia="仿宋" w:cs="Times New Roman"/>
                <w:sz w:val="18"/>
                <w:szCs w:val="18"/>
              </w:rPr>
              <w:t>100</w:t>
            </w:r>
            <w:r>
              <w:rPr>
                <w:rFonts w:hint="eastAsia" w:ascii="仿宋" w:hAnsi="仿宋" w:eastAsia="仿宋" w:cs="仿宋"/>
                <w:sz w:val="18"/>
                <w:szCs w:val="18"/>
              </w:rPr>
              <w:t>%。下降的计</w:t>
            </w:r>
            <w:r>
              <w:rPr>
                <w:rFonts w:hint="default" w:ascii="Times New Roman" w:hAnsi="Times New Roman" w:eastAsia="仿宋" w:cs="Times New Roman"/>
                <w:sz w:val="18"/>
                <w:szCs w:val="18"/>
              </w:rPr>
              <w:t>5</w:t>
            </w:r>
            <w:r>
              <w:rPr>
                <w:rFonts w:hint="eastAsia" w:ascii="仿宋" w:hAnsi="仿宋" w:eastAsia="仿宋" w:cs="仿宋"/>
                <w:sz w:val="18"/>
                <w:szCs w:val="18"/>
              </w:rPr>
              <w:t>分，增加的按比例扣减。“三公经费”：年度预算安排的因公出国（境）费、公务车辆购置及运行费和公务招待费。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重点支出安排率（</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5</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部门本年度预算安排的重点项目支出与部门项目总支出的比率，用以反映和考核部门对履行主要职责或完成重点任务的保障程度。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重点支出安排率=（重点项目支出/项目总支出）×</w:t>
            </w:r>
            <w:r>
              <w:rPr>
                <w:rFonts w:hint="default" w:ascii="Times New Roman" w:hAnsi="Times New Roman" w:eastAsia="仿宋" w:cs="Times New Roman"/>
                <w:sz w:val="18"/>
                <w:szCs w:val="18"/>
              </w:rPr>
              <w:t>100</w:t>
            </w:r>
            <w:r>
              <w:rPr>
                <w:rFonts w:hint="eastAsia" w:ascii="仿宋" w:hAnsi="仿宋" w:eastAsia="仿宋" w:cs="仿宋"/>
                <w:sz w:val="18"/>
                <w:szCs w:val="18"/>
              </w:rPr>
              <w:t>%。实际得分=支出安排率*</w:t>
            </w:r>
            <w:r>
              <w:rPr>
                <w:rFonts w:hint="default" w:ascii="Times New Roman" w:hAnsi="Times New Roman" w:eastAsia="仿宋" w:cs="Times New Roman"/>
                <w:sz w:val="18"/>
                <w:szCs w:val="18"/>
              </w:rPr>
              <w:t>5</w:t>
            </w:r>
            <w:r>
              <w:rPr>
                <w:rFonts w:hint="eastAsia" w:ascii="仿宋" w:hAnsi="仿宋" w:eastAsia="仿宋" w:cs="仿宋"/>
                <w:sz w:val="18"/>
                <w:szCs w:val="18"/>
              </w:rPr>
              <w:t>分。重点项目支出：部门年度预算安排的，与本部门履职和发展密切相关、具有明显社会和经济影响、党委政府关心或社会比较关注的项目支出总额。项目总支出：部门年度预算安排的项目支出总额。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过程（</w:t>
            </w:r>
            <w:r>
              <w:rPr>
                <w:rFonts w:hint="default" w:ascii="Times New Roman" w:hAnsi="Times New Roman" w:eastAsia="仿宋" w:cs="Times New Roman"/>
                <w:sz w:val="18"/>
                <w:szCs w:val="18"/>
              </w:rPr>
              <w:t>30</w:t>
            </w:r>
            <w:r>
              <w:rPr>
                <w:rFonts w:hint="eastAsia" w:ascii="仿宋" w:hAnsi="仿宋" w:eastAsia="仿宋" w:cs="仿宋"/>
                <w:sz w:val="18"/>
                <w:szCs w:val="18"/>
              </w:rPr>
              <w:t>分）</w:t>
            </w:r>
          </w:p>
        </w:tc>
        <w:tc>
          <w:tcPr>
            <w:tcW w:w="818"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预算执行（</w:t>
            </w:r>
            <w:r>
              <w:rPr>
                <w:rFonts w:hint="default" w:ascii="Times New Roman" w:hAnsi="Times New Roman" w:eastAsia="仿宋" w:cs="Times New Roman"/>
                <w:sz w:val="18"/>
                <w:szCs w:val="18"/>
              </w:rPr>
              <w:t>20</w:t>
            </w:r>
            <w:r>
              <w:rPr>
                <w:rFonts w:hint="eastAsia" w:ascii="仿宋" w:hAnsi="仿宋" w:eastAsia="仿宋" w:cs="仿宋"/>
                <w:sz w:val="18"/>
                <w:szCs w:val="18"/>
              </w:rPr>
              <w:t>分）</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预算完成率（</w:t>
            </w:r>
            <w:r>
              <w:rPr>
                <w:rFonts w:hint="default" w:ascii="Times New Roman" w:hAnsi="Times New Roman" w:eastAsia="仿宋" w:cs="Times New Roman"/>
                <w:sz w:val="18"/>
                <w:szCs w:val="18"/>
              </w:rPr>
              <w:t>4</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r>
              <w:rPr>
                <w:rFonts w:hint="eastAsia" w:ascii="仿宋" w:hAnsi="仿宋" w:eastAsia="仿宋" w:cs="仿宋"/>
                <w:sz w:val="18"/>
                <w:szCs w:val="18"/>
              </w:rPr>
              <w:t>.</w:t>
            </w:r>
            <w:r>
              <w:rPr>
                <w:rFonts w:hint="default" w:ascii="Times New Roman" w:hAnsi="Times New Roman" w:eastAsia="仿宋" w:cs="Times New Roman"/>
                <w:sz w:val="18"/>
                <w:szCs w:val="18"/>
              </w:rPr>
              <w:t>74</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部门本年度预算完成数与预算数的比率，用以反映和考核部门预算完成程度。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预算完成率=（预算完成数/预算数）×</w:t>
            </w:r>
            <w:r>
              <w:rPr>
                <w:rFonts w:hint="default" w:ascii="Times New Roman" w:hAnsi="Times New Roman" w:eastAsia="仿宋" w:cs="Times New Roman"/>
                <w:sz w:val="18"/>
                <w:szCs w:val="18"/>
              </w:rPr>
              <w:t>100</w:t>
            </w:r>
            <w:r>
              <w:rPr>
                <w:rFonts w:hint="eastAsia" w:ascii="仿宋" w:hAnsi="仿宋" w:eastAsia="仿宋" w:cs="仿宋"/>
                <w:sz w:val="18"/>
                <w:szCs w:val="18"/>
              </w:rPr>
              <w:t>%。完成年初预算计</w:t>
            </w:r>
            <w:r>
              <w:rPr>
                <w:rFonts w:hint="default" w:ascii="Times New Roman" w:hAnsi="Times New Roman" w:eastAsia="仿宋" w:cs="Times New Roman"/>
                <w:sz w:val="18"/>
                <w:szCs w:val="18"/>
              </w:rPr>
              <w:t>4</w:t>
            </w:r>
            <w:r>
              <w:rPr>
                <w:rFonts w:hint="eastAsia" w:ascii="仿宋" w:hAnsi="仿宋" w:eastAsia="仿宋" w:cs="仿宋"/>
                <w:sz w:val="18"/>
                <w:szCs w:val="18"/>
              </w:rPr>
              <w:t>分，未完成年初预算按比例扣减，预算完成数：部门本年度实际完成的预算数。预算数：财政部门批复的本年度部门预算数。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预算调整率（</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1</w:t>
            </w:r>
            <w:r>
              <w:rPr>
                <w:rFonts w:hint="eastAsia" w:ascii="仿宋" w:hAnsi="仿宋" w:eastAsia="仿宋" w:cs="仿宋"/>
                <w:sz w:val="18"/>
                <w:szCs w:val="18"/>
              </w:rPr>
              <w:t>.</w:t>
            </w:r>
            <w:r>
              <w:rPr>
                <w:rFonts w:hint="default" w:ascii="Times New Roman" w:hAnsi="Times New Roman" w:eastAsia="仿宋" w:cs="Times New Roman"/>
                <w:sz w:val="18"/>
                <w:szCs w:val="18"/>
              </w:rPr>
              <w:t>65</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部门本年度预算调整数与预算数的比率，用以反映和考核部门预算的调整程度。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预算调整率=（预算调整数/预算数）×</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%。未调整的计</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分，调整了的除特殊原因外按比例扣减。预算调整数：部门在本年度内涉及预算的追加、追减或结构调整的资金总和（因落实国家政策、发生不可抗力、上级部门或同级党委政府临时交办而产生的调整除外）。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支付进度率（</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部门实际支付进度与既定支付进度的比率，用以反映和考核部门预算执行的及时性和均衡性程度。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支付进度率=（实际支付进度/既定支付进度）×</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%。完成年终进度的计</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分，按季度完成预算进度的计</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实际支付进度：部门在某一时点的支出预算执行总数与年度支出预算数的比率。既定支付进度：由部门在申报部门整体绩效目标时，参照序时支付进度、前三年支付进度、同级部门平均支付进度水平等确定的，在某一时点应达到的支付进度（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结转结余控制率（</w:t>
            </w:r>
            <w:r>
              <w:rPr>
                <w:rFonts w:hint="default" w:ascii="Times New Roman" w:hAnsi="Times New Roman" w:eastAsia="仿宋" w:cs="Times New Roman"/>
                <w:sz w:val="18"/>
                <w:szCs w:val="18"/>
              </w:rPr>
              <w:t>4</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0</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部门本年度结转结余总额与上年结转结余总额增减比例，用以反映和考核部门对存量资金的实际控制程度。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结转结余控制率=（本年结转结余总额-上年结转结余总额）/上年结转结余总额×</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%。低于</w:t>
            </w:r>
            <w:r>
              <w:rPr>
                <w:rFonts w:hint="default" w:ascii="Times New Roman" w:hAnsi="Times New Roman" w:eastAsia="仿宋" w:cs="Times New Roman"/>
                <w:color w:val="000000"/>
                <w:sz w:val="18"/>
                <w:szCs w:val="18"/>
                <w:shd w:val="clear" w:color="auto" w:fill="FFFFFF"/>
              </w:rPr>
              <w:t>15</w:t>
            </w:r>
            <w:r>
              <w:rPr>
                <w:rFonts w:hint="eastAsia" w:ascii="仿宋" w:hAnsi="仿宋" w:eastAsia="仿宋" w:cs="仿宋"/>
                <w:color w:val="000000"/>
                <w:sz w:val="18"/>
                <w:szCs w:val="18"/>
                <w:shd w:val="clear" w:color="auto" w:fill="FFFFFF"/>
              </w:rPr>
              <w:t>%的计</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分，每超过</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个百分点扣</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分，扣完为止。结转结余总额：部门本年度的结转资金与结余资金之和（以决算数为准）。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公用经费控制率（</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部门本年度实际支出的公用经费总额与预算安排的公用经费总额的比率，用以反映和考核部门对机构运转成本的实际控制程度。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公用经费控制率=（实际支出公用经费总额/预算安排公用经费总额）×</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%。为</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%的计</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分，每超过</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个百分点扣</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“三公经费”控制率（</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部门本年度“三公经费”实际支出数与预算安排数的比率，用以反映和考核部门对“三公经费”的实际控制程度。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“三公经费”控制率=（“三公经费”实际支出数/“三公经费”预算安排数）×</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%。为</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%的计</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分，每超过</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个百分点扣</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政府采购执行率（</w:t>
            </w:r>
            <w:r>
              <w:rPr>
                <w:rFonts w:hint="default" w:ascii="Times New Roman" w:hAnsi="Times New Roman" w:eastAsia="仿宋" w:cs="Times New Roman"/>
                <w:sz w:val="18"/>
                <w:szCs w:val="18"/>
              </w:rPr>
              <w:t>4</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4</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部门本年度实际政府采购金额与年初政府采购预算的比率，用以反映和考核部门政府采购预算执行情况。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政府采购执行率=（实际政府采购金额/政府采购预算数）×</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%，为</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%的计</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分，每低于</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个百分点扣</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分，扣完为止；政府采购预算：采购机关根据事业发展计划和行政任务编制的、并经过规定程序批准的年度政府采购计划。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预算管理（</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管理制度健全性（</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部门为加强预算管理、规范财务行为而制定的管理制度是否健全完整，用以反映和考核部门预算管理制度对完成主要职责或促进事业发展的保障情况。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已制定或具有预算资金管理办法、内部财务管理制度、会计核算制度等管理制度计</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分；相关管理制度合法、合规、完整计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分；相关管理制度得到有效执行计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资金使用合规性（</w:t>
            </w:r>
            <w:r>
              <w:rPr>
                <w:rFonts w:hint="default" w:ascii="Times New Roman" w:hAnsi="Times New Roman" w:eastAsia="仿宋" w:cs="Times New Roman"/>
                <w:sz w:val="18"/>
                <w:szCs w:val="18"/>
              </w:rPr>
              <w:t>1</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1</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部门使用预算资金是否符合相关的预算财务管理制度的规定，用以反映和考核部门预算资金的规范运行情况。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①符合国家财经法规和财务管理制度规定以及有关专项资金管理办法的规定计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分；②资金的拨付有完整的审批程序和手续计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分；③项目的重大开支经过评估论证计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分；④符合部门预算批复的用途计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分；⑤不存在截留、挤占、挪用、虚列支出等情况计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2</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预决算信息公开性（</w:t>
            </w:r>
            <w:r>
              <w:rPr>
                <w:rFonts w:hint="default" w:ascii="Times New Roman" w:hAnsi="Times New Roman" w:eastAsia="仿宋" w:cs="Times New Roman"/>
                <w:sz w:val="18"/>
                <w:szCs w:val="18"/>
              </w:rPr>
              <w:t>1</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1</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部门是否按照政府信息公开有关规定公开相关预决算信息，用以反映和考核部门预决算管理的公开透明情况。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①按规定内容公开预决算信息计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分；②按规定时限公开预决算信息计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分。预决算信息是指与部门预算、执行、决算、监督、绩效等管理相关的信息。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基础信息完善性（</w:t>
            </w:r>
            <w:r>
              <w:rPr>
                <w:rFonts w:hint="default" w:ascii="Times New Roman" w:hAnsi="Times New Roman" w:eastAsia="仿宋" w:cs="Times New Roman"/>
                <w:sz w:val="18"/>
                <w:szCs w:val="18"/>
              </w:rPr>
              <w:t>1</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1</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部门基础信息是否完善，用以反映和考核基础信息对预算管理工作的支撑情况。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①基础数据信息和会计信息资料真实计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分；②基础数据信息和会计信息资料完整计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3</w:t>
            </w:r>
            <w:r>
              <w:rPr>
                <w:rFonts w:hint="eastAsia" w:ascii="仿宋" w:hAnsi="仿宋" w:eastAsia="仿宋" w:cs="仿宋"/>
                <w:color w:val="000000"/>
                <w:sz w:val="18"/>
                <w:szCs w:val="18"/>
                <w:shd w:val="clear" w:color="auto" w:fill="FFFFFF"/>
              </w:rPr>
              <w:t>分；③基础数据信息和会计信息资料准确计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3</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资产管理（</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管理制度健全性（</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部门为加强资产管理、规范资产管理行为而制定的管理制度是否健全完整，用以反映和考核部门资产管理制度对完成主要职责或促进社会发展的保障情况。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①制定或具有资产管理制度计</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分；②相关资产管理制度合法、合规、完整计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分；③相关资产管理制度得到有效执行计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资产管理安全性（</w:t>
            </w:r>
            <w:r>
              <w:rPr>
                <w:rFonts w:hint="default" w:ascii="Times New Roman" w:hAnsi="Times New Roman" w:eastAsia="仿宋" w:cs="Times New Roman"/>
                <w:sz w:val="18"/>
                <w:szCs w:val="18"/>
              </w:rPr>
              <w:t>2</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2</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部门的资产是否保存完整、使用合规、配置合理、处置规范、收入及时足额上缴，用以反映和考核部门资产安全运行情况。</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①资产保存完整计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分；②资产配置合理计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分；③资产处置规范计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分；④资产账务管理合规、帐实相符计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分；⑤资产有偿使用及处置收入及时足额上缴计</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固定资产利用率（</w:t>
            </w:r>
            <w:r>
              <w:rPr>
                <w:rFonts w:hint="default" w:ascii="Times New Roman" w:hAnsi="Times New Roman" w:eastAsia="仿宋" w:cs="Times New Roman"/>
                <w:sz w:val="18"/>
                <w:szCs w:val="18"/>
              </w:rPr>
              <w:t>1</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1</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部门实际在用固定资产总额与所有固定资产总额的比率，用以反映和考核部门固定资产使用效率程度。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固定资产利用率=（实际在用固定资产总额/所有固定资产总额）×</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%。利用率为</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%的计</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分，每降</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个百分点扣</w:t>
            </w:r>
            <w:r>
              <w:rPr>
                <w:rFonts w:hint="default" w:ascii="Times New Roman" w:hAnsi="Times New Roman" w:eastAsia="仿宋" w:cs="Times New Roman"/>
                <w:color w:val="000000"/>
                <w:sz w:val="18"/>
                <w:szCs w:val="18"/>
                <w:shd w:val="clear" w:color="auto" w:fill="FFFFFF"/>
              </w:rPr>
              <w:t>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产出（</w:t>
            </w:r>
            <w:r>
              <w:rPr>
                <w:rFonts w:hint="default" w:ascii="Times New Roman" w:hAnsi="Times New Roman" w:eastAsia="仿宋" w:cs="Times New Roman"/>
                <w:sz w:val="18"/>
                <w:szCs w:val="18"/>
              </w:rPr>
              <w:t>30</w:t>
            </w:r>
            <w:r>
              <w:rPr>
                <w:rFonts w:hint="eastAsia" w:ascii="仿宋" w:hAnsi="仿宋" w:eastAsia="仿宋" w:cs="仿宋"/>
                <w:sz w:val="18"/>
                <w:szCs w:val="18"/>
              </w:rPr>
              <w:t>分）</w:t>
            </w:r>
          </w:p>
        </w:tc>
        <w:tc>
          <w:tcPr>
            <w:tcW w:w="818"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职责履行（</w:t>
            </w:r>
            <w:r>
              <w:rPr>
                <w:rFonts w:hint="default" w:ascii="Times New Roman" w:hAnsi="Times New Roman" w:eastAsia="仿宋" w:cs="Times New Roman"/>
                <w:sz w:val="18"/>
                <w:szCs w:val="18"/>
              </w:rPr>
              <w:t>30</w:t>
            </w:r>
            <w:r>
              <w:rPr>
                <w:rFonts w:hint="eastAsia" w:ascii="仿宋" w:hAnsi="仿宋" w:eastAsia="仿宋" w:cs="仿宋"/>
                <w:sz w:val="18"/>
                <w:szCs w:val="18"/>
              </w:rPr>
              <w:t>分）</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实际完成率（</w:t>
            </w:r>
            <w:r>
              <w:rPr>
                <w:rFonts w:hint="default" w:ascii="Times New Roman" w:hAnsi="Times New Roman" w:eastAsia="仿宋" w:cs="Times New Roman"/>
                <w:sz w:val="18"/>
                <w:szCs w:val="18"/>
              </w:rPr>
              <w:t>8</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8</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部门履行职责而实际完成工作数与计划工作数的比率，用以反映和考核部门履职工作任务目标的实现程度。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实际完成率得分=完成市委市政府绩效考核得分或上级主管部门考核指标得分/指标分值*</w:t>
            </w:r>
            <w:r>
              <w:rPr>
                <w:rFonts w:hint="default" w:ascii="Times New Roman" w:hAnsi="Times New Roman" w:eastAsia="仿宋" w:cs="Times New Roman"/>
                <w:color w:val="000000"/>
                <w:sz w:val="18"/>
                <w:szCs w:val="18"/>
                <w:shd w:val="clear" w:color="auto" w:fill="FFFFFF"/>
              </w:rPr>
              <w:t>8</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完成及时率（</w:t>
            </w:r>
            <w:r>
              <w:rPr>
                <w:rFonts w:hint="default" w:ascii="Times New Roman" w:hAnsi="Times New Roman" w:eastAsia="仿宋" w:cs="Times New Roman"/>
                <w:sz w:val="18"/>
                <w:szCs w:val="18"/>
              </w:rPr>
              <w:t>4</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4</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部门在规定时限内及时完成的实际工作数与计划工作数的比率,用以反映和考核部门履职时效目标的实现程度。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完成及时率=（及时完成实际工作数/计划工作数）×</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w:t>
            </w:r>
            <w:r>
              <w:rPr>
                <w:rFonts w:hint="default" w:ascii="Times New Roman" w:hAnsi="Times New Roman" w:eastAsia="仿宋" w:cs="Times New Roman"/>
                <w:color w:val="000000"/>
                <w:sz w:val="18"/>
                <w:szCs w:val="18"/>
                <w:shd w:val="clear" w:color="auto" w:fill="FFFFFF"/>
              </w:rPr>
              <w:t>4</w:t>
            </w:r>
            <w:r>
              <w:rPr>
                <w:rFonts w:hint="eastAsia" w:ascii="仿宋" w:hAnsi="仿宋" w:eastAsia="仿宋" w:cs="仿宋"/>
                <w:color w:val="000000"/>
                <w:sz w:val="18"/>
                <w:szCs w:val="18"/>
                <w:shd w:val="clear" w:color="auto" w:fill="FFFFFF"/>
              </w:rPr>
              <w:t>季度各得</w:t>
            </w:r>
            <w:r>
              <w:rPr>
                <w:rFonts w:hint="default" w:ascii="Times New Roman" w:hAnsi="Times New Roman" w:eastAsia="仿宋" w:cs="Times New Roman"/>
                <w:color w:val="000000"/>
                <w:sz w:val="18"/>
                <w:szCs w:val="18"/>
                <w:shd w:val="clear" w:color="auto" w:fill="FFFFFF"/>
              </w:rPr>
              <w:t>1</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质量达标率（</w:t>
            </w:r>
            <w:r>
              <w:rPr>
                <w:rFonts w:hint="default" w:ascii="Times New Roman" w:hAnsi="Times New Roman" w:eastAsia="仿宋" w:cs="Times New Roman"/>
                <w:sz w:val="18"/>
                <w:szCs w:val="18"/>
              </w:rPr>
              <w:t>8</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8</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达到质量标准（绩效标准值）的实际工作数与计划工作数的比率,用以反映和考核部门履职质量目标的实现程度。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质量达标率=（质量达标实际工作数/计划工作数）×</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%。实际得分=达标率*</w:t>
            </w:r>
            <w:r>
              <w:rPr>
                <w:rFonts w:hint="default" w:ascii="Times New Roman" w:hAnsi="Times New Roman" w:eastAsia="仿宋" w:cs="Times New Roman"/>
                <w:color w:val="000000"/>
                <w:sz w:val="18"/>
                <w:szCs w:val="18"/>
                <w:shd w:val="clear" w:color="auto" w:fill="FFFFFF"/>
              </w:rPr>
              <w:t>8</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重点工作办结率（</w:t>
            </w:r>
            <w:r>
              <w:rPr>
                <w:rFonts w:hint="default" w:ascii="Times New Roman" w:hAnsi="Times New Roman" w:eastAsia="仿宋" w:cs="Times New Roman"/>
                <w:sz w:val="18"/>
                <w:szCs w:val="18"/>
              </w:rPr>
              <w:t>10</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10</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部门年度重点工作实际完成数与交办或下达数的比率，用以反映部门对重点工作的办理落实程度。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重点工作办结率=（重点工作实际完成数/交办或下达数）×</w:t>
            </w:r>
            <w:r>
              <w:rPr>
                <w:rFonts w:hint="default" w:ascii="Times New Roman" w:hAnsi="Times New Roman" w:eastAsia="仿宋" w:cs="Times New Roman"/>
                <w:color w:val="000000"/>
                <w:sz w:val="18"/>
                <w:szCs w:val="18"/>
                <w:shd w:val="clear" w:color="auto" w:fill="FFFFFF"/>
              </w:rPr>
              <w:t>100</w:t>
            </w:r>
            <w:r>
              <w:rPr>
                <w:rFonts w:hint="eastAsia" w:ascii="仿宋" w:hAnsi="仿宋" w:eastAsia="仿宋" w:cs="仿宋"/>
                <w:color w:val="000000"/>
                <w:sz w:val="18"/>
                <w:szCs w:val="18"/>
                <w:shd w:val="clear" w:color="auto" w:fill="FFFFFF"/>
              </w:rPr>
              <w:t>%。实际得分=办结率*</w:t>
            </w:r>
            <w:r>
              <w:rPr>
                <w:rFonts w:hint="default" w:ascii="Times New Roman" w:hAnsi="Times New Roman" w:eastAsia="仿宋" w:cs="Times New Roman"/>
                <w:color w:val="000000"/>
                <w:sz w:val="18"/>
                <w:szCs w:val="18"/>
                <w:shd w:val="clear" w:color="auto" w:fill="FFFFFF"/>
              </w:rPr>
              <w:t>10</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效果（</w:t>
            </w:r>
            <w:r>
              <w:rPr>
                <w:rFonts w:hint="default" w:ascii="Times New Roman" w:hAnsi="Times New Roman" w:eastAsia="仿宋" w:cs="Times New Roman"/>
                <w:sz w:val="18"/>
                <w:szCs w:val="18"/>
              </w:rPr>
              <w:t>20</w:t>
            </w:r>
            <w:r>
              <w:rPr>
                <w:rFonts w:hint="eastAsia" w:ascii="仿宋" w:hAnsi="仿宋" w:eastAsia="仿宋" w:cs="仿宋"/>
                <w:sz w:val="18"/>
                <w:szCs w:val="18"/>
              </w:rPr>
              <w:t>分）</w:t>
            </w:r>
          </w:p>
        </w:tc>
        <w:tc>
          <w:tcPr>
            <w:tcW w:w="818" w:type="dxa"/>
            <w:vMerge w:val="restart"/>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履职效益（</w:t>
            </w:r>
            <w:r>
              <w:rPr>
                <w:rFonts w:hint="default" w:ascii="Times New Roman" w:hAnsi="Times New Roman" w:eastAsia="仿宋" w:cs="Times New Roman"/>
                <w:sz w:val="18"/>
                <w:szCs w:val="18"/>
              </w:rPr>
              <w:t>20</w:t>
            </w:r>
            <w:r>
              <w:rPr>
                <w:rFonts w:hint="eastAsia" w:ascii="仿宋" w:hAnsi="仿宋" w:eastAsia="仿宋" w:cs="仿宋"/>
                <w:sz w:val="18"/>
                <w:szCs w:val="18"/>
              </w:rPr>
              <w:t>分）</w:t>
            </w: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经济效益（</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5</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sz w:val="18"/>
                <w:szCs w:val="18"/>
              </w:rPr>
              <w:t>部门履行职责对经济发展所带来直接或间接影响</w:t>
            </w:r>
          </w:p>
        </w:tc>
        <w:tc>
          <w:tcPr>
            <w:tcW w:w="2836" w:type="dxa"/>
            <w:vMerge w:val="restart"/>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按经济效益实现程度计算得分（</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分）；按社会效益实现程度计算得分（</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分）；按生态效益实现程度计算得分（</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社会效益（</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5</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部门履行职责对社会发展所带来的直接或间接影响。</w:t>
            </w:r>
          </w:p>
        </w:tc>
        <w:tc>
          <w:tcPr>
            <w:tcW w:w="2836" w:type="dxa"/>
            <w:vMerge w:val="continue"/>
          </w:tcPr>
          <w:p>
            <w:pPr>
              <w:widowControl/>
              <w:spacing w:line="240" w:lineRule="auto"/>
              <w:jc w:val="left"/>
              <w:rPr>
                <w:rFonts w:hint="eastAsia" w:ascii="仿宋" w:hAnsi="仿宋" w:eastAsia="仿宋"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生态效益（</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5</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部门履行职责对生态环境所带来的直接或间接影响。</w:t>
            </w:r>
          </w:p>
        </w:tc>
        <w:tc>
          <w:tcPr>
            <w:tcW w:w="2836" w:type="dxa"/>
            <w:vMerge w:val="continue"/>
          </w:tcPr>
          <w:p>
            <w:pPr>
              <w:widowControl/>
              <w:spacing w:line="240" w:lineRule="auto"/>
              <w:jc w:val="left"/>
              <w:rPr>
                <w:rFonts w:hint="eastAsia" w:ascii="仿宋" w:hAnsi="仿宋" w:eastAsia="仿宋"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 w:type="dxa"/>
            <w:vMerge w:val="continue"/>
            <w:vAlign w:val="center"/>
          </w:tcPr>
          <w:p>
            <w:pPr>
              <w:widowControl/>
              <w:spacing w:line="240" w:lineRule="auto"/>
              <w:jc w:val="center"/>
              <w:rPr>
                <w:rFonts w:hint="eastAsia" w:ascii="仿宋" w:hAnsi="仿宋" w:eastAsia="仿宋" w:cs="仿宋"/>
                <w:sz w:val="18"/>
                <w:szCs w:val="18"/>
              </w:rPr>
            </w:pPr>
          </w:p>
        </w:tc>
        <w:tc>
          <w:tcPr>
            <w:tcW w:w="818" w:type="dxa"/>
            <w:vMerge w:val="continue"/>
            <w:vAlign w:val="center"/>
          </w:tcPr>
          <w:p>
            <w:pPr>
              <w:widowControl/>
              <w:spacing w:line="240" w:lineRule="auto"/>
              <w:jc w:val="center"/>
              <w:rPr>
                <w:rFonts w:hint="eastAsia" w:ascii="仿宋" w:hAnsi="仿宋" w:eastAsia="仿宋" w:cs="仿宋"/>
                <w:sz w:val="18"/>
                <w:szCs w:val="18"/>
              </w:rPr>
            </w:pPr>
          </w:p>
        </w:tc>
        <w:tc>
          <w:tcPr>
            <w:tcW w:w="832" w:type="dxa"/>
            <w:vAlign w:val="center"/>
          </w:tcPr>
          <w:p>
            <w:pPr>
              <w:widowControl/>
              <w:spacing w:line="240" w:lineRule="auto"/>
              <w:jc w:val="center"/>
              <w:rPr>
                <w:rFonts w:hint="eastAsia" w:ascii="仿宋" w:hAnsi="仿宋" w:eastAsia="仿宋" w:cs="仿宋"/>
                <w:sz w:val="18"/>
                <w:szCs w:val="18"/>
              </w:rPr>
            </w:pPr>
            <w:r>
              <w:rPr>
                <w:rFonts w:hint="eastAsia" w:ascii="仿宋" w:hAnsi="仿宋" w:eastAsia="仿宋" w:cs="仿宋"/>
                <w:sz w:val="18"/>
                <w:szCs w:val="18"/>
              </w:rPr>
              <w:t>社会公众或服务对象满意度（</w:t>
            </w:r>
            <w:r>
              <w:rPr>
                <w:rFonts w:hint="default" w:ascii="Times New Roman" w:hAnsi="Times New Roman" w:eastAsia="仿宋" w:cs="Times New Roman"/>
                <w:sz w:val="18"/>
                <w:szCs w:val="18"/>
              </w:rPr>
              <w:t>5</w:t>
            </w:r>
            <w:r>
              <w:rPr>
                <w:rFonts w:hint="eastAsia" w:ascii="仿宋" w:hAnsi="仿宋" w:eastAsia="仿宋" w:cs="仿宋"/>
                <w:sz w:val="18"/>
                <w:szCs w:val="18"/>
              </w:rPr>
              <w:t>分）</w:t>
            </w:r>
          </w:p>
        </w:tc>
        <w:tc>
          <w:tcPr>
            <w:tcW w:w="771" w:type="dxa"/>
            <w:vAlign w:val="center"/>
          </w:tcPr>
          <w:p>
            <w:pPr>
              <w:widowControl/>
              <w:spacing w:line="240" w:lineRule="auto"/>
              <w:jc w:val="center"/>
              <w:rPr>
                <w:rFonts w:hint="eastAsia" w:ascii="仿宋" w:hAnsi="仿宋" w:eastAsia="仿宋" w:cs="仿宋"/>
                <w:sz w:val="18"/>
                <w:szCs w:val="18"/>
              </w:rPr>
            </w:pPr>
            <w:r>
              <w:rPr>
                <w:rFonts w:hint="default" w:ascii="Times New Roman" w:hAnsi="Times New Roman" w:eastAsia="仿宋" w:cs="Times New Roman"/>
                <w:sz w:val="18"/>
                <w:szCs w:val="18"/>
              </w:rPr>
              <w:t>5</w:t>
            </w:r>
          </w:p>
        </w:tc>
        <w:tc>
          <w:tcPr>
            <w:tcW w:w="2267"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社会公众或部门的服务对象对部门履职效果的满意程度。</w:t>
            </w:r>
          </w:p>
        </w:tc>
        <w:tc>
          <w:tcPr>
            <w:tcW w:w="2836" w:type="dxa"/>
          </w:tcPr>
          <w:p>
            <w:pPr>
              <w:widowControl/>
              <w:spacing w:line="240" w:lineRule="auto"/>
              <w:jc w:val="left"/>
              <w:rPr>
                <w:rFonts w:hint="eastAsia" w:ascii="仿宋" w:hAnsi="仿宋" w:eastAsia="仿宋" w:cs="仿宋"/>
                <w:sz w:val="18"/>
                <w:szCs w:val="18"/>
              </w:rPr>
            </w:pPr>
            <w:r>
              <w:rPr>
                <w:rFonts w:hint="eastAsia" w:ascii="仿宋" w:hAnsi="仿宋" w:eastAsia="仿宋" w:cs="仿宋"/>
                <w:color w:val="000000"/>
                <w:sz w:val="18"/>
                <w:szCs w:val="18"/>
                <w:shd w:val="clear" w:color="auto" w:fill="FFFFFF"/>
              </w:rPr>
              <w:t>按收集到的服务对象的满意率计算得分（</w:t>
            </w:r>
            <w:r>
              <w:rPr>
                <w:rFonts w:hint="default" w:ascii="Times New Roman" w:hAnsi="Times New Roman" w:eastAsia="仿宋" w:cs="Times New Roman"/>
                <w:color w:val="000000"/>
                <w:sz w:val="18"/>
                <w:szCs w:val="18"/>
                <w:shd w:val="clear" w:color="auto" w:fill="FFFFFF"/>
              </w:rPr>
              <w:t>5</w:t>
            </w:r>
            <w:r>
              <w:rPr>
                <w:rFonts w:hint="eastAsia" w:ascii="仿宋" w:hAnsi="仿宋" w:eastAsia="仿宋" w:cs="仿宋"/>
                <w:color w:val="000000"/>
                <w:sz w:val="18"/>
                <w:szCs w:val="18"/>
                <w:shd w:val="clear" w:color="auto" w:fill="FFFFFF"/>
              </w:rPr>
              <w:t>分）</w:t>
            </w:r>
          </w:p>
        </w:tc>
      </w:tr>
    </w:tbl>
    <w:p>
      <w:pPr>
        <w:spacing w:line="560" w:lineRule="exact"/>
        <w:rPr>
          <w:rFonts w:ascii="仿宋" w:hAnsi="仿宋" w:eastAsia="仿宋" w:cs="仿宋"/>
          <w:sz w:val="24"/>
        </w:rPr>
      </w:pPr>
    </w:p>
    <w:p>
      <w:pPr>
        <w:spacing w:line="560" w:lineRule="exact"/>
        <w:rPr>
          <w:rFonts w:ascii="仿宋" w:hAnsi="仿宋" w:eastAsia="仿宋" w:cs="仿宋"/>
          <w:sz w:val="24"/>
        </w:rPr>
      </w:pPr>
      <w:bookmarkStart w:id="19" w:name="_GoBack"/>
    </w:p>
    <w:bookmarkEnd w:id="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光楷体一_CNKI">
    <w:panose1 w:val="02000500000000000000"/>
    <w:charset w:val="86"/>
    <w:family w:val="auto"/>
    <w:pitch w:val="default"/>
    <w:sig w:usb0="8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291416"/>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83886A"/>
    <w:multiLevelType w:val="singleLevel"/>
    <w:tmpl w:val="9883886A"/>
    <w:lvl w:ilvl="0" w:tentative="0">
      <w:start w:val="1"/>
      <w:numFmt w:val="decimal"/>
      <w:suff w:val="nothing"/>
      <w:lvlText w:val="（%1）"/>
      <w:lvlJc w:val="left"/>
    </w:lvl>
  </w:abstractNum>
  <w:abstractNum w:abstractNumId="1">
    <w:nsid w:val="98DD244C"/>
    <w:multiLevelType w:val="singleLevel"/>
    <w:tmpl w:val="98DD244C"/>
    <w:lvl w:ilvl="0" w:tentative="0">
      <w:start w:val="1"/>
      <w:numFmt w:val="decimal"/>
      <w:suff w:val="nothing"/>
      <w:lvlText w:val="（%1）"/>
      <w:lvlJc w:val="left"/>
    </w:lvl>
  </w:abstractNum>
  <w:abstractNum w:abstractNumId="2">
    <w:nsid w:val="C8869258"/>
    <w:multiLevelType w:val="singleLevel"/>
    <w:tmpl w:val="C8869258"/>
    <w:lvl w:ilvl="0" w:tentative="0">
      <w:start w:val="1"/>
      <w:numFmt w:val="decimal"/>
      <w:suff w:val="nothing"/>
      <w:lvlText w:val="（%1）"/>
      <w:lvlJc w:val="left"/>
    </w:lvl>
  </w:abstractNum>
  <w:abstractNum w:abstractNumId="3">
    <w:nsid w:val="6E170933"/>
    <w:multiLevelType w:val="singleLevel"/>
    <w:tmpl w:val="6E170933"/>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hNGJiMWVmZTg4ZjFhYWZhYWFiMzBkODkwYWRkZmUifQ=="/>
    <w:docVar w:name="KSO_WPS_MARK_KEY" w:val="187c7ced-2984-4118-b661-397e785fc1f1"/>
  </w:docVars>
  <w:rsids>
    <w:rsidRoot w:val="74651E59"/>
    <w:rsid w:val="00330303"/>
    <w:rsid w:val="003C4F53"/>
    <w:rsid w:val="004031D2"/>
    <w:rsid w:val="00443BFB"/>
    <w:rsid w:val="005B1651"/>
    <w:rsid w:val="00757B9E"/>
    <w:rsid w:val="007A5C4F"/>
    <w:rsid w:val="009B102A"/>
    <w:rsid w:val="00BC67C3"/>
    <w:rsid w:val="00C35388"/>
    <w:rsid w:val="00C74F80"/>
    <w:rsid w:val="024141DC"/>
    <w:rsid w:val="0522741B"/>
    <w:rsid w:val="0605569D"/>
    <w:rsid w:val="06D00F31"/>
    <w:rsid w:val="092D5388"/>
    <w:rsid w:val="099F2894"/>
    <w:rsid w:val="0A3C05B1"/>
    <w:rsid w:val="0AFF012B"/>
    <w:rsid w:val="0BAB4FB0"/>
    <w:rsid w:val="0C7B653C"/>
    <w:rsid w:val="0C82125C"/>
    <w:rsid w:val="0DD423A8"/>
    <w:rsid w:val="0E52151F"/>
    <w:rsid w:val="1494463F"/>
    <w:rsid w:val="15F529E1"/>
    <w:rsid w:val="185E1954"/>
    <w:rsid w:val="19C31523"/>
    <w:rsid w:val="1A5F38B5"/>
    <w:rsid w:val="1A6B2141"/>
    <w:rsid w:val="1D464944"/>
    <w:rsid w:val="22757C95"/>
    <w:rsid w:val="232905DE"/>
    <w:rsid w:val="24137861"/>
    <w:rsid w:val="2A7705E9"/>
    <w:rsid w:val="2A7C6239"/>
    <w:rsid w:val="2CA952D4"/>
    <w:rsid w:val="2E2E14F7"/>
    <w:rsid w:val="2F87049D"/>
    <w:rsid w:val="306C34F9"/>
    <w:rsid w:val="31BE28A4"/>
    <w:rsid w:val="32A41A99"/>
    <w:rsid w:val="32B84137"/>
    <w:rsid w:val="3353059B"/>
    <w:rsid w:val="37FD0292"/>
    <w:rsid w:val="391B6435"/>
    <w:rsid w:val="3A231E3E"/>
    <w:rsid w:val="3B01514D"/>
    <w:rsid w:val="3CDC291E"/>
    <w:rsid w:val="3D1E6E38"/>
    <w:rsid w:val="3DE96EFA"/>
    <w:rsid w:val="441C1B32"/>
    <w:rsid w:val="44FF7769"/>
    <w:rsid w:val="47B2035D"/>
    <w:rsid w:val="49D6540A"/>
    <w:rsid w:val="4A3E237C"/>
    <w:rsid w:val="4A8605C8"/>
    <w:rsid w:val="4B3360CB"/>
    <w:rsid w:val="4B9E61A9"/>
    <w:rsid w:val="4CBF553A"/>
    <w:rsid w:val="4D704F42"/>
    <w:rsid w:val="4F1B24A1"/>
    <w:rsid w:val="54F16968"/>
    <w:rsid w:val="56292132"/>
    <w:rsid w:val="57AC4DC9"/>
    <w:rsid w:val="5825099B"/>
    <w:rsid w:val="585711D8"/>
    <w:rsid w:val="586B07E0"/>
    <w:rsid w:val="5B857885"/>
    <w:rsid w:val="5C212DC2"/>
    <w:rsid w:val="5D535CE6"/>
    <w:rsid w:val="615362B5"/>
    <w:rsid w:val="63734EDB"/>
    <w:rsid w:val="664F5DB0"/>
    <w:rsid w:val="668C3A66"/>
    <w:rsid w:val="6ADA6229"/>
    <w:rsid w:val="6B4F3F91"/>
    <w:rsid w:val="6B722F93"/>
    <w:rsid w:val="6CC91B21"/>
    <w:rsid w:val="6E3149D5"/>
    <w:rsid w:val="6E663ACB"/>
    <w:rsid w:val="6F855C92"/>
    <w:rsid w:val="70561ED7"/>
    <w:rsid w:val="70F84CDA"/>
    <w:rsid w:val="71B37676"/>
    <w:rsid w:val="72CA7DAD"/>
    <w:rsid w:val="73D265A3"/>
    <w:rsid w:val="74651E59"/>
    <w:rsid w:val="790C1713"/>
    <w:rsid w:val="797F1EE5"/>
    <w:rsid w:val="79C773E8"/>
    <w:rsid w:val="7AC2652D"/>
    <w:rsid w:val="7B7F7F7B"/>
    <w:rsid w:val="7C0416A3"/>
    <w:rsid w:val="7C3A20F4"/>
    <w:rsid w:val="7D0B583E"/>
    <w:rsid w:val="7D9B7A3D"/>
    <w:rsid w:val="7E12401C"/>
    <w:rsid w:val="7F1130DC"/>
    <w:rsid w:val="7FBC5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44"/>
    </w:rPr>
  </w:style>
  <w:style w:type="paragraph" w:styleId="3">
    <w:name w:val="heading 2"/>
    <w:basedOn w:val="1"/>
    <w:next w:val="1"/>
    <w:autoRedefine/>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after="260" w:line="413" w:lineRule="auto"/>
      <w:outlineLvl w:val="2"/>
    </w:pPr>
    <w:rPr>
      <w:b/>
      <w:sz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0"/>
    <w:autoRedefine/>
    <w:qFormat/>
    <w:uiPriority w:val="0"/>
    <w:pPr>
      <w:jc w:val="left"/>
    </w:pPr>
  </w:style>
  <w:style w:type="paragraph" w:styleId="6">
    <w:name w:val="footer"/>
    <w:basedOn w:val="1"/>
    <w:link w:val="22"/>
    <w:autoRedefine/>
    <w:qFormat/>
    <w:uiPriority w:val="99"/>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autoRedefine/>
    <w:qFormat/>
    <w:uiPriority w:val="39"/>
  </w:style>
  <w:style w:type="paragraph" w:styleId="9">
    <w:name w:val="toc 2"/>
    <w:basedOn w:val="1"/>
    <w:next w:val="1"/>
    <w:autoRedefine/>
    <w:qFormat/>
    <w:uiPriority w:val="39"/>
    <w:pPr>
      <w:ind w:left="420" w:leftChars="200"/>
    </w:pPr>
  </w:style>
  <w:style w:type="paragraph" w:styleId="10">
    <w:name w:val="Normal (Web)"/>
    <w:basedOn w:val="1"/>
    <w:autoRedefine/>
    <w:qFormat/>
    <w:uiPriority w:val="0"/>
    <w:pPr>
      <w:spacing w:beforeAutospacing="1" w:afterAutospacing="1"/>
      <w:jc w:val="left"/>
    </w:pPr>
    <w:rPr>
      <w:rFonts w:cs="Times New Roman"/>
      <w:kern w:val="0"/>
      <w:sz w:val="24"/>
    </w:rPr>
  </w:style>
  <w:style w:type="paragraph" w:styleId="11">
    <w:name w:val="annotation subject"/>
    <w:basedOn w:val="5"/>
    <w:next w:val="5"/>
    <w:link w:val="21"/>
    <w:autoRedefine/>
    <w:qFormat/>
    <w:uiPriority w:val="0"/>
    <w:rPr>
      <w:b/>
      <w:bCs/>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autoRedefine/>
    <w:unhideWhenUsed/>
    <w:qFormat/>
    <w:uiPriority w:val="99"/>
    <w:rPr>
      <w:color w:val="0026E5" w:themeColor="hyperlink"/>
      <w:u w:val="single"/>
      <w14:textFill>
        <w14:solidFill>
          <w14:schemeClr w14:val="hlink"/>
        </w14:solidFill>
      </w14:textFill>
    </w:rPr>
  </w:style>
  <w:style w:type="character" w:styleId="16">
    <w:name w:val="annotation reference"/>
    <w:basedOn w:val="14"/>
    <w:autoRedefine/>
    <w:qFormat/>
    <w:uiPriority w:val="0"/>
    <w:rPr>
      <w:sz w:val="21"/>
      <w:szCs w:val="21"/>
    </w:rPr>
  </w:style>
  <w:style w:type="paragraph" w:customStyle="1" w:styleId="17">
    <w:name w:val="Index5"/>
    <w:basedOn w:val="1"/>
    <w:next w:val="1"/>
    <w:qFormat/>
    <w:uiPriority w:val="0"/>
    <w:pPr>
      <w:ind w:left="1680"/>
      <w:jc w:val="left"/>
      <w:textAlignment w:val="baseline"/>
    </w:pPr>
    <w:rPr>
      <w:rFonts w:eastAsia="宋体"/>
    </w:r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0">
    <w:name w:val="批注文字 字符"/>
    <w:basedOn w:val="14"/>
    <w:link w:val="5"/>
    <w:autoRedefine/>
    <w:qFormat/>
    <w:uiPriority w:val="0"/>
    <w:rPr>
      <w:rFonts w:asciiTheme="minorHAnsi" w:hAnsiTheme="minorHAnsi" w:eastAsiaTheme="minorEastAsia" w:cstheme="minorBidi"/>
      <w:kern w:val="2"/>
      <w:sz w:val="21"/>
      <w:szCs w:val="24"/>
    </w:rPr>
  </w:style>
  <w:style w:type="character" w:customStyle="1" w:styleId="21">
    <w:name w:val="批注主题 字符"/>
    <w:basedOn w:val="20"/>
    <w:link w:val="11"/>
    <w:qFormat/>
    <w:uiPriority w:val="0"/>
    <w:rPr>
      <w:rFonts w:asciiTheme="minorHAnsi" w:hAnsiTheme="minorHAnsi" w:eastAsiaTheme="minorEastAsia" w:cstheme="minorBidi"/>
      <w:b/>
      <w:bCs/>
      <w:kern w:val="2"/>
      <w:sz w:val="21"/>
      <w:szCs w:val="24"/>
    </w:rPr>
  </w:style>
  <w:style w:type="character" w:customStyle="1" w:styleId="22">
    <w:name w:val="页脚 字符"/>
    <w:basedOn w:val="14"/>
    <w:link w:val="6"/>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2F9D4-BC03-44D7-9BC3-881EBD8EE855}">
  <ds:schemaRefs/>
</ds:datastoreItem>
</file>

<file path=docProps/app.xml><?xml version="1.0" encoding="utf-8"?>
<Properties xmlns="http://schemas.openxmlformats.org/officeDocument/2006/extended-properties" xmlns:vt="http://schemas.openxmlformats.org/officeDocument/2006/docPropsVTypes">
  <Template>Normal</Template>
  <Pages>35</Pages>
  <Words>16716</Words>
  <Characters>17673</Characters>
  <Lines>138</Lines>
  <Paragraphs>38</Paragraphs>
  <TotalTime>7</TotalTime>
  <ScaleCrop>false</ScaleCrop>
  <LinksUpToDate>false</LinksUpToDate>
  <CharactersWithSpaces>17787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2023-11-29T13:21:00Z</dcterms:created>
  <dc:creator>阿罗</dc:creator>
  <cp:lastModifiedBy>七十八</cp:lastModifiedBy>
  <dcterms:modified xsi:type="dcterms:W3CDTF">2024-02-07T15:16:40Z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20678578DA3D4BF28608FD1DFF812C8F_13</vt:lpwstr>
  </property>
</Properties>
</file>