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仿宋" w:hAnsi="仿宋" w:eastAsia="仿宋" w:cs="Times New Roman"/>
          <w:sz w:val="21"/>
        </w:rPr>
      </w:pPr>
      <w:bookmarkStart w:id="0" w:name="_Hlk123500218"/>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jc w:val="center"/>
        <w:rPr>
          <w:rFonts w:hint="eastAsia" w:ascii="仿宋" w:hAnsi="仿宋" w:eastAsia="仿宋" w:cs="Times New Roman"/>
          <w:b/>
          <w:bCs/>
          <w:sz w:val="44"/>
          <w:szCs w:val="44"/>
        </w:rPr>
      </w:pPr>
      <w:r>
        <w:rPr>
          <w:rFonts w:hint="eastAsia" w:ascii="仿宋" w:hAnsi="仿宋" w:eastAsia="仿宋" w:cs="Times New Roman"/>
          <w:b/>
          <w:bCs/>
          <w:sz w:val="44"/>
          <w:szCs w:val="44"/>
        </w:rPr>
        <w:t>福建省惠安县</w:t>
      </w:r>
      <w:r>
        <w:rPr>
          <w:rFonts w:ascii="Times New Roman" w:hAnsi="Times New Roman" w:eastAsia="仿宋" w:cs="Times New Roman"/>
          <w:b/>
          <w:bCs/>
          <w:sz w:val="44"/>
          <w:szCs w:val="44"/>
        </w:rPr>
        <w:t>2019</w:t>
      </w:r>
      <w:r>
        <w:rPr>
          <w:rFonts w:ascii="仿宋" w:hAnsi="仿宋" w:eastAsia="仿宋" w:cs="Times New Roman"/>
          <w:b/>
          <w:bCs/>
          <w:sz w:val="44"/>
          <w:szCs w:val="44"/>
        </w:rPr>
        <w:t>-</w:t>
      </w:r>
      <w:r>
        <w:rPr>
          <w:rFonts w:ascii="Times New Roman" w:hAnsi="Times New Roman" w:eastAsia="仿宋" w:cs="Times New Roman"/>
          <w:b/>
          <w:bCs/>
          <w:sz w:val="44"/>
          <w:szCs w:val="44"/>
        </w:rPr>
        <w:t>2023</w:t>
      </w:r>
      <w:r>
        <w:rPr>
          <w:rFonts w:hint="eastAsia" w:ascii="仿宋" w:hAnsi="仿宋" w:eastAsia="仿宋" w:cs="Times New Roman"/>
          <w:b/>
          <w:bCs/>
          <w:sz w:val="44"/>
          <w:szCs w:val="44"/>
        </w:rPr>
        <w:t>年</w:t>
      </w:r>
    </w:p>
    <w:p>
      <w:pPr>
        <w:jc w:val="center"/>
        <w:rPr>
          <w:rFonts w:ascii="仿宋" w:hAnsi="仿宋" w:eastAsia="仿宋" w:cs="Times New Roman"/>
          <w:b/>
          <w:bCs/>
          <w:sz w:val="44"/>
          <w:szCs w:val="44"/>
        </w:rPr>
      </w:pPr>
      <w:r>
        <w:rPr>
          <w:rFonts w:hint="eastAsia" w:ascii="仿宋" w:hAnsi="仿宋" w:eastAsia="仿宋" w:cs="Times New Roman"/>
          <w:b/>
          <w:bCs/>
          <w:sz w:val="44"/>
          <w:szCs w:val="44"/>
        </w:rPr>
        <w:t>“高标准农田建设”</w:t>
      </w:r>
      <w:r>
        <w:rPr>
          <w:rFonts w:ascii="仿宋" w:hAnsi="仿宋" w:eastAsia="仿宋" w:cs="Times New Roman"/>
          <w:b/>
          <w:bCs/>
          <w:sz w:val="44"/>
          <w:szCs w:val="44"/>
        </w:rPr>
        <w:t>专项资金</w:t>
      </w:r>
      <w:r>
        <w:rPr>
          <w:rFonts w:hint="eastAsia" w:ascii="仿宋" w:hAnsi="仿宋" w:eastAsia="仿宋" w:cs="Times New Roman"/>
          <w:b/>
          <w:bCs/>
          <w:sz w:val="44"/>
          <w:szCs w:val="44"/>
        </w:rPr>
        <w:t>财政</w:t>
      </w:r>
    </w:p>
    <w:p>
      <w:pPr>
        <w:jc w:val="center"/>
        <w:rPr>
          <w:rFonts w:ascii="仿宋" w:hAnsi="仿宋" w:eastAsia="仿宋" w:cs="Times New Roman"/>
          <w:b/>
          <w:bCs/>
          <w:sz w:val="44"/>
          <w:szCs w:val="44"/>
        </w:rPr>
      </w:pPr>
      <w:r>
        <w:rPr>
          <w:rFonts w:hint="eastAsia" w:ascii="仿宋" w:hAnsi="仿宋" w:eastAsia="仿宋" w:cs="Times New Roman"/>
          <w:b/>
          <w:bCs/>
          <w:sz w:val="44"/>
          <w:szCs w:val="44"/>
        </w:rPr>
        <w:t>重点</w:t>
      </w:r>
      <w:r>
        <w:rPr>
          <w:rFonts w:ascii="仿宋" w:hAnsi="仿宋" w:eastAsia="仿宋" w:cs="Times New Roman"/>
          <w:b/>
          <w:bCs/>
          <w:sz w:val="44"/>
          <w:szCs w:val="44"/>
        </w:rPr>
        <w:t>绩效评价报告</w:t>
      </w: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rPr>
          <w:rFonts w:ascii="仿宋" w:hAnsi="仿宋" w:eastAsia="仿宋" w:cs="Times New Roman"/>
          <w:sz w:val="21"/>
        </w:rPr>
      </w:pPr>
    </w:p>
    <w:p>
      <w:pPr>
        <w:spacing w:line="240" w:lineRule="auto"/>
        <w:jc w:val="center"/>
        <w:rPr>
          <w:rFonts w:ascii="仿宋" w:hAnsi="仿宋" w:eastAsia="仿宋" w:cs="Times New Roman"/>
          <w:sz w:val="32"/>
          <w:szCs w:val="40"/>
        </w:rPr>
      </w:pPr>
    </w:p>
    <w:p>
      <w:pPr>
        <w:spacing w:line="240" w:lineRule="auto"/>
        <w:jc w:val="center"/>
        <w:rPr>
          <w:rFonts w:ascii="仿宋" w:hAnsi="仿宋" w:eastAsia="仿宋" w:cs="楷体"/>
          <w:bCs/>
          <w:sz w:val="32"/>
          <w:szCs w:val="32"/>
        </w:rPr>
      </w:pPr>
      <w:bookmarkStart w:id="1" w:name="_Hlk152183685"/>
      <w:r>
        <w:rPr>
          <w:rFonts w:hint="eastAsia" w:ascii="仿宋" w:hAnsi="仿宋" w:eastAsia="仿宋" w:cs="楷体"/>
          <w:bCs/>
          <w:sz w:val="32"/>
          <w:szCs w:val="32"/>
        </w:rPr>
        <w:t>福州市韦兰信息科技有限公司</w:t>
      </w:r>
    </w:p>
    <w:p>
      <w:pPr>
        <w:spacing w:line="240" w:lineRule="auto"/>
        <w:jc w:val="center"/>
        <w:rPr>
          <w:rFonts w:ascii="仿宋" w:hAnsi="仿宋" w:eastAsia="仿宋" w:cs="楷体"/>
          <w:bCs/>
          <w:sz w:val="32"/>
          <w:szCs w:val="32"/>
        </w:rPr>
      </w:pPr>
      <w:r>
        <w:rPr>
          <w:rFonts w:ascii="Times New Roman" w:hAnsi="Times New Roman" w:eastAsia="仿宋" w:cs="Times New Roman"/>
          <w:bCs/>
          <w:sz w:val="32"/>
          <w:szCs w:val="32"/>
        </w:rPr>
        <w:t>2023</w:t>
      </w:r>
      <w:r>
        <w:rPr>
          <w:rFonts w:hint="eastAsia" w:ascii="仿宋" w:hAnsi="仿宋" w:eastAsia="仿宋" w:cs="楷体"/>
          <w:bCs/>
          <w:sz w:val="32"/>
          <w:szCs w:val="32"/>
        </w:rPr>
        <w:t>年</w:t>
      </w:r>
      <w:r>
        <w:rPr>
          <w:rFonts w:ascii="Times New Roman" w:hAnsi="Times New Roman" w:eastAsia="仿宋" w:cs="Times New Roman"/>
          <w:bCs/>
          <w:sz w:val="32"/>
          <w:szCs w:val="32"/>
        </w:rPr>
        <w:t>11</w:t>
      </w:r>
      <w:r>
        <w:rPr>
          <w:rFonts w:hint="eastAsia" w:ascii="仿宋" w:hAnsi="仿宋" w:eastAsia="仿宋" w:cs="楷体"/>
          <w:bCs/>
          <w:sz w:val="32"/>
          <w:szCs w:val="32"/>
        </w:rPr>
        <w:t>月</w:t>
      </w:r>
    </w:p>
    <w:p>
      <w:pPr>
        <w:adjustRightInd w:val="0"/>
        <w:snapToGrid w:val="0"/>
        <w:rPr>
          <w:rFonts w:ascii="仿宋" w:hAnsi="仿宋" w:eastAsia="仿宋" w:cs="Times New Roman"/>
          <w:sz w:val="24"/>
        </w:rPr>
      </w:pPr>
    </w:p>
    <w:p>
      <w:pPr>
        <w:adjustRightInd w:val="0"/>
        <w:snapToGrid w:val="0"/>
        <w:rPr>
          <w:rFonts w:ascii="仿宋" w:hAnsi="仿宋" w:eastAsia="仿宋" w:cs="Times New Roman"/>
          <w:sz w:val="24"/>
        </w:rPr>
      </w:pPr>
    </w:p>
    <w:p>
      <w:pPr>
        <w:adjustRightInd w:val="0"/>
        <w:snapToGrid w:val="0"/>
        <w:rPr>
          <w:rFonts w:ascii="仿宋" w:hAnsi="仿宋" w:eastAsia="仿宋" w:cs="Times New Roman"/>
          <w:sz w:val="24"/>
        </w:rPr>
      </w:pPr>
    </w:p>
    <w:p>
      <w:pPr>
        <w:adjustRightInd w:val="0"/>
        <w:snapToGrid w:val="0"/>
        <w:rPr>
          <w:rFonts w:ascii="仿宋" w:hAnsi="仿宋" w:eastAsia="仿宋" w:cs="Times New Roman"/>
          <w:sz w:val="24"/>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ascii="仿宋" w:hAnsi="仿宋" w:eastAsia="仿宋" w:cs="Times New Roman"/>
          <w:sz w:val="24"/>
        </w:rPr>
        <w:br w:type="page"/>
      </w:r>
    </w:p>
    <w:p>
      <w:pPr>
        <w:adjustRightInd w:val="0"/>
        <w:snapToGrid w:val="0"/>
        <w:rPr>
          <w:rFonts w:ascii="仿宋" w:hAnsi="仿宋" w:eastAsia="仿宋" w:cs="Times New Roman"/>
          <w:sz w:val="20"/>
          <w:szCs w:val="20"/>
        </w:rPr>
        <w:sectPr>
          <w:pgSz w:w="11906" w:h="16838"/>
          <w:pgMar w:top="1440" w:right="1800" w:bottom="1440" w:left="1800" w:header="851" w:footer="992" w:gutter="0"/>
          <w:pgNumType w:start="1"/>
          <w:cols w:space="425" w:num="1"/>
          <w:docGrid w:type="lines" w:linePitch="312" w:charSpace="0"/>
        </w:sectPr>
      </w:pPr>
    </w:p>
    <w:p>
      <w:pPr>
        <w:adjustRightInd w:val="0"/>
        <w:snapToGrid w:val="0"/>
        <w:rPr>
          <w:rFonts w:ascii="仿宋" w:hAnsi="仿宋" w:eastAsia="仿宋" w:cs="Times New Roman"/>
          <w:b/>
          <w:sz w:val="36"/>
          <w:szCs w:val="36"/>
        </w:rPr>
      </w:pPr>
      <w:bookmarkStart w:id="114" w:name="_GoBack"/>
      <w:r>
        <w:rPr>
          <w:rFonts w:ascii="仿宋" w:hAnsi="仿宋" w:eastAsia="仿宋" w:cs="Times New Roman"/>
          <w:sz w:val="20"/>
          <w:szCs w:val="20"/>
        </w:rPr>
        <w:t xml:space="preserve">                  </w:t>
      </w:r>
      <w:r>
        <w:rPr>
          <w:rFonts w:hint="eastAsia" w:ascii="仿宋" w:hAnsi="仿宋" w:eastAsia="仿宋" w:cs="Times New Roman"/>
          <w:sz w:val="20"/>
          <w:szCs w:val="20"/>
          <w:lang w:val="en-US" w:eastAsia="zh-CN"/>
        </w:rPr>
        <w:t xml:space="preserve"> </w:t>
      </w:r>
      <w:r>
        <w:rPr>
          <w:rFonts w:ascii="仿宋" w:hAnsi="仿宋" w:eastAsia="仿宋" w:cs="Times New Roman"/>
          <w:sz w:val="20"/>
          <w:szCs w:val="20"/>
        </w:rPr>
        <w:t xml:space="preserve">                               </w:t>
      </w:r>
      <w:r>
        <w:rPr>
          <w:rFonts w:hint="eastAsia" w:ascii="仿宋" w:hAnsi="仿宋" w:eastAsia="仿宋" w:cs="Times New Roman"/>
          <w:sz w:val="20"/>
          <w:szCs w:val="20"/>
        </w:rPr>
        <w:t xml:space="preserve">  </w:t>
      </w:r>
    </w:p>
    <w:p>
      <w:pPr>
        <w:adjustRightInd w:val="0"/>
        <w:snapToGrid w:val="0"/>
        <w:jc w:val="left"/>
        <w:rPr>
          <w:rFonts w:ascii="仿宋" w:hAnsi="仿宋" w:eastAsia="仿宋" w:cs="宋体"/>
          <w:sz w:val="24"/>
        </w:rPr>
      </w:pPr>
      <w:r>
        <w:rPr>
          <w:rFonts w:ascii="仿宋" w:hAnsi="仿宋" w:eastAsia="仿宋" w:cs="宋体"/>
          <w:sz w:val="24"/>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0"/>
                    <a:stretch>
                      <a:fillRect/>
                    </a:stretch>
                  </pic:blipFill>
                  <pic:spPr>
                    <a:xfrm>
                      <a:off x="0" y="0"/>
                      <a:ext cx="38100" cy="76200"/>
                    </a:xfrm>
                    <a:prstGeom prst="rect">
                      <a:avLst/>
                    </a:prstGeom>
                    <a:noFill/>
                    <a:ln w="9525">
                      <a:noFill/>
                    </a:ln>
                  </pic:spPr>
                </pic:pic>
              </a:graphicData>
            </a:graphic>
          </wp:inline>
        </w:drawing>
      </w:r>
      <w:r>
        <w:rPr>
          <w:rFonts w:ascii="仿宋" w:hAnsi="仿宋" w:eastAsia="仿宋" w:cs="宋体"/>
          <w:sz w:val="24"/>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10"/>
                    <a:stretch>
                      <a:fillRect/>
                    </a:stretch>
                  </pic:blipFill>
                  <pic:spPr>
                    <a:xfrm>
                      <a:off x="0" y="0"/>
                      <a:ext cx="38100" cy="76200"/>
                    </a:xfrm>
                    <a:prstGeom prst="rect">
                      <a:avLst/>
                    </a:prstGeom>
                    <a:noFill/>
                    <a:ln w="9525">
                      <a:noFill/>
                    </a:ln>
                  </pic:spPr>
                </pic:pic>
              </a:graphicData>
            </a:graphic>
          </wp:inline>
        </w:drawing>
      </w:r>
    </w:p>
    <w:p>
      <w:pPr>
        <w:adjustRightInd w:val="0"/>
        <w:snapToGrid w:val="0"/>
        <w:jc w:val="left"/>
        <w:rPr>
          <w:rFonts w:ascii="仿宋" w:hAnsi="仿宋" w:eastAsia="仿宋" w:cs="宋体"/>
          <w:sz w:val="24"/>
        </w:rPr>
      </w:pPr>
    </w:p>
    <w:p>
      <w:pPr>
        <w:adjustRightInd w:val="0"/>
        <w:snapToGrid w:val="0"/>
        <w:jc w:val="left"/>
        <w:rPr>
          <w:rFonts w:ascii="仿宋" w:hAnsi="仿宋" w:eastAsia="仿宋" w:cs="宋体"/>
          <w:sz w:val="24"/>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r>
        <w:rPr>
          <w:rFonts w:hint="eastAsia" w:ascii="仿宋" w:hAnsi="仿宋" w:eastAsia="仿宋" w:cs="华光楷体一_CNKI"/>
          <w:bCs/>
          <w:color w:val="000000" w:themeColor="text1"/>
          <w:szCs w:val="28"/>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11"/>
                    <a:stretch>
                      <a:fillRect/>
                    </a:stretch>
                  </pic:blipFill>
                  <pic:spPr>
                    <a:xfrm>
                      <a:off x="0" y="0"/>
                      <a:ext cx="922020" cy="854710"/>
                    </a:xfrm>
                    <a:prstGeom prst="rect">
                      <a:avLst/>
                    </a:prstGeom>
                  </pic:spPr>
                </pic:pic>
              </a:graphicData>
            </a:graphic>
          </wp:inline>
        </w:drawing>
      </w:r>
      <w:r>
        <w:rPr>
          <w:rFonts w:hint="eastAsia" w:ascii="仿宋" w:hAnsi="仿宋" w:eastAsia="仿宋" w:cs="华光楷体一_CNKI"/>
          <w:bCs/>
          <w:color w:val="000000" w:themeColor="text1"/>
          <w:szCs w:val="28"/>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12"/>
                    <a:stretch>
                      <a:fillRect/>
                    </a:stretch>
                  </pic:blipFill>
                  <pic:spPr>
                    <a:xfrm>
                      <a:off x="0" y="0"/>
                      <a:ext cx="3230880" cy="377190"/>
                    </a:xfrm>
                    <a:prstGeom prst="rect">
                      <a:avLst/>
                    </a:prstGeom>
                  </pic:spPr>
                </pic:pic>
              </a:graphicData>
            </a:graphic>
          </wp:inline>
        </w:drawing>
      </w: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400" w:firstLineChars="500"/>
        <w:jc w:val="left"/>
        <w:rPr>
          <w:rFonts w:ascii="仿宋" w:hAnsi="仿宋" w:eastAsia="仿宋" w:cs="华光楷体一_CNKI"/>
          <w:bCs/>
          <w:szCs w:val="28"/>
        </w:rPr>
      </w:pPr>
    </w:p>
    <w:p>
      <w:pPr>
        <w:adjustRightInd w:val="0"/>
        <w:snapToGrid w:val="0"/>
        <w:ind w:firstLine="1200" w:firstLineChars="500"/>
        <w:jc w:val="left"/>
        <w:rPr>
          <w:rFonts w:ascii="仿宋" w:hAnsi="仿宋" w:eastAsia="仿宋" w:cs="楷体"/>
          <w:bCs/>
          <w:sz w:val="24"/>
        </w:rPr>
      </w:pPr>
      <w:r>
        <w:rPr>
          <w:rFonts w:hint="eastAsia" w:ascii="仿宋" w:hAnsi="仿宋" w:eastAsia="仿宋" w:cs="楷体"/>
          <w:bCs/>
          <w:sz w:val="24"/>
        </w:rPr>
        <w:t xml:space="preserve">主评人签字：刘琨  </w:t>
      </w:r>
    </w:p>
    <w:p>
      <w:pPr>
        <w:adjustRightInd w:val="0"/>
        <w:snapToGrid w:val="0"/>
        <w:ind w:firstLine="1200" w:firstLineChars="500"/>
        <w:jc w:val="center"/>
        <w:rPr>
          <w:rFonts w:ascii="仿宋" w:hAnsi="仿宋" w:eastAsia="仿宋" w:cs="楷体"/>
          <w:bCs/>
          <w:sz w:val="24"/>
        </w:rPr>
      </w:pPr>
    </w:p>
    <w:p>
      <w:pPr>
        <w:adjustRightInd w:val="0"/>
        <w:snapToGrid w:val="0"/>
        <w:ind w:firstLine="1200" w:firstLineChars="500"/>
        <w:jc w:val="left"/>
        <w:rPr>
          <w:rFonts w:ascii="仿宋" w:hAnsi="仿宋" w:eastAsia="仿宋" w:cs="Times New Roman"/>
          <w:b/>
          <w:sz w:val="24"/>
          <w:szCs w:val="32"/>
        </w:rPr>
      </w:pPr>
      <w:r>
        <w:rPr>
          <w:rFonts w:hint="eastAsia" w:ascii="仿宋" w:hAnsi="仿宋" w:eastAsia="仿宋" w:cs="楷体"/>
          <w:bCs/>
          <w:sz w:val="24"/>
        </w:rPr>
        <w:t>组       员：</w:t>
      </w:r>
      <w:bookmarkStart w:id="2" w:name="_Hlk152082494"/>
      <w:r>
        <w:rPr>
          <w:rFonts w:ascii="仿宋" w:hAnsi="仿宋" w:eastAsia="仿宋" w:cs="楷体"/>
          <w:bCs/>
          <w:sz w:val="24"/>
        </w:rPr>
        <w:t xml:space="preserve">苏晓 </w:t>
      </w:r>
      <w:r>
        <w:rPr>
          <w:rFonts w:hint="eastAsia" w:ascii="仿宋" w:hAnsi="仿宋" w:eastAsia="仿宋" w:cs="楷体"/>
          <w:bCs/>
          <w:sz w:val="24"/>
        </w:rPr>
        <w:t>江萍 赖浏安 廖昕怡 朱瑛 李桐 潘键群</w:t>
      </w:r>
    </w:p>
    <w:bookmarkEnd w:id="2"/>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kern w:val="0"/>
          <w:sz w:val="20"/>
          <w:szCs w:val="2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kern w:val="0"/>
          <w:sz w:val="20"/>
          <w:szCs w:val="20"/>
        </w:rPr>
      </w:pPr>
      <w:r>
        <w:rPr>
          <w:rFonts w:ascii="仿宋" w:hAnsi="仿宋" w:eastAsia="仿宋" w:cs="宋体"/>
          <w:kern w:val="0"/>
          <w:sz w:val="20"/>
          <w:szCs w:val="20"/>
        </w:rPr>
        <w:t>　</w:t>
      </w:r>
    </w:p>
    <w:p>
      <w:pPr>
        <w:widowControl/>
        <w:adjustRightInd w:val="0"/>
        <w:snapToGrid w:val="0"/>
        <w:jc w:val="left"/>
        <w:rPr>
          <w:rFonts w:ascii="仿宋" w:hAnsi="仿宋" w:eastAsia="仿宋" w:cs="宋体"/>
          <w:kern w:val="0"/>
          <w:sz w:val="20"/>
          <w:szCs w:val="20"/>
        </w:rPr>
      </w:pPr>
      <w:r>
        <w:rPr>
          <w:rFonts w:ascii="仿宋" w:hAnsi="仿宋" w:eastAsia="仿宋" w:cs="宋体"/>
          <w:sz w:val="20"/>
          <w:szCs w:val="20"/>
        </w:rPr>
        <w:br w:type="page"/>
      </w:r>
    </w:p>
    <w:bookmarkEnd w:id="114"/>
    <w:p>
      <w:pPr>
        <w:rPr>
          <w:rFonts w:ascii="仿宋" w:hAnsi="仿宋" w:eastAsia="仿宋" w:cs="Times New Roman"/>
          <w:sz w:val="24"/>
        </w:rPr>
        <w:sectPr>
          <w:pgSz w:w="11906" w:h="16838"/>
          <w:pgMar w:top="1440" w:right="1800" w:bottom="1440" w:left="1800" w:header="851" w:footer="992" w:gutter="0"/>
          <w:pgNumType w:start="1"/>
          <w:cols w:space="425" w:num="1"/>
          <w:docGrid w:type="lines" w:linePitch="312" w:charSpace="0"/>
        </w:sectPr>
      </w:pPr>
      <w:r>
        <w:rPr>
          <w:rFonts w:ascii="仿宋" w:hAnsi="仿宋" w:eastAsia="仿宋" w:cs="Times New Roman"/>
          <w:sz w:val="24"/>
        </w:rPr>
        <w:br w:type="page"/>
      </w:r>
      <w:bookmarkEnd w:id="0"/>
      <w:bookmarkEnd w:id="1"/>
    </w:p>
    <w:sdt>
      <w:sdtPr>
        <w:rPr>
          <w:rStyle w:val="12"/>
          <w:rFonts w:ascii="仿宋" w:hAnsi="仿宋" w:eastAsia="仿宋" w:cs="Times New Roman"/>
          <w:b/>
          <w:bCs/>
          <w:kern w:val="2"/>
          <w:sz w:val="28"/>
          <w:szCs w:val="24"/>
        </w:rPr>
        <w:id w:val="-1261598164"/>
        <w:docPartObj>
          <w:docPartGallery w:val="Table of Contents"/>
          <w:docPartUnique/>
        </w:docPartObj>
      </w:sdtPr>
      <w:sdtEndPr>
        <w:rPr>
          <w:rStyle w:val="11"/>
          <w:rFonts w:ascii="仿宋" w:hAnsi="仿宋" w:eastAsia="仿宋" w:cstheme="minorBidi"/>
          <w:b/>
          <w:bCs/>
          <w:color w:val="auto"/>
          <w:kern w:val="2"/>
          <w:sz w:val="28"/>
          <w:szCs w:val="24"/>
          <w:u w:val="none"/>
          <w:lang w:val="zh-CN"/>
        </w:rPr>
      </w:sdtEndPr>
      <w:sdtContent>
        <w:p>
          <w:pPr>
            <w:pStyle w:val="19"/>
            <w:jc w:val="center"/>
            <w:rPr>
              <w:rFonts w:ascii="仿宋" w:hAnsi="仿宋" w:eastAsia="仿宋" w:cstheme="minorBidi"/>
              <w:b/>
              <w:bCs/>
              <w:color w:val="auto"/>
              <w:sz w:val="36"/>
              <w:szCs w:val="36"/>
            </w:rPr>
          </w:pPr>
          <w:r>
            <w:rPr>
              <w:rFonts w:ascii="仿宋" w:hAnsi="仿宋" w:eastAsia="仿宋" w:cstheme="minorBidi"/>
              <w:b/>
              <w:bCs/>
              <w:color w:val="auto"/>
              <w:sz w:val="36"/>
              <w:szCs w:val="36"/>
            </w:rPr>
            <w:t>目录</w:t>
          </w:r>
        </w:p>
        <w:p>
          <w:pPr>
            <w:pStyle w:val="7"/>
            <w:tabs>
              <w:tab w:val="right" w:leader="dot" w:pos="8306"/>
            </w:tabs>
          </w:pPr>
          <w:r>
            <w:rPr>
              <w:rFonts w:ascii="仿宋" w:hAnsi="仿宋" w:eastAsia="仿宋"/>
            </w:rPr>
            <w:fldChar w:fldCharType="begin"/>
          </w:r>
          <w:r>
            <w:rPr>
              <w:rFonts w:ascii="仿宋" w:hAnsi="仿宋" w:eastAsia="仿宋"/>
            </w:rPr>
            <w:instrText xml:space="preserve"> TOC \o "1-3" \h \z \u </w:instrText>
          </w:r>
          <w:r>
            <w:rPr>
              <w:rFonts w:ascii="仿宋" w:hAnsi="仿宋" w:eastAsia="仿宋"/>
            </w:rPr>
            <w:fldChar w:fldCharType="separate"/>
          </w:r>
          <w:r>
            <w:fldChar w:fldCharType="begin"/>
          </w:r>
          <w:r>
            <w:instrText xml:space="preserve"> HYPERLINK \l "_Toc2935" </w:instrText>
          </w:r>
          <w:r>
            <w:fldChar w:fldCharType="separate"/>
          </w:r>
          <w:r>
            <w:rPr>
              <w:rFonts w:hint="eastAsia" w:ascii="仿宋" w:hAnsi="仿宋" w:eastAsia="仿宋" w:cs="楷体"/>
              <w:bCs/>
              <w:szCs w:val="36"/>
            </w:rPr>
            <w:t>第一部分 专项资金基本概况</w:t>
          </w:r>
          <w:r>
            <w:tab/>
          </w:r>
          <w:r>
            <w:rPr>
              <w:rFonts w:ascii="Times New Roman" w:hAnsi="Times New Roman" w:cs="Times New Roman"/>
            </w:rPr>
            <w:fldChar w:fldCharType="begin"/>
          </w:r>
          <w:r>
            <w:rPr>
              <w:rFonts w:ascii="Times New Roman" w:hAnsi="Times New Roman" w:cs="Times New Roman"/>
            </w:rPr>
            <w:instrText xml:space="preserve"> PAGEREF _Toc2935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"_Toc7283" </w:instrText>
          </w:r>
          <w:r>
            <w:fldChar w:fldCharType="separate"/>
          </w:r>
          <w:r>
            <w:rPr>
              <w:rFonts w:hint="eastAsia" w:ascii="仿宋" w:hAnsi="仿宋" w:eastAsia="仿宋" w:cs="黑体"/>
              <w:bCs/>
              <w:szCs w:val="32"/>
            </w:rPr>
            <w:t>一、专项资金实施背景</w:t>
          </w:r>
          <w:r>
            <w:tab/>
          </w:r>
          <w:r>
            <w:rPr>
              <w:rFonts w:ascii="Times New Roman" w:hAnsi="Times New Roman" w:cs="Times New Roman"/>
            </w:rPr>
            <w:fldChar w:fldCharType="begin"/>
          </w:r>
          <w:r>
            <w:rPr>
              <w:rFonts w:ascii="Times New Roman" w:hAnsi="Times New Roman" w:cs="Times New Roman"/>
            </w:rPr>
            <w:instrText xml:space="preserve"> PAGEREF _Toc7283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"_Toc30503" </w:instrText>
          </w:r>
          <w:r>
            <w:fldChar w:fldCharType="separate"/>
          </w:r>
          <w:r>
            <w:rPr>
              <w:rFonts w:hint="eastAsia" w:ascii="仿宋" w:hAnsi="仿宋" w:eastAsia="仿宋" w:cs="黑体"/>
              <w:bCs/>
              <w:szCs w:val="32"/>
            </w:rPr>
            <w:t>二、专项资金实施依据</w:t>
          </w:r>
          <w:r>
            <w:tab/>
          </w:r>
          <w:r>
            <w:rPr>
              <w:rFonts w:ascii="Times New Roman" w:hAnsi="Times New Roman" w:cs="Times New Roman"/>
            </w:rPr>
            <w:fldChar w:fldCharType="begin"/>
          </w:r>
          <w:r>
            <w:rPr>
              <w:rFonts w:ascii="Times New Roman" w:hAnsi="Times New Roman" w:cs="Times New Roman"/>
            </w:rPr>
            <w:instrText xml:space="preserve"> PAGEREF _Toc30503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"_Toc59" </w:instrText>
          </w:r>
          <w:r>
            <w:fldChar w:fldCharType="separate"/>
          </w:r>
          <w:r>
            <w:rPr>
              <w:rFonts w:hint="eastAsia" w:ascii="仿宋" w:hAnsi="仿宋" w:eastAsia="仿宋" w:cs="黑体"/>
              <w:bCs/>
              <w:szCs w:val="32"/>
            </w:rPr>
            <w:t>三、专项资金实施目标</w:t>
          </w:r>
          <w:r>
            <w:tab/>
          </w:r>
          <w:r>
            <w:rPr>
              <w:rFonts w:ascii="Times New Roman" w:hAnsi="Times New Roman" w:cs="Times New Roman"/>
            </w:rPr>
            <w:fldChar w:fldCharType="begin"/>
          </w:r>
          <w:r>
            <w:rPr>
              <w:rFonts w:ascii="Times New Roman" w:hAnsi="Times New Roman" w:cs="Times New Roman"/>
            </w:rPr>
            <w:instrText xml:space="preserve"> PAGEREF _Toc59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"_Toc4833" </w:instrText>
          </w:r>
          <w:r>
            <w:fldChar w:fldCharType="separate"/>
          </w:r>
          <w:r>
            <w:rPr>
              <w:rFonts w:hint="eastAsia" w:ascii="仿宋" w:hAnsi="仿宋" w:eastAsia="仿宋" w:cs="黑体"/>
              <w:bCs/>
              <w:szCs w:val="32"/>
            </w:rPr>
            <w:t>四、专项资金执行情况</w:t>
          </w:r>
          <w:r>
            <w:tab/>
          </w:r>
          <w:r>
            <w:rPr>
              <w:rFonts w:ascii="Times New Roman" w:hAnsi="Times New Roman" w:cs="Times New Roman"/>
            </w:rPr>
            <w:fldChar w:fldCharType="begin"/>
          </w:r>
          <w:r>
            <w:rPr>
              <w:rFonts w:ascii="Times New Roman" w:hAnsi="Times New Roman" w:cs="Times New Roman"/>
            </w:rPr>
            <w:instrText xml:space="preserve"> PAGEREF _Toc4833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"_Toc9468" </w:instrText>
          </w:r>
          <w:r>
            <w:fldChar w:fldCharType="separate"/>
          </w:r>
          <w:r>
            <w:rPr>
              <w:rFonts w:hint="eastAsia" w:ascii="仿宋" w:hAnsi="仿宋" w:eastAsia="仿宋" w:cs="黑体"/>
              <w:bCs/>
              <w:szCs w:val="32"/>
            </w:rPr>
            <w:t>五、专项资金管理流程</w:t>
          </w:r>
          <w:r>
            <w:tab/>
          </w:r>
          <w:r>
            <w:rPr>
              <w:rFonts w:ascii="Times New Roman" w:hAnsi="Times New Roman" w:cs="Times New Roman"/>
            </w:rPr>
            <w:fldChar w:fldCharType="begin"/>
          </w:r>
          <w:r>
            <w:rPr>
              <w:rFonts w:ascii="Times New Roman" w:hAnsi="Times New Roman" w:cs="Times New Roman"/>
            </w:rPr>
            <w:instrText xml:space="preserve"> PAGEREF _Toc9468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306"/>
            </w:tabs>
          </w:pPr>
          <w:r>
            <w:fldChar w:fldCharType="begin"/>
          </w:r>
          <w:r>
            <w:instrText xml:space="preserve"> HYPERLINK \l "_Toc21877" </w:instrText>
          </w:r>
          <w:r>
            <w:fldChar w:fldCharType="separate"/>
          </w:r>
          <w:r>
            <w:rPr>
              <w:rFonts w:hint="eastAsia" w:ascii="仿宋" w:hAnsi="仿宋" w:eastAsia="仿宋" w:cs="楷体"/>
              <w:bCs/>
              <w:szCs w:val="36"/>
            </w:rPr>
            <w:t>第二部分 绩效评价工作开展情况</w:t>
          </w:r>
          <w:r>
            <w:tab/>
          </w:r>
          <w:r>
            <w:rPr>
              <w:rFonts w:ascii="Times New Roman" w:hAnsi="Times New Roman" w:cs="Times New Roman"/>
            </w:rPr>
            <w:fldChar w:fldCharType="begin"/>
          </w:r>
          <w:r>
            <w:rPr>
              <w:rFonts w:ascii="Times New Roman" w:hAnsi="Times New Roman" w:cs="Times New Roman"/>
            </w:rPr>
            <w:instrText xml:space="preserve"> PAGEREF _Toc21877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"_Toc219" </w:instrText>
          </w:r>
          <w:r>
            <w:fldChar w:fldCharType="separate"/>
          </w:r>
          <w:r>
            <w:rPr>
              <w:rFonts w:hint="eastAsia" w:ascii="仿宋" w:hAnsi="仿宋" w:eastAsia="仿宋" w:cs="黑体"/>
              <w:bCs/>
              <w:szCs w:val="32"/>
            </w:rPr>
            <w:t>一、评价工作组介绍</w:t>
          </w:r>
          <w:r>
            <w:tab/>
          </w:r>
          <w:r>
            <w:rPr>
              <w:rFonts w:ascii="Times New Roman" w:hAnsi="Times New Roman" w:cs="Times New Roman"/>
            </w:rPr>
            <w:fldChar w:fldCharType="begin"/>
          </w:r>
          <w:r>
            <w:rPr>
              <w:rFonts w:ascii="Times New Roman" w:hAnsi="Times New Roman" w:cs="Times New Roman"/>
            </w:rPr>
            <w:instrText xml:space="preserve"> PAGEREF _Toc219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"_Toc13481" </w:instrText>
          </w:r>
          <w:r>
            <w:fldChar w:fldCharType="separate"/>
          </w:r>
          <w:r>
            <w:rPr>
              <w:rFonts w:hint="eastAsia" w:ascii="仿宋" w:hAnsi="仿宋" w:eastAsia="仿宋" w:cs="黑体"/>
              <w:bCs/>
              <w:szCs w:val="32"/>
            </w:rPr>
            <w:t>二、评价目的</w:t>
          </w:r>
          <w:r>
            <w:tab/>
          </w:r>
          <w:r>
            <w:rPr>
              <w:rFonts w:ascii="Times New Roman" w:hAnsi="Times New Roman" w:cs="Times New Roman"/>
            </w:rPr>
            <w:fldChar w:fldCharType="begin"/>
          </w:r>
          <w:r>
            <w:rPr>
              <w:rFonts w:ascii="Times New Roman" w:hAnsi="Times New Roman" w:cs="Times New Roman"/>
            </w:rPr>
            <w:instrText xml:space="preserve"> PAGEREF _Toc13481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"_Toc29171" </w:instrText>
          </w:r>
          <w:r>
            <w:fldChar w:fldCharType="separate"/>
          </w:r>
          <w:r>
            <w:rPr>
              <w:rFonts w:hint="eastAsia" w:ascii="仿宋" w:hAnsi="仿宋" w:eastAsia="仿宋" w:cs="黑体"/>
              <w:bCs/>
              <w:szCs w:val="32"/>
            </w:rPr>
            <w:t>三、评价对象</w:t>
          </w:r>
          <w:r>
            <w:tab/>
          </w:r>
          <w:r>
            <w:rPr>
              <w:rFonts w:ascii="Times New Roman" w:hAnsi="Times New Roman" w:cs="Times New Roman"/>
            </w:rPr>
            <w:fldChar w:fldCharType="begin"/>
          </w:r>
          <w:r>
            <w:rPr>
              <w:rFonts w:ascii="Times New Roman" w:hAnsi="Times New Roman" w:cs="Times New Roman"/>
            </w:rPr>
            <w:instrText xml:space="preserve"> PAGEREF _Toc29171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"_Toc32747" </w:instrText>
          </w:r>
          <w:r>
            <w:fldChar w:fldCharType="separate"/>
          </w:r>
          <w:r>
            <w:rPr>
              <w:rFonts w:hint="eastAsia" w:ascii="仿宋" w:hAnsi="仿宋" w:eastAsia="仿宋" w:cs="黑体"/>
              <w:bCs/>
              <w:szCs w:val="32"/>
            </w:rPr>
            <w:t>四、评价范围</w:t>
          </w:r>
          <w:r>
            <w:tab/>
          </w:r>
          <w:r>
            <w:rPr>
              <w:rFonts w:ascii="Times New Roman" w:hAnsi="Times New Roman" w:cs="Times New Roman"/>
            </w:rPr>
            <w:fldChar w:fldCharType="begin"/>
          </w:r>
          <w:r>
            <w:rPr>
              <w:rFonts w:ascii="Times New Roman" w:hAnsi="Times New Roman" w:cs="Times New Roman"/>
            </w:rPr>
            <w:instrText xml:space="preserve"> PAGEREF _Toc32747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"_Toc21679" </w:instrText>
          </w:r>
          <w:r>
            <w:fldChar w:fldCharType="separate"/>
          </w:r>
          <w:r>
            <w:rPr>
              <w:rFonts w:hint="eastAsia" w:ascii="仿宋" w:hAnsi="仿宋" w:eastAsia="仿宋" w:cs="黑体"/>
              <w:bCs/>
              <w:szCs w:val="32"/>
            </w:rPr>
            <w:t>五、评价原则</w:t>
          </w:r>
          <w:r>
            <w:tab/>
          </w:r>
          <w:r>
            <w:rPr>
              <w:rFonts w:ascii="Times New Roman" w:hAnsi="Times New Roman" w:cs="Times New Roman"/>
            </w:rPr>
            <w:fldChar w:fldCharType="begin"/>
          </w:r>
          <w:r>
            <w:rPr>
              <w:rFonts w:ascii="Times New Roman" w:hAnsi="Times New Roman" w:cs="Times New Roman"/>
            </w:rPr>
            <w:instrText xml:space="preserve"> PAGEREF _Toc21679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"_Toc10698" </w:instrText>
          </w:r>
          <w:r>
            <w:fldChar w:fldCharType="separate"/>
          </w:r>
          <w:r>
            <w:rPr>
              <w:rFonts w:hint="eastAsia" w:ascii="仿宋" w:hAnsi="仿宋" w:eastAsia="仿宋" w:cs="Times New Roman"/>
              <w:bCs/>
              <w:szCs w:val="28"/>
            </w:rPr>
            <w:t>（一）</w:t>
          </w:r>
          <w:r>
            <w:rPr>
              <w:rFonts w:ascii="仿宋" w:hAnsi="仿宋" w:eastAsia="仿宋" w:cs="Times New Roman"/>
              <w:bCs/>
              <w:szCs w:val="28"/>
            </w:rPr>
            <w:t>服务大局原则</w:t>
          </w:r>
          <w:r>
            <w:tab/>
          </w:r>
          <w:r>
            <w:rPr>
              <w:rFonts w:ascii="Times New Roman" w:hAnsi="Times New Roman" w:cs="Times New Roman"/>
            </w:rPr>
            <w:fldChar w:fldCharType="begin"/>
          </w:r>
          <w:r>
            <w:rPr>
              <w:rFonts w:ascii="Times New Roman" w:hAnsi="Times New Roman" w:cs="Times New Roman"/>
            </w:rPr>
            <w:instrText xml:space="preserve"> PAGEREF _Toc10698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"_Toc495" </w:instrText>
          </w:r>
          <w:r>
            <w:fldChar w:fldCharType="separate"/>
          </w:r>
          <w:r>
            <w:rPr>
              <w:rFonts w:hint="eastAsia" w:ascii="仿宋" w:hAnsi="仿宋" w:eastAsia="仿宋" w:cs="Times New Roman"/>
              <w:bCs/>
              <w:szCs w:val="28"/>
            </w:rPr>
            <w:t>（二）</w:t>
          </w:r>
          <w:r>
            <w:rPr>
              <w:rFonts w:ascii="仿宋" w:hAnsi="仿宋" w:eastAsia="仿宋" w:cs="Times New Roman"/>
              <w:bCs/>
              <w:szCs w:val="28"/>
            </w:rPr>
            <w:t>科学规范原则</w:t>
          </w:r>
          <w:r>
            <w:tab/>
          </w:r>
          <w:r>
            <w:rPr>
              <w:rFonts w:ascii="Times New Roman" w:hAnsi="Times New Roman" w:cs="Times New Roman"/>
            </w:rPr>
            <w:fldChar w:fldCharType="begin"/>
          </w:r>
          <w:r>
            <w:rPr>
              <w:rFonts w:ascii="Times New Roman" w:hAnsi="Times New Roman" w:cs="Times New Roman"/>
            </w:rPr>
            <w:instrText xml:space="preserve"> PAGEREF _Toc495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"_Toc15887" </w:instrText>
          </w:r>
          <w:r>
            <w:fldChar w:fldCharType="separate"/>
          </w:r>
          <w:r>
            <w:rPr>
              <w:rFonts w:hint="eastAsia" w:ascii="仿宋" w:hAnsi="仿宋" w:eastAsia="仿宋" w:cs="Times New Roman"/>
              <w:bCs/>
              <w:szCs w:val="28"/>
            </w:rPr>
            <w:t>（三）</w:t>
          </w:r>
          <w:r>
            <w:rPr>
              <w:rFonts w:ascii="仿宋" w:hAnsi="仿宋" w:eastAsia="仿宋" w:cs="Times New Roman"/>
              <w:bCs/>
              <w:szCs w:val="28"/>
            </w:rPr>
            <w:t>公正公开原则</w:t>
          </w:r>
          <w:r>
            <w:tab/>
          </w:r>
          <w:r>
            <w:rPr>
              <w:rFonts w:ascii="Times New Roman" w:hAnsi="Times New Roman" w:cs="Times New Roman"/>
            </w:rPr>
            <w:fldChar w:fldCharType="begin"/>
          </w:r>
          <w:r>
            <w:rPr>
              <w:rFonts w:ascii="Times New Roman" w:hAnsi="Times New Roman" w:cs="Times New Roman"/>
            </w:rPr>
            <w:instrText xml:space="preserve"> PAGEREF _Toc15887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"_Toc6966" </w:instrText>
          </w:r>
          <w:r>
            <w:fldChar w:fldCharType="separate"/>
          </w:r>
          <w:r>
            <w:rPr>
              <w:rFonts w:hint="eastAsia" w:ascii="仿宋" w:hAnsi="仿宋" w:eastAsia="仿宋" w:cs="Times New Roman"/>
              <w:bCs/>
              <w:szCs w:val="28"/>
            </w:rPr>
            <w:t>（四）问题导向原则</w:t>
          </w:r>
          <w:r>
            <w:tab/>
          </w:r>
          <w:r>
            <w:rPr>
              <w:rFonts w:ascii="Times New Roman" w:hAnsi="Times New Roman" w:cs="Times New Roman"/>
            </w:rPr>
            <w:fldChar w:fldCharType="begin"/>
          </w:r>
          <w:r>
            <w:rPr>
              <w:rFonts w:ascii="Times New Roman" w:hAnsi="Times New Roman" w:cs="Times New Roman"/>
            </w:rPr>
            <w:instrText xml:space="preserve"> PAGEREF _Toc6966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"_Toc29087" </w:instrText>
          </w:r>
          <w:r>
            <w:fldChar w:fldCharType="separate"/>
          </w:r>
          <w:r>
            <w:rPr>
              <w:rFonts w:hint="eastAsia" w:ascii="仿宋" w:hAnsi="仿宋" w:eastAsia="仿宋" w:cs="Times New Roman"/>
              <w:bCs/>
              <w:szCs w:val="28"/>
            </w:rPr>
            <w:t>（五）绩效相关原则</w:t>
          </w:r>
          <w:r>
            <w:tab/>
          </w:r>
          <w:r>
            <w:rPr>
              <w:rFonts w:ascii="Times New Roman" w:hAnsi="Times New Roman" w:cs="Times New Roman"/>
            </w:rPr>
            <w:fldChar w:fldCharType="begin"/>
          </w:r>
          <w:r>
            <w:rPr>
              <w:rFonts w:ascii="Times New Roman" w:hAnsi="Times New Roman" w:cs="Times New Roman"/>
            </w:rPr>
            <w:instrText xml:space="preserve"> PAGEREF _Toc29087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"_Toc32121" </w:instrText>
          </w:r>
          <w:r>
            <w:fldChar w:fldCharType="separate"/>
          </w:r>
          <w:r>
            <w:rPr>
              <w:rFonts w:hint="eastAsia" w:ascii="仿宋" w:hAnsi="仿宋" w:eastAsia="仿宋" w:cs="黑体"/>
              <w:bCs/>
              <w:szCs w:val="32"/>
            </w:rPr>
            <w:t>六、评价指标体系</w:t>
          </w:r>
          <w:r>
            <w:tab/>
          </w:r>
          <w:r>
            <w:rPr>
              <w:rFonts w:ascii="Times New Roman" w:hAnsi="Times New Roman" w:cs="Times New Roman"/>
            </w:rPr>
            <w:fldChar w:fldCharType="begin"/>
          </w:r>
          <w:r>
            <w:rPr>
              <w:rFonts w:ascii="Times New Roman" w:hAnsi="Times New Roman" w:cs="Times New Roman"/>
            </w:rPr>
            <w:instrText xml:space="preserve"> PAGEREF _Toc32121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"_Toc25245" </w:instrText>
          </w:r>
          <w:r>
            <w:fldChar w:fldCharType="separate"/>
          </w:r>
          <w:r>
            <w:rPr>
              <w:rFonts w:hint="eastAsia" w:ascii="仿宋" w:hAnsi="仿宋" w:eastAsia="仿宋" w:cs="黑体"/>
              <w:bCs/>
              <w:szCs w:val="32"/>
            </w:rPr>
            <w:t>七、评价方法</w:t>
          </w:r>
          <w:r>
            <w:tab/>
          </w:r>
          <w:r>
            <w:rPr>
              <w:rFonts w:ascii="Times New Roman" w:hAnsi="Times New Roman" w:cs="Times New Roman"/>
            </w:rPr>
            <w:fldChar w:fldCharType="begin"/>
          </w:r>
          <w:r>
            <w:rPr>
              <w:rFonts w:ascii="Times New Roman" w:hAnsi="Times New Roman" w:cs="Times New Roman"/>
            </w:rPr>
            <w:instrText xml:space="preserve"> PAGEREF _Toc25245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"_Toc14156" </w:instrText>
          </w:r>
          <w:r>
            <w:fldChar w:fldCharType="separate"/>
          </w:r>
          <w:r>
            <w:rPr>
              <w:rFonts w:hint="eastAsia" w:ascii="仿宋" w:hAnsi="仿宋" w:eastAsia="仿宋" w:cs="Times New Roman"/>
              <w:bCs/>
              <w:szCs w:val="28"/>
            </w:rPr>
            <w:t>（一）成效分析法</w:t>
          </w:r>
          <w:r>
            <w:tab/>
          </w:r>
          <w:r>
            <w:rPr>
              <w:rFonts w:ascii="Times New Roman" w:hAnsi="Times New Roman" w:cs="Times New Roman"/>
            </w:rPr>
            <w:fldChar w:fldCharType="begin"/>
          </w:r>
          <w:r>
            <w:rPr>
              <w:rFonts w:ascii="Times New Roman" w:hAnsi="Times New Roman" w:cs="Times New Roman"/>
            </w:rPr>
            <w:instrText xml:space="preserve"> PAGEREF _Toc14156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"_Toc4702" </w:instrText>
          </w:r>
          <w:r>
            <w:fldChar w:fldCharType="separate"/>
          </w:r>
          <w:r>
            <w:rPr>
              <w:rFonts w:hint="eastAsia" w:ascii="仿宋" w:hAnsi="仿宋" w:eastAsia="仿宋" w:cs="Times New Roman"/>
              <w:bCs/>
              <w:szCs w:val="28"/>
            </w:rPr>
            <w:t>（二）比较法</w:t>
          </w:r>
          <w:r>
            <w:tab/>
          </w:r>
          <w:r>
            <w:rPr>
              <w:rFonts w:ascii="Times New Roman" w:hAnsi="Times New Roman" w:cs="Times New Roman"/>
            </w:rPr>
            <w:fldChar w:fldCharType="begin"/>
          </w:r>
          <w:r>
            <w:rPr>
              <w:rFonts w:ascii="Times New Roman" w:hAnsi="Times New Roman" w:cs="Times New Roman"/>
            </w:rPr>
            <w:instrText xml:space="preserve"> PAGEREF _Toc4702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"_Toc1401" </w:instrText>
          </w:r>
          <w:r>
            <w:fldChar w:fldCharType="separate"/>
          </w:r>
          <w:r>
            <w:rPr>
              <w:rFonts w:hint="eastAsia" w:ascii="仿宋" w:hAnsi="仿宋" w:eastAsia="仿宋" w:cs="Times New Roman"/>
              <w:bCs/>
              <w:szCs w:val="28"/>
            </w:rPr>
            <w:t>（三）案卷研究法</w:t>
          </w:r>
          <w:r>
            <w:tab/>
          </w:r>
          <w:r>
            <w:rPr>
              <w:rFonts w:ascii="Times New Roman" w:hAnsi="Times New Roman" w:cs="Times New Roman"/>
            </w:rPr>
            <w:fldChar w:fldCharType="begin"/>
          </w:r>
          <w:r>
            <w:rPr>
              <w:rFonts w:ascii="Times New Roman" w:hAnsi="Times New Roman" w:cs="Times New Roman"/>
            </w:rPr>
            <w:instrText xml:space="preserve"> PAGEREF _Toc1401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"_Toc12329" </w:instrText>
          </w:r>
          <w:r>
            <w:fldChar w:fldCharType="separate"/>
          </w:r>
          <w:r>
            <w:rPr>
              <w:rFonts w:hint="eastAsia" w:ascii="仿宋" w:hAnsi="仿宋" w:eastAsia="仿宋" w:cs="Times New Roman"/>
              <w:bCs/>
              <w:szCs w:val="28"/>
            </w:rPr>
            <w:t>（四）公众评判法</w:t>
          </w:r>
          <w:r>
            <w:tab/>
          </w:r>
          <w:r>
            <w:rPr>
              <w:rFonts w:ascii="Times New Roman" w:hAnsi="Times New Roman" w:cs="Times New Roman"/>
            </w:rPr>
            <w:fldChar w:fldCharType="begin"/>
          </w:r>
          <w:r>
            <w:rPr>
              <w:rFonts w:ascii="Times New Roman" w:hAnsi="Times New Roman" w:cs="Times New Roman"/>
            </w:rPr>
            <w:instrText xml:space="preserve"> PAGEREF _Toc12329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"_Toc12612" </w:instrText>
          </w:r>
          <w:r>
            <w:fldChar w:fldCharType="separate"/>
          </w:r>
          <w:r>
            <w:rPr>
              <w:rFonts w:hint="eastAsia" w:ascii="仿宋" w:hAnsi="仿宋" w:eastAsia="仿宋" w:cs="黑体"/>
              <w:bCs/>
              <w:szCs w:val="32"/>
            </w:rPr>
            <w:t>八、评价标准</w:t>
          </w:r>
          <w:r>
            <w:tab/>
          </w:r>
          <w:r>
            <w:rPr>
              <w:rFonts w:ascii="Times New Roman" w:hAnsi="Times New Roman" w:cs="Times New Roman"/>
            </w:rPr>
            <w:fldChar w:fldCharType="begin"/>
          </w:r>
          <w:r>
            <w:rPr>
              <w:rFonts w:ascii="Times New Roman" w:hAnsi="Times New Roman" w:cs="Times New Roman"/>
            </w:rPr>
            <w:instrText xml:space="preserve"> PAGEREF _Toc12612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"_Toc17122" </w:instrText>
          </w:r>
          <w:r>
            <w:fldChar w:fldCharType="separate"/>
          </w:r>
          <w:r>
            <w:rPr>
              <w:rFonts w:hint="eastAsia" w:ascii="仿宋" w:hAnsi="仿宋" w:eastAsia="仿宋" w:cs="Times New Roman"/>
              <w:bCs/>
              <w:szCs w:val="28"/>
            </w:rPr>
            <w:t>（一）评价标准</w:t>
          </w:r>
          <w:r>
            <w:tab/>
          </w:r>
          <w:r>
            <w:rPr>
              <w:rFonts w:ascii="Times New Roman" w:hAnsi="Times New Roman" w:cs="Times New Roman"/>
            </w:rPr>
            <w:fldChar w:fldCharType="begin"/>
          </w:r>
          <w:r>
            <w:rPr>
              <w:rFonts w:ascii="Times New Roman" w:hAnsi="Times New Roman" w:cs="Times New Roman"/>
            </w:rPr>
            <w:instrText xml:space="preserve"> PAGEREF _Toc17122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"_Toc17902" </w:instrText>
          </w:r>
          <w:r>
            <w:fldChar w:fldCharType="separate"/>
          </w:r>
          <w:r>
            <w:rPr>
              <w:rFonts w:hint="eastAsia" w:ascii="仿宋" w:hAnsi="仿宋" w:eastAsia="仿宋" w:cs="Times New Roman"/>
              <w:bCs/>
              <w:szCs w:val="28"/>
            </w:rPr>
            <w:t>（二）评价依据</w:t>
          </w:r>
          <w:r>
            <w:tab/>
          </w:r>
          <w:r>
            <w:rPr>
              <w:rFonts w:ascii="Times New Roman" w:hAnsi="Times New Roman" w:cs="Times New Roman"/>
            </w:rPr>
            <w:fldChar w:fldCharType="begin"/>
          </w:r>
          <w:r>
            <w:rPr>
              <w:rFonts w:ascii="Times New Roman" w:hAnsi="Times New Roman" w:cs="Times New Roman"/>
            </w:rPr>
            <w:instrText xml:space="preserve"> PAGEREF _Toc17902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"_Toc28934" </w:instrText>
          </w:r>
          <w:r>
            <w:fldChar w:fldCharType="separate"/>
          </w:r>
          <w:r>
            <w:rPr>
              <w:rFonts w:hint="eastAsia" w:ascii="仿宋" w:hAnsi="仿宋" w:eastAsia="仿宋" w:cs="黑体"/>
              <w:bCs/>
              <w:szCs w:val="32"/>
            </w:rPr>
            <w:t>九、评价开展过程</w:t>
          </w:r>
          <w:r>
            <w:tab/>
          </w:r>
          <w:r>
            <w:rPr>
              <w:rFonts w:ascii="Times New Roman" w:hAnsi="Times New Roman" w:cs="Times New Roman"/>
            </w:rPr>
            <w:fldChar w:fldCharType="begin"/>
          </w:r>
          <w:r>
            <w:rPr>
              <w:rFonts w:ascii="Times New Roman" w:hAnsi="Times New Roman" w:cs="Times New Roman"/>
            </w:rPr>
            <w:instrText xml:space="preserve"> PAGEREF _Toc28934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"_Toc32566" </w:instrText>
          </w:r>
          <w:r>
            <w:fldChar w:fldCharType="separate"/>
          </w:r>
          <w:r>
            <w:rPr>
              <w:rFonts w:hint="eastAsia" w:ascii="仿宋" w:hAnsi="仿宋" w:eastAsia="仿宋" w:cs="Times New Roman"/>
              <w:bCs/>
              <w:szCs w:val="28"/>
            </w:rPr>
            <w:t>（一）前期准备阶段</w:t>
          </w:r>
          <w:r>
            <w:tab/>
          </w:r>
          <w:r>
            <w:rPr>
              <w:rFonts w:ascii="Times New Roman" w:hAnsi="Times New Roman" w:cs="Times New Roman"/>
            </w:rPr>
            <w:fldChar w:fldCharType="begin"/>
          </w:r>
          <w:r>
            <w:rPr>
              <w:rFonts w:ascii="Times New Roman" w:hAnsi="Times New Roman" w:cs="Times New Roman"/>
            </w:rPr>
            <w:instrText xml:space="preserve"> PAGEREF _Toc32566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"_Toc25005" </w:instrText>
          </w:r>
          <w:r>
            <w:fldChar w:fldCharType="separate"/>
          </w:r>
          <w:r>
            <w:rPr>
              <w:rFonts w:hint="eastAsia" w:ascii="仿宋" w:hAnsi="仿宋" w:eastAsia="仿宋" w:cs="Times New Roman"/>
              <w:bCs/>
              <w:szCs w:val="28"/>
            </w:rPr>
            <w:t>（二）组织实施阶段</w:t>
          </w:r>
          <w:r>
            <w:tab/>
          </w:r>
          <w:r>
            <w:rPr>
              <w:rFonts w:ascii="Times New Roman" w:hAnsi="Times New Roman" w:cs="Times New Roman"/>
            </w:rPr>
            <w:fldChar w:fldCharType="begin"/>
          </w:r>
          <w:r>
            <w:rPr>
              <w:rFonts w:ascii="Times New Roman" w:hAnsi="Times New Roman" w:cs="Times New Roman"/>
            </w:rPr>
            <w:instrText xml:space="preserve"> PAGEREF _Toc25005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"_Toc8418" </w:instrText>
          </w:r>
          <w:r>
            <w:fldChar w:fldCharType="separate"/>
          </w:r>
          <w:r>
            <w:rPr>
              <w:rFonts w:hint="eastAsia" w:ascii="仿宋" w:hAnsi="仿宋" w:eastAsia="仿宋" w:cs="Times New Roman"/>
              <w:bCs/>
              <w:szCs w:val="28"/>
            </w:rPr>
            <w:t>（三）报告形成阶段</w:t>
          </w:r>
          <w:r>
            <w:tab/>
          </w:r>
          <w:r>
            <w:rPr>
              <w:rFonts w:ascii="Times New Roman" w:hAnsi="Times New Roman" w:cs="Times New Roman"/>
            </w:rPr>
            <w:fldChar w:fldCharType="begin"/>
          </w:r>
          <w:r>
            <w:rPr>
              <w:rFonts w:ascii="Times New Roman" w:hAnsi="Times New Roman" w:cs="Times New Roman"/>
            </w:rPr>
            <w:instrText xml:space="preserve"> PAGEREF _Toc8418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306"/>
            </w:tabs>
          </w:pPr>
          <w:r>
            <w:fldChar w:fldCharType="begin"/>
          </w:r>
          <w:r>
            <w:instrText xml:space="preserve"> HYPERLINK \l "_Toc18023" </w:instrText>
          </w:r>
          <w:r>
            <w:fldChar w:fldCharType="separate"/>
          </w:r>
          <w:r>
            <w:rPr>
              <w:rFonts w:ascii="仿宋" w:hAnsi="仿宋" w:eastAsia="仿宋" w:cs="Times New Roman"/>
              <w:bCs/>
              <w:szCs w:val="36"/>
            </w:rPr>
            <w:t>第三部分 绩效评价结果</w:t>
          </w:r>
          <w:r>
            <w:tab/>
          </w:r>
          <w:r>
            <w:rPr>
              <w:rFonts w:ascii="Times New Roman" w:hAnsi="Times New Roman" w:cs="Times New Roman"/>
            </w:rPr>
            <w:fldChar w:fldCharType="begin"/>
          </w:r>
          <w:r>
            <w:rPr>
              <w:rFonts w:ascii="Times New Roman" w:hAnsi="Times New Roman" w:cs="Times New Roman"/>
            </w:rPr>
            <w:instrText xml:space="preserve"> PAGEREF _Toc18023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"_Toc10138" </w:instrText>
          </w:r>
          <w:r>
            <w:fldChar w:fldCharType="separate"/>
          </w:r>
          <w:r>
            <w:rPr>
              <w:rFonts w:hint="eastAsia" w:ascii="仿宋" w:hAnsi="仿宋" w:eastAsia="仿宋" w:cs="Times New Roman"/>
              <w:bCs/>
              <w:szCs w:val="32"/>
            </w:rPr>
            <w:t>一</w:t>
          </w:r>
          <w:r>
            <w:rPr>
              <w:rFonts w:ascii="仿宋" w:hAnsi="仿宋" w:eastAsia="仿宋" w:cs="Times New Roman"/>
              <w:bCs/>
              <w:szCs w:val="32"/>
            </w:rPr>
            <w:t>、绩效评价得分情况</w:t>
          </w:r>
          <w:r>
            <w:tab/>
          </w:r>
          <w:r>
            <w:rPr>
              <w:rFonts w:ascii="Times New Roman" w:hAnsi="Times New Roman" w:cs="Times New Roman"/>
            </w:rPr>
            <w:fldChar w:fldCharType="begin"/>
          </w:r>
          <w:r>
            <w:rPr>
              <w:rFonts w:ascii="Times New Roman" w:hAnsi="Times New Roman" w:cs="Times New Roman"/>
            </w:rPr>
            <w:instrText xml:space="preserve"> PAGEREF _Toc10138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"_Toc23853" </w:instrText>
          </w:r>
          <w:r>
            <w:fldChar w:fldCharType="separate"/>
          </w:r>
          <w:r>
            <w:rPr>
              <w:rFonts w:hint="eastAsia" w:ascii="仿宋" w:hAnsi="仿宋" w:eastAsia="仿宋" w:cs="Times New Roman"/>
              <w:bCs/>
              <w:szCs w:val="32"/>
            </w:rPr>
            <w:t>二</w:t>
          </w:r>
          <w:r>
            <w:rPr>
              <w:rFonts w:ascii="仿宋" w:hAnsi="仿宋" w:eastAsia="仿宋" w:cs="Times New Roman"/>
              <w:bCs/>
              <w:szCs w:val="32"/>
            </w:rPr>
            <w:t>、绩效评价指标分析</w:t>
          </w:r>
          <w:r>
            <w:tab/>
          </w:r>
          <w:r>
            <w:rPr>
              <w:rFonts w:ascii="Times New Roman" w:hAnsi="Times New Roman" w:cs="Times New Roman"/>
            </w:rPr>
            <w:fldChar w:fldCharType="begin"/>
          </w:r>
          <w:r>
            <w:rPr>
              <w:rFonts w:ascii="Times New Roman" w:hAnsi="Times New Roman" w:cs="Times New Roman"/>
            </w:rPr>
            <w:instrText xml:space="preserve"> PAGEREF _Toc23853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"_Toc1438" </w:instrText>
          </w:r>
          <w:r>
            <w:fldChar w:fldCharType="separate"/>
          </w:r>
          <w:r>
            <w:rPr>
              <w:rFonts w:ascii="仿宋" w:hAnsi="仿宋" w:eastAsia="仿宋" w:cs="Times New Roman"/>
              <w:bCs/>
              <w:szCs w:val="28"/>
            </w:rPr>
            <w:t>（一）项目决策情况</w:t>
          </w:r>
          <w:r>
            <w:tab/>
          </w:r>
          <w:r>
            <w:rPr>
              <w:rFonts w:ascii="Times New Roman" w:hAnsi="Times New Roman" w:cs="Times New Roman"/>
            </w:rPr>
            <w:fldChar w:fldCharType="begin"/>
          </w:r>
          <w:r>
            <w:rPr>
              <w:rFonts w:ascii="Times New Roman" w:hAnsi="Times New Roman" w:cs="Times New Roman"/>
            </w:rPr>
            <w:instrText xml:space="preserve"> PAGEREF _Toc1438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"_Toc29380" </w:instrText>
          </w:r>
          <w:r>
            <w:fldChar w:fldCharType="separate"/>
          </w:r>
          <w:r>
            <w:rPr>
              <w:rFonts w:ascii="仿宋" w:hAnsi="仿宋" w:eastAsia="仿宋" w:cs="Times New Roman"/>
              <w:bCs/>
              <w:szCs w:val="28"/>
            </w:rPr>
            <w:t>（二）项目过程情况</w:t>
          </w:r>
          <w:r>
            <w:tab/>
          </w:r>
          <w:r>
            <w:rPr>
              <w:rFonts w:ascii="Times New Roman" w:hAnsi="Times New Roman" w:cs="Times New Roman"/>
            </w:rPr>
            <w:fldChar w:fldCharType="begin"/>
          </w:r>
          <w:r>
            <w:rPr>
              <w:rFonts w:ascii="Times New Roman" w:hAnsi="Times New Roman" w:cs="Times New Roman"/>
            </w:rPr>
            <w:instrText xml:space="preserve"> PAGEREF _Toc29380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"_Toc29206" </w:instrText>
          </w:r>
          <w:r>
            <w:fldChar w:fldCharType="separate"/>
          </w:r>
          <w:r>
            <w:rPr>
              <w:rFonts w:hint="eastAsia" w:ascii="仿宋" w:hAnsi="仿宋" w:eastAsia="仿宋" w:cs="Times New Roman"/>
              <w:bCs/>
              <w:szCs w:val="28"/>
            </w:rPr>
            <w:t>（</w:t>
          </w:r>
          <w:r>
            <w:rPr>
              <w:rFonts w:ascii="仿宋" w:hAnsi="仿宋" w:eastAsia="仿宋" w:cs="Times New Roman"/>
              <w:bCs/>
              <w:szCs w:val="28"/>
            </w:rPr>
            <w:t>三）项目产出情况</w:t>
          </w:r>
          <w:r>
            <w:tab/>
          </w:r>
          <w:r>
            <w:rPr>
              <w:rFonts w:ascii="Times New Roman" w:hAnsi="Times New Roman" w:cs="Times New Roman"/>
            </w:rPr>
            <w:fldChar w:fldCharType="begin"/>
          </w:r>
          <w:r>
            <w:rPr>
              <w:rFonts w:ascii="Times New Roman" w:hAnsi="Times New Roman" w:cs="Times New Roman"/>
            </w:rPr>
            <w:instrText xml:space="preserve"> PAGEREF _Toc29206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4"/>
            <w:tabs>
              <w:tab w:val="right" w:leader="dot" w:pos="8306"/>
            </w:tabs>
            <w:ind w:left="1120"/>
          </w:pPr>
          <w:r>
            <w:fldChar w:fldCharType="begin"/>
          </w:r>
          <w:r>
            <w:instrText xml:space="preserve"> HYPERLINK \l "_Toc28990" </w:instrText>
          </w:r>
          <w:r>
            <w:fldChar w:fldCharType="separate"/>
          </w:r>
          <w:r>
            <w:rPr>
              <w:rFonts w:ascii="仿宋" w:hAnsi="仿宋" w:eastAsia="仿宋" w:cs="Times New Roman"/>
              <w:bCs/>
              <w:szCs w:val="28"/>
            </w:rPr>
            <w:t>（四）项目效益情况</w:t>
          </w:r>
          <w:r>
            <w:tab/>
          </w:r>
          <w:r>
            <w:rPr>
              <w:rFonts w:ascii="Times New Roman" w:hAnsi="Times New Roman" w:cs="Times New Roman"/>
            </w:rPr>
            <w:fldChar w:fldCharType="begin"/>
          </w:r>
          <w:r>
            <w:rPr>
              <w:rFonts w:ascii="Times New Roman" w:hAnsi="Times New Roman" w:cs="Times New Roman"/>
            </w:rPr>
            <w:instrText xml:space="preserve"> PAGEREF _Toc28990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306"/>
            </w:tabs>
          </w:pPr>
          <w:r>
            <w:fldChar w:fldCharType="begin"/>
          </w:r>
          <w:r>
            <w:instrText xml:space="preserve"> HYPERLINK \l "_Toc18458" </w:instrText>
          </w:r>
          <w:r>
            <w:fldChar w:fldCharType="separate"/>
          </w:r>
          <w:r>
            <w:rPr>
              <w:rFonts w:ascii="仿宋" w:hAnsi="仿宋" w:eastAsia="仿宋" w:cs="Times New Roman"/>
              <w:bCs/>
              <w:szCs w:val="36"/>
            </w:rPr>
            <w:t>第四部分 存在主要问题</w:t>
          </w:r>
          <w:r>
            <w:tab/>
          </w:r>
          <w:r>
            <w:rPr>
              <w:rFonts w:ascii="Times New Roman" w:hAnsi="Times New Roman" w:cs="Times New Roman"/>
            </w:rPr>
            <w:fldChar w:fldCharType="begin"/>
          </w:r>
          <w:r>
            <w:rPr>
              <w:rFonts w:ascii="Times New Roman" w:hAnsi="Times New Roman" w:cs="Times New Roman"/>
            </w:rPr>
            <w:instrText xml:space="preserve"> PAGEREF _Toc18458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"_Toc9087" </w:instrText>
          </w:r>
          <w:r>
            <w:fldChar w:fldCharType="separate"/>
          </w:r>
          <w:r>
            <w:rPr>
              <w:rFonts w:hint="eastAsia" w:ascii="仿宋" w:hAnsi="仿宋" w:eastAsia="仿宋" w:cs="Times New Roman"/>
              <w:bCs/>
              <w:szCs w:val="32"/>
            </w:rPr>
            <w:t>一、项目资金支出进度有待优化</w:t>
          </w:r>
          <w:r>
            <w:tab/>
          </w:r>
          <w:r>
            <w:rPr>
              <w:rFonts w:ascii="Times New Roman" w:hAnsi="Times New Roman" w:cs="Times New Roman"/>
            </w:rPr>
            <w:fldChar w:fldCharType="begin"/>
          </w:r>
          <w:r>
            <w:rPr>
              <w:rFonts w:ascii="Times New Roman" w:hAnsi="Times New Roman" w:cs="Times New Roman"/>
            </w:rPr>
            <w:instrText xml:space="preserve"> PAGEREF _Toc9087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"_Toc6805" </w:instrText>
          </w:r>
          <w:r>
            <w:fldChar w:fldCharType="separate"/>
          </w:r>
          <w:r>
            <w:rPr>
              <w:rFonts w:hint="eastAsia" w:ascii="仿宋" w:hAnsi="仿宋" w:eastAsia="仿宋" w:cs="Times New Roman"/>
              <w:bCs/>
              <w:szCs w:val="32"/>
            </w:rPr>
            <w:t>二、工程资料管理有待加强，数据质量需加强把关</w:t>
          </w:r>
          <w:r>
            <w:tab/>
          </w:r>
          <w:r>
            <w:rPr>
              <w:rFonts w:ascii="Times New Roman" w:hAnsi="Times New Roman" w:cs="Times New Roman"/>
            </w:rPr>
            <w:fldChar w:fldCharType="begin"/>
          </w:r>
          <w:r>
            <w:rPr>
              <w:rFonts w:ascii="Times New Roman" w:hAnsi="Times New Roman" w:cs="Times New Roman"/>
            </w:rPr>
            <w:instrText xml:space="preserve"> PAGEREF _Toc6805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"_Toc24049" </w:instrText>
          </w:r>
          <w:r>
            <w:fldChar w:fldCharType="separate"/>
          </w:r>
          <w:r>
            <w:rPr>
              <w:rFonts w:hint="eastAsia" w:ascii="仿宋" w:hAnsi="仿宋" w:eastAsia="仿宋" w:cs="Times New Roman"/>
              <w:bCs/>
              <w:szCs w:val="32"/>
            </w:rPr>
            <w:t>三、项目竣工验收及时性有待提高</w:t>
          </w:r>
          <w:r>
            <w:tab/>
          </w:r>
          <w:r>
            <w:rPr>
              <w:rFonts w:ascii="Times New Roman" w:hAnsi="Times New Roman" w:cs="Times New Roman"/>
            </w:rPr>
            <w:fldChar w:fldCharType="begin"/>
          </w:r>
          <w:r>
            <w:rPr>
              <w:rFonts w:ascii="Times New Roman" w:hAnsi="Times New Roman" w:cs="Times New Roman"/>
            </w:rPr>
            <w:instrText xml:space="preserve"> PAGEREF _Toc24049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"_Toc3255" </w:instrText>
          </w:r>
          <w:r>
            <w:fldChar w:fldCharType="separate"/>
          </w:r>
          <w:r>
            <w:rPr>
              <w:rFonts w:hint="eastAsia" w:ascii="仿宋" w:hAnsi="仿宋" w:eastAsia="仿宋" w:cs="Times New Roman"/>
              <w:bCs/>
              <w:szCs w:val="32"/>
            </w:rPr>
            <w:t>四、部分配套实施未按计划，灌溉节水建设还需强化</w:t>
          </w:r>
          <w:r>
            <w:tab/>
          </w:r>
          <w:r>
            <w:rPr>
              <w:rFonts w:ascii="Times New Roman" w:hAnsi="Times New Roman" w:cs="Times New Roman"/>
            </w:rPr>
            <w:fldChar w:fldCharType="begin"/>
          </w:r>
          <w:r>
            <w:rPr>
              <w:rFonts w:ascii="Times New Roman" w:hAnsi="Times New Roman" w:cs="Times New Roman"/>
            </w:rPr>
            <w:instrText xml:space="preserve"> PAGEREF _Toc3255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"_Toc32200" </w:instrText>
          </w:r>
          <w:r>
            <w:fldChar w:fldCharType="separate"/>
          </w:r>
          <w:r>
            <w:rPr>
              <w:rFonts w:hint="eastAsia" w:ascii="仿宋" w:hAnsi="仿宋" w:eastAsia="仿宋" w:cs="Times New Roman"/>
              <w:bCs/>
              <w:szCs w:val="32"/>
            </w:rPr>
            <w:t>五、项目后期管护质量有待提高</w:t>
          </w:r>
          <w:r>
            <w:tab/>
          </w:r>
          <w:r>
            <w:rPr>
              <w:rFonts w:ascii="Times New Roman" w:hAnsi="Times New Roman" w:cs="Times New Roman"/>
            </w:rPr>
            <w:fldChar w:fldCharType="begin"/>
          </w:r>
          <w:r>
            <w:rPr>
              <w:rFonts w:ascii="Times New Roman" w:hAnsi="Times New Roman" w:cs="Times New Roman"/>
            </w:rPr>
            <w:instrText xml:space="preserve"> PAGEREF _Toc32200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306"/>
            </w:tabs>
          </w:pPr>
          <w:r>
            <w:fldChar w:fldCharType="begin"/>
          </w:r>
          <w:r>
            <w:instrText xml:space="preserve"> HYPERLINK \l "_Toc15001" </w:instrText>
          </w:r>
          <w:r>
            <w:fldChar w:fldCharType="separate"/>
          </w:r>
          <w:r>
            <w:rPr>
              <w:rFonts w:hint="eastAsia" w:ascii="仿宋" w:hAnsi="仿宋" w:eastAsia="仿宋" w:cs="Times New Roman"/>
              <w:bCs/>
              <w:szCs w:val="36"/>
            </w:rPr>
            <w:t>第五部分 改进措施与管理建议</w:t>
          </w:r>
          <w:r>
            <w:tab/>
          </w:r>
          <w:r>
            <w:rPr>
              <w:rFonts w:ascii="Times New Roman" w:hAnsi="Times New Roman" w:cs="Times New Roman"/>
            </w:rPr>
            <w:fldChar w:fldCharType="begin"/>
          </w:r>
          <w:r>
            <w:rPr>
              <w:rFonts w:ascii="Times New Roman" w:hAnsi="Times New Roman" w:cs="Times New Roman"/>
            </w:rPr>
            <w:instrText xml:space="preserve"> PAGEREF _Toc15001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"_Toc31627" </w:instrText>
          </w:r>
          <w:r>
            <w:fldChar w:fldCharType="separate"/>
          </w:r>
          <w:r>
            <w:rPr>
              <w:rFonts w:hint="eastAsia" w:ascii="仿宋" w:hAnsi="仿宋" w:eastAsia="仿宋" w:cs="Times New Roman"/>
              <w:bCs/>
              <w:szCs w:val="32"/>
            </w:rPr>
            <w:t>一、加强项目进度把控，提高资金支出效率</w:t>
          </w:r>
          <w:r>
            <w:tab/>
          </w:r>
          <w:r>
            <w:rPr>
              <w:rFonts w:ascii="Times New Roman" w:hAnsi="Times New Roman" w:cs="Times New Roman"/>
            </w:rPr>
            <w:fldChar w:fldCharType="begin"/>
          </w:r>
          <w:r>
            <w:rPr>
              <w:rFonts w:ascii="Times New Roman" w:hAnsi="Times New Roman" w:cs="Times New Roman"/>
            </w:rPr>
            <w:instrText xml:space="preserve"> PAGEREF _Toc31627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"_Toc7216" </w:instrText>
          </w:r>
          <w:r>
            <w:fldChar w:fldCharType="separate"/>
          </w:r>
          <w:r>
            <w:rPr>
              <w:rFonts w:hint="eastAsia" w:ascii="仿宋" w:hAnsi="仿宋" w:eastAsia="仿宋" w:cs="Times New Roman"/>
              <w:bCs/>
              <w:szCs w:val="32"/>
            </w:rPr>
            <w:t>二、规范工程资料管理，关注数据统计质量</w:t>
          </w:r>
          <w:r>
            <w:tab/>
          </w:r>
          <w:r>
            <w:rPr>
              <w:rFonts w:ascii="Times New Roman" w:hAnsi="Times New Roman" w:cs="Times New Roman"/>
            </w:rPr>
            <w:fldChar w:fldCharType="begin"/>
          </w:r>
          <w:r>
            <w:rPr>
              <w:rFonts w:ascii="Times New Roman" w:hAnsi="Times New Roman" w:cs="Times New Roman"/>
            </w:rPr>
            <w:instrText xml:space="preserve"> PAGEREF _Toc7216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"_Toc29374" </w:instrText>
          </w:r>
          <w:r>
            <w:fldChar w:fldCharType="separate"/>
          </w:r>
          <w:r>
            <w:rPr>
              <w:rFonts w:hint="eastAsia" w:ascii="仿宋" w:hAnsi="仿宋" w:eastAsia="仿宋" w:cs="Times New Roman"/>
              <w:bCs/>
              <w:szCs w:val="32"/>
            </w:rPr>
            <w:t>三、保证项目按期验收，及时衔接管护工作</w:t>
          </w:r>
          <w:r>
            <w:tab/>
          </w:r>
          <w:r>
            <w:rPr>
              <w:rFonts w:ascii="Times New Roman" w:hAnsi="Times New Roman" w:cs="Times New Roman"/>
            </w:rPr>
            <w:fldChar w:fldCharType="begin"/>
          </w:r>
          <w:r>
            <w:rPr>
              <w:rFonts w:ascii="Times New Roman" w:hAnsi="Times New Roman" w:cs="Times New Roman"/>
            </w:rPr>
            <w:instrText xml:space="preserve"> PAGEREF _Toc29374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"_Toc23762" </w:instrText>
          </w:r>
          <w:r>
            <w:fldChar w:fldCharType="separate"/>
          </w:r>
          <w:r>
            <w:rPr>
              <w:rFonts w:hint="eastAsia" w:ascii="仿宋" w:hAnsi="仿宋" w:eastAsia="仿宋" w:cs="Times New Roman"/>
              <w:bCs/>
              <w:szCs w:val="32"/>
            </w:rPr>
            <w:t>四、强化项目监督指导，完善工程设计施工</w:t>
          </w:r>
          <w:r>
            <w:tab/>
          </w:r>
          <w:r>
            <w:rPr>
              <w:rFonts w:ascii="Times New Roman" w:hAnsi="Times New Roman" w:cs="Times New Roman"/>
            </w:rPr>
            <w:fldChar w:fldCharType="begin"/>
          </w:r>
          <w:r>
            <w:rPr>
              <w:rFonts w:ascii="Times New Roman" w:hAnsi="Times New Roman" w:cs="Times New Roman"/>
            </w:rPr>
            <w:instrText xml:space="preserve"> PAGEREF _Toc23762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8"/>
            <w:tabs>
              <w:tab w:val="right" w:leader="dot" w:pos="8306"/>
            </w:tabs>
            <w:ind w:left="560"/>
          </w:pPr>
          <w:r>
            <w:fldChar w:fldCharType="begin"/>
          </w:r>
          <w:r>
            <w:instrText xml:space="preserve"> HYPERLINK \l "_Toc20433" </w:instrText>
          </w:r>
          <w:r>
            <w:fldChar w:fldCharType="separate"/>
          </w:r>
          <w:r>
            <w:rPr>
              <w:rFonts w:hint="eastAsia" w:ascii="仿宋" w:hAnsi="仿宋" w:eastAsia="仿宋" w:cs="Times New Roman"/>
              <w:bCs/>
              <w:szCs w:val="32"/>
            </w:rPr>
            <w:t>五、加强工程养护工作，保护农田建设成果</w:t>
          </w:r>
          <w:r>
            <w:tab/>
          </w:r>
          <w:r>
            <w:rPr>
              <w:rFonts w:ascii="Times New Roman" w:hAnsi="Times New Roman" w:cs="Times New Roman"/>
            </w:rPr>
            <w:fldChar w:fldCharType="begin"/>
          </w:r>
          <w:r>
            <w:rPr>
              <w:rFonts w:ascii="Times New Roman" w:hAnsi="Times New Roman" w:cs="Times New Roman"/>
            </w:rPr>
            <w:instrText xml:space="preserve"> PAGEREF _Toc20433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306"/>
            </w:tabs>
          </w:pPr>
          <w:r>
            <w:fldChar w:fldCharType="begin"/>
          </w:r>
          <w:r>
            <w:instrText xml:space="preserve"> HYPERLINK \l "_Toc13262" </w:instrText>
          </w:r>
          <w:r>
            <w:fldChar w:fldCharType="separate"/>
          </w:r>
          <w:r>
            <w:rPr>
              <w:rFonts w:ascii="仿宋" w:hAnsi="仿宋" w:eastAsia="仿宋"/>
              <w:bCs/>
              <w:szCs w:val="36"/>
            </w:rPr>
            <w:t>附件</w:t>
          </w:r>
          <w:r>
            <w:rPr>
              <w:rFonts w:ascii="仿宋" w:hAnsi="仿宋" w:eastAsia="仿宋"/>
              <w:szCs w:val="36"/>
            </w:rPr>
            <w:t>：</w:t>
          </w:r>
          <w:r>
            <w:tab/>
          </w:r>
          <w:r>
            <w:rPr>
              <w:rFonts w:ascii="Times New Roman" w:hAnsi="Times New Roman" w:cs="Times New Roman"/>
            </w:rPr>
            <w:fldChar w:fldCharType="begin"/>
          </w:r>
          <w:r>
            <w:rPr>
              <w:rFonts w:ascii="Times New Roman" w:hAnsi="Times New Roman" w:cs="Times New Roman"/>
            </w:rPr>
            <w:instrText xml:space="preserve"> PAGEREF _Toc13262 \h </w:instrText>
          </w:r>
          <w:r>
            <w:rPr>
              <w:rFonts w:ascii="Times New Roman" w:hAnsi="Times New Roman" w:cs="Times New Roman"/>
            </w:rPr>
            <w:fldChar w:fldCharType="separate"/>
          </w:r>
          <w:r>
            <w:rPr>
              <w:rFonts w:ascii="Times New Roman" w:hAnsi="Times New Roman" w:cs="Times New Roman"/>
            </w:rPr>
            <w:t>29</w:t>
          </w:r>
          <w:r>
            <w:rPr>
              <w:rFonts w:ascii="Times New Roman" w:hAnsi="Times New Roman" w:cs="Times New Roman"/>
            </w:rPr>
            <w:fldChar w:fldCharType="end"/>
          </w:r>
          <w:r>
            <w:rPr>
              <w:rFonts w:ascii="Times New Roman" w:hAnsi="Times New Roman" w:cs="Times New Roman"/>
            </w:rPr>
            <w:fldChar w:fldCharType="end"/>
          </w:r>
        </w:p>
        <w:p>
          <w:pPr>
            <w:pStyle w:val="7"/>
            <w:tabs>
              <w:tab w:val="right" w:leader="dot" w:pos="8296"/>
            </w:tabs>
            <w:spacing w:line="420" w:lineRule="exact"/>
            <w:rPr>
              <w:rFonts w:ascii="仿宋" w:hAnsi="仿宋" w:eastAsia="仿宋"/>
              <w:sz w:val="24"/>
            </w:rPr>
          </w:pPr>
          <w:r>
            <w:rPr>
              <w:rFonts w:ascii="仿宋" w:hAnsi="仿宋" w:eastAsia="仿宋"/>
              <w:lang w:val="zh-CN"/>
            </w:rPr>
            <w:fldChar w:fldCharType="end"/>
          </w:r>
        </w:p>
      </w:sdtContent>
    </w:sdt>
    <w:p>
      <w:pPr>
        <w:rPr>
          <w:rFonts w:ascii="仿宋" w:hAnsi="仿宋" w:eastAsia="仿宋"/>
          <w:sz w:val="24"/>
        </w:rPr>
        <w:sectPr>
          <w:footerReference r:id="rId7" w:type="default"/>
          <w:pgSz w:w="11906" w:h="16838"/>
          <w:pgMar w:top="1440" w:right="1800" w:bottom="1440" w:left="1800" w:header="851" w:footer="992" w:gutter="0"/>
          <w:pgNumType w:start="1"/>
          <w:cols w:space="425" w:num="1"/>
          <w:docGrid w:type="lines" w:linePitch="312" w:charSpace="0"/>
        </w:sectPr>
      </w:pPr>
    </w:p>
    <w:p>
      <w:pPr>
        <w:rPr>
          <w:rFonts w:ascii="仿宋" w:hAnsi="仿宋" w:eastAsia="仿宋"/>
          <w:sz w:val="24"/>
        </w:rPr>
      </w:pPr>
    </w:p>
    <w:p>
      <w:pPr>
        <w:jc w:val="center"/>
        <w:outlineLvl w:val="0"/>
        <w:rPr>
          <w:rFonts w:ascii="仿宋" w:hAnsi="仿宋" w:eastAsia="仿宋" w:cs="楷体"/>
          <w:b/>
          <w:bCs/>
          <w:sz w:val="36"/>
          <w:szCs w:val="36"/>
        </w:rPr>
      </w:pPr>
      <w:bookmarkStart w:id="3" w:name="_Toc2935"/>
      <w:bookmarkStart w:id="4" w:name="_Toc2016465260"/>
      <w:r>
        <w:rPr>
          <w:rFonts w:hint="eastAsia" w:ascii="仿宋" w:hAnsi="仿宋" w:eastAsia="仿宋" w:cs="楷体"/>
          <w:b/>
          <w:bCs/>
          <w:sz w:val="36"/>
          <w:szCs w:val="36"/>
        </w:rPr>
        <w:t>第一部分 专项资金基本概况</w:t>
      </w:r>
      <w:bookmarkEnd w:id="3"/>
      <w:bookmarkEnd w:id="4"/>
    </w:p>
    <w:p>
      <w:pPr>
        <w:rPr>
          <w:rFonts w:ascii="仿宋" w:hAnsi="仿宋" w:eastAsia="仿宋"/>
          <w:sz w:val="24"/>
        </w:rPr>
      </w:pPr>
      <w:r>
        <w:rPr>
          <w:rFonts w:ascii="仿宋" w:hAnsi="仿宋" w:eastAsia="仿宋"/>
          <w:sz w:val="24"/>
        </w:rPr>
        <w:tab/>
      </w:r>
    </w:p>
    <w:p>
      <w:pPr>
        <w:spacing w:before="156" w:beforeLines="50" w:after="156" w:afterLines="50"/>
        <w:ind w:firstLine="643" w:firstLineChars="200"/>
        <w:outlineLvl w:val="1"/>
        <w:rPr>
          <w:rFonts w:ascii="仿宋" w:hAnsi="仿宋" w:eastAsia="仿宋" w:cs="黑体"/>
          <w:b/>
          <w:bCs/>
          <w:sz w:val="32"/>
          <w:szCs w:val="32"/>
        </w:rPr>
      </w:pPr>
      <w:bookmarkStart w:id="5" w:name="_Toc864465875"/>
      <w:bookmarkStart w:id="6" w:name="_Toc7283"/>
      <w:r>
        <w:rPr>
          <w:rFonts w:hint="eastAsia" w:ascii="仿宋" w:hAnsi="仿宋" w:eastAsia="仿宋" w:cs="黑体"/>
          <w:b/>
          <w:bCs/>
          <w:sz w:val="32"/>
          <w:szCs w:val="32"/>
        </w:rPr>
        <w:t>一、专项资金实施背景</w:t>
      </w:r>
      <w:bookmarkEnd w:id="5"/>
      <w:bookmarkEnd w:id="6"/>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党的十八大以来，我国深入实施“藏粮于地、藏粮于技”战略，紧紧围绕实施乡村振兴战略，按照农业高质量发展要求，以提升粮食产能和保障国家粮食安全为首要目标，合力推进高标准农田建设。习近平总书记在中央农村工作会议上强调，坚决守住</w:t>
      </w:r>
      <w:r>
        <w:rPr>
          <w:rFonts w:ascii="Times New Roman" w:hAnsi="Times New Roman" w:eastAsia="仿宋" w:cs="Times New Roman"/>
          <w:color w:val="333333"/>
          <w:shd w:val="clear" w:color="auto" w:fill="FFFFFF"/>
        </w:rPr>
        <w:t>18</w:t>
      </w:r>
      <w:r>
        <w:rPr>
          <w:rFonts w:hint="eastAsia" w:ascii="仿宋" w:hAnsi="仿宋" w:eastAsia="仿宋"/>
          <w:color w:val="333333"/>
          <w:shd w:val="clear" w:color="auto" w:fill="FFFFFF"/>
        </w:rPr>
        <w:t>亿亩耕地红线，逐步把永久基本农田全部建成高标准农田。</w:t>
      </w:r>
      <w:r>
        <w:rPr>
          <w:rFonts w:ascii="仿宋" w:hAnsi="仿宋" w:eastAsia="仿宋"/>
          <w:color w:val="333333"/>
          <w:shd w:val="clear" w:color="auto" w:fill="FFFFFF"/>
        </w:rPr>
        <w:t>根据农业农村部《关于推进高标准农田改造提升的指导意见》（农建发</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2022</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5</w:t>
      </w:r>
      <w:r>
        <w:rPr>
          <w:rFonts w:ascii="仿宋" w:hAnsi="仿宋" w:eastAsia="仿宋"/>
          <w:color w:val="333333"/>
          <w:shd w:val="clear" w:color="auto" w:fill="FFFFFF"/>
        </w:rPr>
        <w:t>号）和福建省农业农村厅《关于下达</w:t>
      </w:r>
      <w:r>
        <w:rPr>
          <w:rFonts w:ascii="Times New Roman" w:hAnsi="Times New Roman" w:eastAsia="仿宋" w:cs="Times New Roman"/>
          <w:color w:val="333333"/>
          <w:shd w:val="clear" w:color="auto" w:fill="FFFFFF"/>
        </w:rPr>
        <w:t>2023</w:t>
      </w:r>
      <w:r>
        <w:rPr>
          <w:rFonts w:ascii="仿宋" w:hAnsi="仿宋" w:eastAsia="仿宋"/>
          <w:color w:val="333333"/>
          <w:shd w:val="clear" w:color="auto" w:fill="FFFFFF"/>
        </w:rPr>
        <w:t>年高标准农田建设任务的通知》（闽农建</w:t>
      </w:r>
      <w:r>
        <w:rPr>
          <w:rFonts w:ascii="仿宋" w:hAnsi="仿宋" w:eastAsia="仿宋" w:cs="Times New Roman"/>
          <w:color w:val="333333"/>
          <w:shd w:val="clear" w:color="auto" w:fill="FFFFFF"/>
        </w:rPr>
        <w:t>函</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2022</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932</w:t>
      </w:r>
      <w:r>
        <w:rPr>
          <w:rFonts w:ascii="仿宋" w:hAnsi="仿宋" w:eastAsia="仿宋"/>
          <w:color w:val="333333"/>
          <w:shd w:val="clear" w:color="auto" w:fill="FFFFFF"/>
        </w:rPr>
        <w:t>号）文件精神，</w:t>
      </w:r>
      <w:r>
        <w:rPr>
          <w:rFonts w:ascii="Times New Roman" w:hAnsi="Times New Roman" w:eastAsia="仿宋" w:cs="Times New Roman"/>
          <w:color w:val="333333"/>
          <w:shd w:val="clear" w:color="auto" w:fill="FFFFFF"/>
        </w:rPr>
        <w:t>2023</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2030</w:t>
      </w:r>
      <w:r>
        <w:rPr>
          <w:rFonts w:ascii="仿宋" w:hAnsi="仿宋" w:eastAsia="仿宋"/>
          <w:color w:val="333333"/>
          <w:shd w:val="clear" w:color="auto" w:fill="FFFFFF"/>
        </w:rPr>
        <w:t>年，全国年均改造提升</w:t>
      </w:r>
      <w:r>
        <w:rPr>
          <w:rFonts w:ascii="Times New Roman" w:hAnsi="Times New Roman" w:eastAsia="仿宋" w:cs="Times New Roman"/>
          <w:color w:val="333333"/>
          <w:shd w:val="clear" w:color="auto" w:fill="FFFFFF"/>
        </w:rPr>
        <w:t>3500</w:t>
      </w:r>
      <w:r>
        <w:rPr>
          <w:rFonts w:ascii="仿宋" w:hAnsi="仿宋" w:eastAsia="仿宋"/>
          <w:color w:val="333333"/>
          <w:shd w:val="clear" w:color="auto" w:fill="FFFFFF"/>
        </w:rPr>
        <w:t>万亩高标准农田，改造提升后的高标准农田亩均粮食综合生产能力明显提高。通过改造提升，解决已建高标准农田设施不配套、工程老化、工程建设标准低等问题，农田基础设施和耕地地力水平进一步提高，工程设施使用年限进一步延长，真正达到高标准，实现旱游保收、高产稳产，与现代农业发展相适应，构建更高水平、更有效率、更可持续的国家粮食安全保障基础，为农业农村现代化提供有力支撑。</w:t>
      </w:r>
    </w:p>
    <w:p>
      <w:pPr>
        <w:ind w:firstLine="560" w:firstLineChars="200"/>
        <w:rPr>
          <w:rFonts w:ascii="仿宋" w:hAnsi="仿宋" w:eastAsia="仿宋"/>
          <w:color w:val="333333"/>
          <w:shd w:val="clear" w:color="auto" w:fill="FFFFFF"/>
        </w:rPr>
      </w:pPr>
      <w:r>
        <w:rPr>
          <w:rFonts w:hint="eastAsia" w:ascii="仿宋" w:hAnsi="仿宋" w:eastAsia="仿宋"/>
        </w:rPr>
        <w:t>根据</w:t>
      </w:r>
      <w:r>
        <w:rPr>
          <w:rFonts w:ascii="仿宋" w:hAnsi="仿宋" w:eastAsia="仿宋"/>
        </w:rPr>
        <w:t>惠安县三调数据</w:t>
      </w:r>
      <w:r>
        <w:rPr>
          <w:rFonts w:hint="eastAsia" w:ascii="仿宋" w:hAnsi="仿宋" w:eastAsia="仿宋"/>
        </w:rPr>
        <w:t>库等基础数</w:t>
      </w:r>
      <w:r>
        <w:rPr>
          <w:rFonts w:hint="eastAsia" w:ascii="仿宋" w:hAnsi="仿宋" w:eastAsia="仿宋"/>
          <w:color w:val="333333"/>
          <w:shd w:val="clear" w:color="auto" w:fill="FFFFFF"/>
        </w:rPr>
        <w:t>据</w:t>
      </w:r>
      <w:r>
        <w:rPr>
          <w:rFonts w:ascii="仿宋" w:hAnsi="仿宋" w:eastAsia="仿宋"/>
          <w:color w:val="333333"/>
          <w:shd w:val="clear" w:color="auto" w:fill="FFFFFF"/>
        </w:rPr>
        <w:t>，</w:t>
      </w:r>
      <w:r>
        <w:rPr>
          <w:rFonts w:ascii="仿宋" w:hAnsi="仿宋" w:eastAsia="仿宋"/>
        </w:rPr>
        <w:t>惠安县三调总耕地扣除台山区面积为</w:t>
      </w:r>
      <w:r>
        <w:rPr>
          <w:rFonts w:ascii="Times New Roman" w:hAnsi="Times New Roman" w:eastAsia="仿宋" w:cs="Times New Roman"/>
        </w:rPr>
        <w:t>22</w:t>
      </w:r>
      <w:r>
        <w:rPr>
          <w:rFonts w:ascii="仿宋" w:hAnsi="仿宋" w:eastAsia="仿宋"/>
        </w:rPr>
        <w:t>.</w:t>
      </w:r>
      <w:r>
        <w:rPr>
          <w:rFonts w:ascii="Times New Roman" w:hAnsi="Times New Roman" w:eastAsia="仿宋" w:cs="Times New Roman"/>
        </w:rPr>
        <w:t>69</w:t>
      </w:r>
      <w:r>
        <w:rPr>
          <w:rFonts w:ascii="仿宋" w:hAnsi="仿宋" w:eastAsia="仿宋"/>
        </w:rPr>
        <w:t>万亩，</w:t>
      </w:r>
      <w:r>
        <w:rPr>
          <w:rFonts w:ascii="Times New Roman" w:hAnsi="Times New Roman" w:eastAsia="仿宋" w:cs="Times New Roman"/>
        </w:rPr>
        <w:t>2011</w:t>
      </w:r>
      <w:r>
        <w:rPr>
          <w:rFonts w:ascii="仿宋" w:hAnsi="仿宋" w:eastAsia="仿宋"/>
        </w:rPr>
        <w:t>-</w:t>
      </w:r>
      <w:r>
        <w:rPr>
          <w:rFonts w:ascii="Times New Roman" w:hAnsi="Times New Roman" w:eastAsia="仿宋" w:cs="Times New Roman"/>
        </w:rPr>
        <w:t>2020</w:t>
      </w:r>
      <w:r>
        <w:rPr>
          <w:rFonts w:hint="eastAsia" w:ascii="仿宋" w:hAnsi="仿宋" w:eastAsia="仿宋"/>
        </w:rPr>
        <w:t>年</w:t>
      </w:r>
      <w:r>
        <w:rPr>
          <w:rFonts w:ascii="仿宋" w:hAnsi="仿宋" w:eastAsia="仿宋"/>
        </w:rPr>
        <w:t>已实施项目</w:t>
      </w:r>
      <w:r>
        <w:rPr>
          <w:rFonts w:hint="eastAsia" w:ascii="仿宋" w:hAnsi="仿宋" w:eastAsia="仿宋"/>
        </w:rPr>
        <w:t>总投资</w:t>
      </w:r>
      <w:r>
        <w:rPr>
          <w:rFonts w:ascii="Times New Roman" w:hAnsi="Times New Roman" w:eastAsia="仿宋" w:cs="Times New Roman"/>
        </w:rPr>
        <w:t>17</w:t>
      </w:r>
      <w:r>
        <w:rPr>
          <w:rFonts w:ascii="仿宋" w:hAnsi="仿宋" w:eastAsia="仿宋"/>
        </w:rPr>
        <w:t>.</w:t>
      </w:r>
      <w:r>
        <w:rPr>
          <w:rFonts w:ascii="Times New Roman" w:hAnsi="Times New Roman" w:eastAsia="仿宋" w:cs="Times New Roman"/>
        </w:rPr>
        <w:t>52</w:t>
      </w:r>
      <w:r>
        <w:rPr>
          <w:rFonts w:hint="eastAsia" w:ascii="仿宋" w:hAnsi="仿宋" w:eastAsia="仿宋"/>
        </w:rPr>
        <w:t>亿元，</w:t>
      </w:r>
      <w:r>
        <w:rPr>
          <w:rFonts w:ascii="仿宋" w:hAnsi="仿宋" w:eastAsia="仿宋"/>
        </w:rPr>
        <w:t>所占的三调耕地面积</w:t>
      </w:r>
      <w:r>
        <w:rPr>
          <w:rFonts w:ascii="Times New Roman" w:hAnsi="Times New Roman" w:eastAsia="仿宋" w:cs="Times New Roman"/>
        </w:rPr>
        <w:t>8</w:t>
      </w:r>
      <w:r>
        <w:rPr>
          <w:rFonts w:ascii="仿宋" w:hAnsi="仿宋" w:eastAsia="仿宋"/>
        </w:rPr>
        <w:t>.</w:t>
      </w:r>
      <w:r>
        <w:rPr>
          <w:rFonts w:ascii="Times New Roman" w:hAnsi="Times New Roman" w:eastAsia="仿宋" w:cs="Times New Roman"/>
        </w:rPr>
        <w:t>18</w:t>
      </w:r>
      <w:r>
        <w:rPr>
          <w:rFonts w:ascii="仿宋" w:hAnsi="仿宋" w:eastAsia="仿宋"/>
        </w:rPr>
        <w:t>万亩，未建设过项目的三调耕地面积</w:t>
      </w:r>
      <w:r>
        <w:rPr>
          <w:rFonts w:ascii="Times New Roman" w:hAnsi="Times New Roman" w:eastAsia="仿宋" w:cs="Times New Roman"/>
        </w:rPr>
        <w:t>14</w:t>
      </w:r>
      <w:r>
        <w:rPr>
          <w:rFonts w:ascii="仿宋" w:hAnsi="仿宋" w:eastAsia="仿宋"/>
        </w:rPr>
        <w:t>.</w:t>
      </w:r>
      <w:r>
        <w:rPr>
          <w:rFonts w:ascii="Times New Roman" w:hAnsi="Times New Roman" w:eastAsia="仿宋" w:cs="Times New Roman"/>
        </w:rPr>
        <w:t>52</w:t>
      </w:r>
      <w:r>
        <w:rPr>
          <w:rFonts w:ascii="仿宋" w:hAnsi="仿宋" w:eastAsia="仿宋"/>
          <w:color w:val="333333"/>
          <w:shd w:val="clear" w:color="auto" w:fill="FFFFFF"/>
        </w:rPr>
        <w:t>万亩</w:t>
      </w:r>
      <w:r>
        <w:rPr>
          <w:rFonts w:hint="eastAsia" w:ascii="仿宋" w:hAnsi="仿宋" w:eastAsia="仿宋"/>
          <w:color w:val="333333"/>
          <w:shd w:val="clear" w:color="auto" w:fill="FFFFFF"/>
        </w:rPr>
        <w:t>。</w:t>
      </w:r>
      <w:r>
        <w:rPr>
          <w:rFonts w:ascii="仿宋" w:hAnsi="仿宋" w:eastAsia="仿宋"/>
          <w:color w:val="333333"/>
          <w:shd w:val="clear" w:color="auto" w:fill="FFFFFF"/>
        </w:rPr>
        <w:t>惠安县农业农村局在泉州市农业农村局的指导下，按照相对集中连片、整体推进、因地制宜的原则</w:t>
      </w:r>
      <w:r>
        <w:rPr>
          <w:rFonts w:hint="eastAsia" w:ascii="仿宋" w:hAnsi="仿宋" w:eastAsia="仿宋"/>
          <w:color w:val="333333"/>
          <w:shd w:val="clear" w:color="auto" w:fill="FFFFFF"/>
        </w:rPr>
        <w:t>，</w:t>
      </w:r>
      <w:r>
        <w:rPr>
          <w:rFonts w:ascii="仿宋" w:hAnsi="仿宋" w:eastAsia="仿宋"/>
          <w:color w:val="333333"/>
          <w:shd w:val="clear" w:color="auto" w:fill="FFFFFF"/>
        </w:rPr>
        <w:t>实施高标准农田建设项目</w:t>
      </w:r>
      <w:r>
        <w:rPr>
          <w:rFonts w:hint="eastAsia" w:ascii="仿宋" w:hAnsi="仿宋" w:eastAsia="仿宋"/>
          <w:color w:val="333333"/>
          <w:shd w:val="clear" w:color="auto" w:fill="FFFFFF"/>
        </w:rPr>
        <w:t>，提升惠安县粮食生产能力，促进农业增效、农民增收、农村发展，夯实乡村振兴基础。</w:t>
      </w:r>
    </w:p>
    <w:p>
      <w:pPr>
        <w:spacing w:before="156" w:beforeLines="50" w:after="156" w:afterLines="50"/>
        <w:ind w:firstLine="643" w:firstLineChars="200"/>
        <w:outlineLvl w:val="1"/>
        <w:rPr>
          <w:rFonts w:ascii="仿宋" w:hAnsi="仿宋" w:eastAsia="仿宋" w:cs="黑体"/>
          <w:b/>
          <w:bCs/>
          <w:sz w:val="32"/>
          <w:szCs w:val="32"/>
        </w:rPr>
      </w:pPr>
      <w:bookmarkStart w:id="7" w:name="_Toc881946015"/>
      <w:bookmarkStart w:id="8" w:name="_Toc30503"/>
      <w:r>
        <w:rPr>
          <w:rFonts w:hint="eastAsia" w:ascii="仿宋" w:hAnsi="仿宋" w:eastAsia="仿宋" w:cs="黑体"/>
          <w:b/>
          <w:bCs/>
          <w:sz w:val="32"/>
          <w:szCs w:val="32"/>
        </w:rPr>
        <w:t>二、专项资金实施依据</w:t>
      </w:r>
      <w:bookmarkEnd w:id="7"/>
      <w:bookmarkEnd w:id="8"/>
    </w:p>
    <w:p>
      <w:pPr>
        <w:ind w:firstLine="560" w:firstLineChars="200"/>
        <w:rPr>
          <w:rFonts w:ascii="仿宋" w:hAnsi="仿宋" w:eastAsia="仿宋"/>
          <w:color w:val="333333"/>
          <w:shd w:val="clear" w:color="auto" w:fill="FFFFFF"/>
        </w:rPr>
      </w:pPr>
      <w:bookmarkStart w:id="9" w:name="_Hlk152182163"/>
      <w:r>
        <w:rPr>
          <w:rFonts w:hint="eastAsia" w:ascii="仿宋" w:hAnsi="仿宋" w:eastAsia="仿宋"/>
          <w:color w:val="333333"/>
          <w:shd w:val="clear" w:color="auto" w:fill="FFFFFF"/>
        </w:rPr>
        <w:t>本专项资金立项依据为:福建省财政厅福建省农业农村厅关于印发《福建省农田建设补助资金管理办法实施细则》的通知（闽财农〔</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40</w:t>
      </w:r>
      <w:r>
        <w:rPr>
          <w:rFonts w:hint="eastAsia" w:ascii="仿宋" w:hAnsi="仿宋" w:eastAsia="仿宋"/>
          <w:color w:val="333333"/>
          <w:shd w:val="clear" w:color="auto" w:fill="FFFFFF"/>
        </w:rPr>
        <w:t>号）、福建省农业农村厅关于印发《福建省农田建设项目管理实施办法》的通知（闽农综〔</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127</w:t>
      </w:r>
      <w:r>
        <w:rPr>
          <w:rFonts w:hint="eastAsia" w:ascii="仿宋" w:hAnsi="仿宋" w:eastAsia="仿宋"/>
          <w:color w:val="333333"/>
          <w:shd w:val="clear" w:color="auto" w:fill="FFFFFF"/>
        </w:rPr>
        <w:t>号）、《福建省农业农村厅关于做好农田建设项目建后管护工作的通知》（闽农建函〔</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816</w:t>
      </w:r>
      <w:r>
        <w:rPr>
          <w:rFonts w:hint="eastAsia" w:ascii="仿宋" w:hAnsi="仿宋" w:eastAsia="仿宋"/>
          <w:color w:val="333333"/>
          <w:shd w:val="clear" w:color="auto" w:fill="FFFFFF"/>
        </w:rPr>
        <w:t>号）、《福建省人民政府办公厅关于印发切实加强高标准农田建设提升粮食生产能力实施方案的通知》（闽政办〔</w:t>
      </w:r>
      <w:r>
        <w:rPr>
          <w:rFonts w:ascii="Times New Roman" w:hAnsi="Times New Roman" w:eastAsia="仿宋" w:cs="Times New Roman"/>
          <w:color w:val="333333"/>
          <w:shd w:val="clear" w:color="auto" w:fill="FFFFFF"/>
        </w:rPr>
        <w:t>2020</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30</w:t>
      </w:r>
      <w:r>
        <w:rPr>
          <w:rFonts w:hint="eastAsia" w:ascii="仿宋" w:hAnsi="仿宋" w:eastAsia="仿宋"/>
          <w:color w:val="333333"/>
          <w:shd w:val="clear" w:color="auto" w:fill="FFFFFF"/>
        </w:rPr>
        <w:t>号）、《泉州市人民政府办公室关于印发泉州市高标准农田改造提升（农田连片整治）行动计划（</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2025</w:t>
      </w:r>
      <w:r>
        <w:rPr>
          <w:rFonts w:hint="eastAsia" w:ascii="仿宋" w:hAnsi="仿宋" w:eastAsia="仿宋"/>
          <w:color w:val="333333"/>
          <w:shd w:val="clear" w:color="auto" w:fill="FFFFFF"/>
        </w:rPr>
        <w:t>年）的通知》（泉政办明传〔</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12</w:t>
      </w:r>
      <w:r>
        <w:rPr>
          <w:rFonts w:hint="eastAsia" w:ascii="仿宋" w:hAnsi="仿宋" w:eastAsia="仿宋"/>
          <w:color w:val="333333"/>
          <w:shd w:val="clear" w:color="auto" w:fill="FFFFFF"/>
        </w:rPr>
        <w:t>号）、</w:t>
      </w:r>
      <w:r>
        <w:rPr>
          <w:rFonts w:ascii="仿宋" w:hAnsi="仿宋" w:eastAsia="仿宋"/>
        </w:rPr>
        <w:t>《关于严格核定土地整治和高标准农田建设项目新增耕地的通知》</w:t>
      </w:r>
      <w:r>
        <w:rPr>
          <w:rFonts w:hint="eastAsia" w:ascii="仿宋" w:hAnsi="仿宋" w:eastAsia="仿宋" w:cs="Cambria"/>
        </w:rPr>
        <w:t>（国土</w:t>
      </w:r>
      <w:r>
        <w:rPr>
          <w:rFonts w:ascii="仿宋" w:hAnsi="仿宋" w:eastAsia="仿宋"/>
        </w:rPr>
        <w:t>资发〔</w:t>
      </w:r>
      <w:r>
        <w:rPr>
          <w:rFonts w:ascii="Times New Roman" w:hAnsi="Times New Roman" w:eastAsia="仿宋" w:cs="Times New Roman"/>
        </w:rPr>
        <w:t>2018</w:t>
      </w:r>
      <w:r>
        <w:rPr>
          <w:rFonts w:ascii="仿宋" w:hAnsi="仿宋" w:eastAsia="仿宋"/>
        </w:rPr>
        <w:t>〕</w:t>
      </w:r>
      <w:r>
        <w:rPr>
          <w:rFonts w:ascii="Times New Roman" w:hAnsi="Times New Roman" w:eastAsia="仿宋" w:cs="Times New Roman"/>
        </w:rPr>
        <w:t>31</w:t>
      </w:r>
      <w:r>
        <w:rPr>
          <w:rFonts w:ascii="仿宋" w:hAnsi="仿宋" w:eastAsia="仿宋"/>
        </w:rPr>
        <w:t>号</w:t>
      </w:r>
      <w:r>
        <w:rPr>
          <w:rFonts w:hint="eastAsia" w:ascii="仿宋" w:hAnsi="仿宋" w:eastAsia="仿宋" w:cs="Cambria"/>
        </w:rPr>
        <w:t>）</w:t>
      </w:r>
      <w:r>
        <w:rPr>
          <w:rFonts w:hint="eastAsia" w:ascii="仿宋" w:hAnsi="仿宋" w:eastAsia="仿宋"/>
          <w:color w:val="333333"/>
          <w:shd w:val="clear" w:color="auto" w:fill="FFFFFF"/>
        </w:rPr>
        <w:t>等政策文件。</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本专项资金经费批复与实施的过程文件为《泉州市农业农村局关于泉州市</w:t>
      </w:r>
      <w:r>
        <w:rPr>
          <w:rFonts w:ascii="Times New Roman" w:hAnsi="Times New Roman" w:eastAsia="仿宋" w:cs="Times New Roman"/>
          <w:color w:val="333333"/>
          <w:shd w:val="clear" w:color="auto" w:fill="FFFFFF"/>
        </w:rPr>
        <w:t>2022</w:t>
      </w:r>
      <w:r>
        <w:rPr>
          <w:rFonts w:ascii="仿宋" w:hAnsi="仿宋" w:eastAsia="仿宋"/>
          <w:color w:val="333333"/>
          <w:shd w:val="clear" w:color="auto" w:fill="FFFFFF"/>
        </w:rPr>
        <w:t>年度（第三批）高标准农田建设项目初步设计和投资计划的批复</w:t>
      </w:r>
      <w:r>
        <w:rPr>
          <w:rFonts w:hint="eastAsia" w:ascii="仿宋" w:hAnsi="仿宋" w:eastAsia="仿宋"/>
          <w:color w:val="333333"/>
          <w:shd w:val="clear" w:color="auto" w:fill="FFFFFF"/>
        </w:rPr>
        <w:t>》（泉农复〔</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14</w:t>
      </w:r>
      <w:r>
        <w:rPr>
          <w:rFonts w:hint="eastAsia" w:ascii="仿宋" w:hAnsi="仿宋" w:eastAsia="仿宋"/>
          <w:color w:val="333333"/>
          <w:shd w:val="clear" w:color="auto" w:fill="FFFFFF"/>
        </w:rPr>
        <w:t>号）、《泉州市农业农村局关于泉州市</w:t>
      </w:r>
      <w:r>
        <w:rPr>
          <w:rFonts w:ascii="Times New Roman" w:hAnsi="Times New Roman" w:eastAsia="仿宋" w:cs="Times New Roman"/>
          <w:color w:val="333333"/>
          <w:shd w:val="clear" w:color="auto" w:fill="FFFFFF"/>
        </w:rPr>
        <w:t>2022</w:t>
      </w:r>
      <w:r>
        <w:rPr>
          <w:rFonts w:ascii="仿宋" w:hAnsi="仿宋" w:eastAsia="仿宋"/>
          <w:color w:val="333333"/>
          <w:shd w:val="clear" w:color="auto" w:fill="FFFFFF"/>
        </w:rPr>
        <w:t>年度第四批高标准农田建设项目初步设计和投资计的批复</w:t>
      </w:r>
      <w:r>
        <w:rPr>
          <w:rFonts w:hint="eastAsia" w:ascii="仿宋" w:hAnsi="仿宋" w:eastAsia="仿宋"/>
          <w:color w:val="333333"/>
          <w:shd w:val="clear" w:color="auto" w:fill="FFFFFF"/>
        </w:rPr>
        <w:t>》（泉农复〔</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15</w:t>
      </w:r>
      <w:r>
        <w:rPr>
          <w:rFonts w:hint="eastAsia" w:ascii="仿宋" w:hAnsi="仿宋" w:eastAsia="仿宋"/>
          <w:color w:val="333333"/>
          <w:shd w:val="clear" w:color="auto" w:fill="FFFFFF"/>
        </w:rPr>
        <w:t>号）、《泉州市农业农村局关于泉州市</w:t>
      </w:r>
      <w:r>
        <w:rPr>
          <w:rFonts w:ascii="Times New Roman" w:hAnsi="Times New Roman" w:eastAsia="仿宋" w:cs="Times New Roman"/>
          <w:color w:val="333333"/>
          <w:shd w:val="clear" w:color="auto" w:fill="FFFFFF"/>
        </w:rPr>
        <w:t>2023</w:t>
      </w:r>
      <w:r>
        <w:rPr>
          <w:rFonts w:ascii="仿宋" w:hAnsi="仿宋" w:eastAsia="仿宋"/>
          <w:color w:val="333333"/>
          <w:shd w:val="clear" w:color="auto" w:fill="FFFFFF"/>
        </w:rPr>
        <w:t>年度</w:t>
      </w:r>
      <w:r>
        <w:rPr>
          <w:rFonts w:hint="eastAsia" w:ascii="仿宋" w:hAnsi="仿宋" w:eastAsia="仿宋"/>
          <w:color w:val="333333"/>
          <w:shd w:val="clear" w:color="auto" w:fill="FFFFFF"/>
        </w:rPr>
        <w:t>（</w:t>
      </w:r>
      <w:r>
        <w:rPr>
          <w:rFonts w:ascii="仿宋" w:hAnsi="仿宋" w:eastAsia="仿宋"/>
          <w:color w:val="333333"/>
          <w:shd w:val="clear" w:color="auto" w:fill="FFFFFF"/>
        </w:rPr>
        <w:t>第六批</w:t>
      </w:r>
      <w:r>
        <w:rPr>
          <w:rFonts w:hint="eastAsia" w:ascii="仿宋" w:hAnsi="仿宋" w:eastAsia="仿宋"/>
          <w:color w:val="333333"/>
          <w:shd w:val="clear" w:color="auto" w:fill="FFFFFF"/>
        </w:rPr>
        <w:t>）</w:t>
      </w:r>
      <w:r>
        <w:rPr>
          <w:rFonts w:ascii="仿宋" w:hAnsi="仿宋" w:eastAsia="仿宋"/>
          <w:color w:val="333333"/>
          <w:shd w:val="clear" w:color="auto" w:fill="FFFFFF"/>
        </w:rPr>
        <w:t>高标准农田建设项目初步设计和投资计划的批复》</w:t>
      </w:r>
      <w:r>
        <w:rPr>
          <w:rFonts w:hint="eastAsia" w:ascii="仿宋" w:hAnsi="仿宋" w:eastAsia="仿宋"/>
          <w:color w:val="333333"/>
          <w:shd w:val="clear" w:color="auto" w:fill="FFFFFF"/>
        </w:rPr>
        <w:t>（泉农复〔</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14</w:t>
      </w:r>
      <w:r>
        <w:rPr>
          <w:rFonts w:hint="eastAsia" w:ascii="仿宋" w:hAnsi="仿宋" w:eastAsia="仿宋"/>
          <w:color w:val="333333"/>
          <w:shd w:val="clear" w:color="auto" w:fill="FFFFFF"/>
        </w:rPr>
        <w:t>号）、《泉州市农业农村局关于调整泉州市</w:t>
      </w:r>
      <w:r>
        <w:rPr>
          <w:rFonts w:ascii="Times New Roman" w:hAnsi="Times New Roman" w:eastAsia="仿宋" w:cs="Times New Roman"/>
          <w:color w:val="333333"/>
          <w:shd w:val="clear" w:color="auto" w:fill="FFFFFF"/>
        </w:rPr>
        <w:t>2023</w:t>
      </w:r>
      <w:r>
        <w:rPr>
          <w:rFonts w:ascii="仿宋" w:hAnsi="仿宋" w:eastAsia="仿宋"/>
          <w:color w:val="333333"/>
          <w:shd w:val="clear" w:color="auto" w:fill="FFFFFF"/>
        </w:rPr>
        <w:t>年度高标准农田建设项目初步设计和投资计划的通知</w:t>
      </w:r>
      <w:r>
        <w:rPr>
          <w:rFonts w:hint="eastAsia" w:ascii="仿宋" w:hAnsi="仿宋" w:eastAsia="仿宋"/>
          <w:color w:val="333333"/>
          <w:shd w:val="clear" w:color="auto" w:fill="FFFFFF"/>
        </w:rPr>
        <w:t>》（泉农复〔</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17</w:t>
      </w:r>
      <w:r>
        <w:rPr>
          <w:rFonts w:hint="eastAsia" w:ascii="仿宋" w:hAnsi="仿宋" w:eastAsia="仿宋"/>
          <w:color w:val="333333"/>
          <w:shd w:val="clear" w:color="auto" w:fill="FFFFFF"/>
        </w:rPr>
        <w:t>号）、《</w:t>
      </w:r>
      <w:r>
        <w:rPr>
          <w:rFonts w:ascii="仿宋" w:hAnsi="仿宋" w:eastAsia="仿宋"/>
          <w:color w:val="333333"/>
          <w:shd w:val="clear" w:color="auto" w:fill="FFFFFF"/>
        </w:rPr>
        <w:t>泉州市农业农村局关于提前批复</w:t>
      </w:r>
      <w:r>
        <w:rPr>
          <w:rFonts w:ascii="Times New Roman" w:hAnsi="Times New Roman" w:eastAsia="仿宋" w:cs="Times New Roman"/>
          <w:color w:val="333333"/>
          <w:shd w:val="clear" w:color="auto" w:fill="FFFFFF"/>
        </w:rPr>
        <w:t>2023</w:t>
      </w:r>
      <w:r>
        <w:rPr>
          <w:rFonts w:ascii="仿宋" w:hAnsi="仿宋" w:eastAsia="仿宋"/>
          <w:color w:val="333333"/>
          <w:shd w:val="clear" w:color="auto" w:fill="FFFFFF"/>
        </w:rPr>
        <w:t>年高标准农田建设任务的通知》</w:t>
      </w:r>
      <w:r>
        <w:rPr>
          <w:rFonts w:hint="eastAsia" w:ascii="仿宋" w:hAnsi="仿宋" w:eastAsia="仿宋"/>
          <w:color w:val="333333"/>
          <w:shd w:val="clear" w:color="auto" w:fill="FFFFFF"/>
        </w:rPr>
        <w:t>、《泉州市农业农村局关于农田建设项目初步设计调整管理的通知》《高标准农田建设通则》（泉农综〔</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29</w:t>
      </w:r>
      <w:r>
        <w:rPr>
          <w:rFonts w:hint="eastAsia" w:ascii="仿宋" w:hAnsi="仿宋" w:eastAsia="仿宋"/>
          <w:color w:val="333333"/>
          <w:shd w:val="clear" w:color="auto" w:fill="FFFFFF"/>
        </w:rPr>
        <w:t>号）、《福建省农业农村厅关于印发高标准农田建设项目竣工验收实施细则的通知》（闽农建函〔</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735</w:t>
      </w:r>
      <w:r>
        <w:rPr>
          <w:rFonts w:hint="eastAsia" w:ascii="仿宋" w:hAnsi="仿宋" w:eastAsia="仿宋"/>
          <w:color w:val="333333"/>
          <w:shd w:val="clear" w:color="auto" w:fill="FFFFFF"/>
        </w:rPr>
        <w:t>号）等文件。</w:t>
      </w:r>
    </w:p>
    <w:bookmarkEnd w:id="9"/>
    <w:p>
      <w:pPr>
        <w:spacing w:before="156" w:beforeLines="50" w:after="156" w:afterLines="50"/>
        <w:ind w:firstLine="643" w:firstLineChars="200"/>
        <w:outlineLvl w:val="1"/>
        <w:rPr>
          <w:rFonts w:ascii="仿宋" w:hAnsi="仿宋" w:eastAsia="仿宋" w:cs="黑体"/>
          <w:b/>
          <w:bCs/>
          <w:sz w:val="32"/>
          <w:szCs w:val="32"/>
        </w:rPr>
      </w:pPr>
      <w:bookmarkStart w:id="10" w:name="_Toc1019056815"/>
      <w:bookmarkStart w:id="11" w:name="_Toc59"/>
      <w:r>
        <w:rPr>
          <w:rFonts w:hint="eastAsia" w:ascii="仿宋" w:hAnsi="仿宋" w:eastAsia="仿宋" w:cs="黑体"/>
          <w:b/>
          <w:bCs/>
          <w:sz w:val="32"/>
          <w:szCs w:val="32"/>
        </w:rPr>
        <w:t>三、专项资金实施目标</w:t>
      </w:r>
      <w:bookmarkEnd w:id="10"/>
      <w:bookmarkEnd w:id="11"/>
    </w:p>
    <w:p>
      <w:pPr>
        <w:ind w:firstLine="560" w:firstLineChars="200"/>
        <w:rPr>
          <w:rFonts w:ascii="仿宋" w:hAnsi="仿宋" w:eastAsia="仿宋"/>
        </w:rPr>
      </w:pPr>
      <w:r>
        <w:rPr>
          <w:rFonts w:hint="eastAsia" w:ascii="仿宋" w:hAnsi="仿宋" w:eastAsia="仿宋"/>
          <w:color w:val="333333"/>
          <w:shd w:val="clear" w:color="auto" w:fill="FFFFFF"/>
        </w:rPr>
        <w:t>惠安县高标准农田建设项目以提升粮食产能和保障国家粮食安全为首要目标</w:t>
      </w:r>
      <w:r>
        <w:rPr>
          <w:rFonts w:ascii="仿宋" w:hAnsi="仿宋" w:eastAsia="仿宋"/>
        </w:rPr>
        <w:t>，突出抓好耕地保护和地力提升、加快高标准农田建设步伐，集中力量打造旱涝保收、稳产高产、绿色生态农田，为提升粮食生产能力奠定坚实基础。</w:t>
      </w:r>
      <w:r>
        <w:rPr>
          <w:rFonts w:hint="eastAsia" w:ascii="仿宋" w:hAnsi="仿宋" w:eastAsia="仿宋"/>
        </w:rPr>
        <w:t>具体目标为：通过“高标准农田建设”改造提升建设工程，实现田、水、路、林、村综合整治，优化</w:t>
      </w:r>
      <w:r>
        <w:rPr>
          <w:rFonts w:ascii="仿宋" w:hAnsi="仿宋" w:eastAsia="仿宋"/>
        </w:rPr>
        <w:t>土地利用结构与布局，提高耕地质量，建成大面积、连片成方的高标准农田，提高基础设施配套率，改善农业机械化、规模化生产条件，增强抵御自然灾害能力，改善生态景观，提高粮食生产保障能力，促进土地持续利用。</w:t>
      </w:r>
    </w:p>
    <w:p>
      <w:pPr>
        <w:ind w:firstLine="560" w:firstLineChars="200"/>
        <w:rPr>
          <w:rFonts w:ascii="仿宋" w:hAnsi="仿宋" w:eastAsia="仿宋"/>
        </w:rPr>
      </w:pPr>
      <w:r>
        <w:rPr>
          <w:rFonts w:hint="eastAsia" w:ascii="仿宋" w:hAnsi="仿宋" w:eastAsia="仿宋"/>
        </w:rPr>
        <w:t>根据</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2023</w:t>
      </w:r>
      <w:r>
        <w:rPr>
          <w:rFonts w:hint="eastAsia" w:ascii="仿宋" w:hAnsi="仿宋" w:eastAsia="仿宋"/>
        </w:rPr>
        <w:t>年福建省农业农村厅下达农田建设任务的通知，惠安县</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2023</w:t>
      </w:r>
      <w:r>
        <w:rPr>
          <w:rFonts w:hint="eastAsia" w:ascii="仿宋" w:hAnsi="仿宋" w:eastAsia="仿宋"/>
        </w:rPr>
        <w:t>年各年度实施高标准农田建设项目的建设目标如表</w:t>
      </w:r>
      <w:r>
        <w:rPr>
          <w:rFonts w:ascii="Times New Roman" w:hAnsi="Times New Roman" w:eastAsia="仿宋" w:cs="Times New Roman"/>
        </w:rPr>
        <w:t>1</w:t>
      </w:r>
      <w:r>
        <w:rPr>
          <w:rFonts w:hint="eastAsia" w:ascii="仿宋" w:hAnsi="仿宋" w:eastAsia="仿宋"/>
        </w:rPr>
        <w:t>所示。据《惠安县高标准农田建设专项规划》（</w:t>
      </w:r>
      <w:r>
        <w:rPr>
          <w:rFonts w:ascii="Times New Roman" w:hAnsi="Times New Roman" w:eastAsia="仿宋" w:cs="Times New Roman"/>
        </w:rPr>
        <w:t>2021</w:t>
      </w:r>
      <w:r>
        <w:rPr>
          <w:rFonts w:ascii="仿宋" w:hAnsi="仿宋" w:eastAsia="仿宋"/>
        </w:rPr>
        <w:t>-</w:t>
      </w:r>
      <w:r>
        <w:rPr>
          <w:rFonts w:ascii="Times New Roman" w:hAnsi="Times New Roman" w:eastAsia="仿宋" w:cs="Times New Roman"/>
        </w:rPr>
        <w:t>2030</w:t>
      </w:r>
      <w:r>
        <w:rPr>
          <w:rFonts w:hint="eastAsia" w:ascii="仿宋" w:hAnsi="仿宋" w:eastAsia="仿宋"/>
        </w:rPr>
        <w:t>年），</w:t>
      </w:r>
      <w:r>
        <w:rPr>
          <w:rFonts w:ascii="Times New Roman" w:hAnsi="Times New Roman" w:eastAsia="仿宋" w:cs="Times New Roman"/>
        </w:rPr>
        <w:t>2021</w:t>
      </w:r>
      <w:r>
        <w:rPr>
          <w:rFonts w:ascii="仿宋" w:hAnsi="仿宋" w:eastAsia="仿宋"/>
        </w:rPr>
        <w:t>-</w:t>
      </w:r>
      <w:r>
        <w:rPr>
          <w:rFonts w:ascii="Times New Roman" w:hAnsi="Times New Roman" w:eastAsia="仿宋" w:cs="Times New Roman"/>
        </w:rPr>
        <w:t>2030</w:t>
      </w:r>
      <w:r>
        <w:rPr>
          <w:rFonts w:ascii="仿宋" w:hAnsi="仿宋" w:eastAsia="仿宋"/>
        </w:rPr>
        <w:t>年</w:t>
      </w:r>
      <w:r>
        <w:rPr>
          <w:rFonts w:hint="eastAsia" w:ascii="仿宋" w:hAnsi="仿宋" w:eastAsia="仿宋"/>
        </w:rPr>
        <w:t>惠安县计划</w:t>
      </w:r>
      <w:r>
        <w:rPr>
          <w:rFonts w:ascii="仿宋" w:hAnsi="仿宋" w:eastAsia="仿宋"/>
        </w:rPr>
        <w:t>新建高标准农田</w:t>
      </w:r>
      <w:r>
        <w:rPr>
          <w:rFonts w:ascii="Times New Roman" w:hAnsi="Times New Roman" w:eastAsia="仿宋" w:cs="Times New Roman"/>
        </w:rPr>
        <w:t>4</w:t>
      </w:r>
      <w:r>
        <w:rPr>
          <w:rFonts w:ascii="仿宋" w:hAnsi="仿宋" w:eastAsia="仿宋"/>
        </w:rPr>
        <w:t>.</w:t>
      </w:r>
      <w:r>
        <w:rPr>
          <w:rFonts w:ascii="Times New Roman" w:hAnsi="Times New Roman" w:eastAsia="仿宋" w:cs="Times New Roman"/>
        </w:rPr>
        <w:t>65</w:t>
      </w:r>
      <w:r>
        <w:rPr>
          <w:rFonts w:ascii="仿宋" w:hAnsi="仿宋" w:eastAsia="仿宋"/>
        </w:rPr>
        <w:t>万亩，改造提升高标准农田</w:t>
      </w:r>
      <w:r>
        <w:rPr>
          <w:rFonts w:ascii="Times New Roman" w:hAnsi="Times New Roman" w:eastAsia="仿宋" w:cs="Times New Roman"/>
        </w:rPr>
        <w:t>1</w:t>
      </w:r>
      <w:r>
        <w:rPr>
          <w:rFonts w:ascii="仿宋" w:hAnsi="仿宋" w:eastAsia="仿宋"/>
        </w:rPr>
        <w:t>.</w:t>
      </w:r>
      <w:r>
        <w:rPr>
          <w:rFonts w:ascii="Times New Roman" w:hAnsi="Times New Roman" w:eastAsia="仿宋" w:cs="Times New Roman"/>
        </w:rPr>
        <w:t>35</w:t>
      </w:r>
      <w:r>
        <w:rPr>
          <w:rFonts w:ascii="仿宋" w:hAnsi="仿宋" w:eastAsia="仿宋"/>
        </w:rPr>
        <w:t>万亩，高效节水灌溉</w:t>
      </w:r>
      <w:r>
        <w:rPr>
          <w:rFonts w:ascii="Times New Roman" w:hAnsi="Times New Roman" w:eastAsia="仿宋" w:cs="Times New Roman"/>
        </w:rPr>
        <w:t>1</w:t>
      </w:r>
      <w:r>
        <w:rPr>
          <w:rFonts w:ascii="仿宋" w:hAnsi="仿宋" w:eastAsia="仿宋"/>
        </w:rPr>
        <w:t>.</w:t>
      </w:r>
      <w:r>
        <w:rPr>
          <w:rFonts w:ascii="Times New Roman" w:hAnsi="Times New Roman" w:eastAsia="仿宋" w:cs="Times New Roman"/>
        </w:rPr>
        <w:t>15</w:t>
      </w:r>
      <w:r>
        <w:rPr>
          <w:rFonts w:ascii="仿宋" w:hAnsi="仿宋" w:eastAsia="仿宋"/>
        </w:rPr>
        <w:t>万亩。</w:t>
      </w:r>
    </w:p>
    <w:p>
      <w:pPr>
        <w:spacing w:before="312" w:beforeLines="100"/>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1</w:t>
      </w:r>
      <w:r>
        <w:rPr>
          <w:rFonts w:ascii="仿宋" w:hAnsi="仿宋" w:eastAsia="仿宋" w:cs="Times New Roman"/>
          <w:b/>
          <w:bCs/>
          <w:sz w:val="24"/>
        </w:rPr>
        <w:t xml:space="preserve">  </w:t>
      </w:r>
      <w:r>
        <w:rPr>
          <w:rFonts w:hint="eastAsia" w:ascii="仿宋" w:hAnsi="仿宋" w:eastAsia="仿宋" w:cs="Times New Roman"/>
          <w:b/>
          <w:bCs/>
          <w:sz w:val="24"/>
        </w:rPr>
        <w:t>惠安县高标准农田建设年度建设目标（单位：万亩）</w:t>
      </w:r>
    </w:p>
    <w:tbl>
      <w:tblPr>
        <w:tblStyle w:val="10"/>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2"/>
        <w:gridCol w:w="3169"/>
        <w:gridCol w:w="317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280"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年份</w:t>
            </w:r>
          </w:p>
        </w:tc>
        <w:tc>
          <w:tcPr>
            <w:tcW w:w="1859" w:type="pct"/>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高标准农田建设项目任务</w:t>
            </w:r>
          </w:p>
        </w:tc>
        <w:tc>
          <w:tcPr>
            <w:tcW w:w="1860" w:type="pct"/>
            <w:tcBorders>
              <w:top w:val="single" w:color="auto" w:sz="12" w:space="0"/>
              <w:bottom w:val="single" w:color="auto" w:sz="4" w:space="0"/>
            </w:tcBorders>
            <w:shd w:val="clear" w:color="auto" w:fill="auto"/>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新增高效节水灌溉面积</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2019</w:t>
            </w:r>
            <w:r>
              <w:rPr>
                <w:rFonts w:hint="eastAsia" w:ascii="仿宋" w:hAnsi="仿宋" w:eastAsia="仿宋" w:cs="宋体"/>
                <w:color w:val="000000"/>
                <w:kern w:val="0"/>
                <w:sz w:val="22"/>
                <w:szCs w:val="22"/>
              </w:rPr>
              <w:t>年</w:t>
            </w:r>
          </w:p>
        </w:tc>
        <w:tc>
          <w:tcPr>
            <w:tcW w:w="1859" w:type="pct"/>
            <w:tcBorders>
              <w:top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3800</w:t>
            </w:r>
          </w:p>
        </w:tc>
        <w:tc>
          <w:tcPr>
            <w:tcW w:w="1860" w:type="pct"/>
            <w:tcBorders>
              <w:top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年</w:t>
            </w:r>
          </w:p>
        </w:tc>
        <w:tc>
          <w:tcPr>
            <w:tcW w:w="1859"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2700</w:t>
            </w:r>
          </w:p>
        </w:tc>
        <w:tc>
          <w:tcPr>
            <w:tcW w:w="1860"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3000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p>
        </w:tc>
        <w:tc>
          <w:tcPr>
            <w:tcW w:w="1859"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3500</w:t>
            </w:r>
          </w:p>
        </w:tc>
        <w:tc>
          <w:tcPr>
            <w:tcW w:w="1860"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年</w:t>
            </w:r>
          </w:p>
        </w:tc>
        <w:tc>
          <w:tcPr>
            <w:tcW w:w="1859"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1860" w:type="pct"/>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1200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tcBorders>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年</w:t>
            </w:r>
          </w:p>
        </w:tc>
        <w:tc>
          <w:tcPr>
            <w:tcW w:w="1859" w:type="pct"/>
            <w:tcBorders>
              <w:bottom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0500</w:t>
            </w:r>
          </w:p>
        </w:tc>
        <w:tc>
          <w:tcPr>
            <w:tcW w:w="1860" w:type="pct"/>
            <w:tcBorders>
              <w:bottom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1215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c>
          <w:tcPr>
            <w:tcW w:w="1859" w:type="pct"/>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0500</w:t>
            </w:r>
          </w:p>
        </w:tc>
        <w:tc>
          <w:tcPr>
            <w:tcW w:w="1860" w:type="pct"/>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1515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80" w:type="pct"/>
            <w:tcBorders>
              <w:top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w:t>
            </w:r>
            <w:r>
              <w:rPr>
                <w:rFonts w:ascii="Times New Roman" w:hAnsi="Times New Roman" w:eastAsia="仿宋" w:cs="Times New Roman"/>
                <w:b/>
                <w:bCs/>
                <w:color w:val="000000"/>
                <w:kern w:val="0"/>
                <w:sz w:val="22"/>
                <w:szCs w:val="22"/>
              </w:rPr>
              <w:t>2030</w:t>
            </w:r>
            <w:r>
              <w:rPr>
                <w:rFonts w:hint="eastAsia" w:ascii="仿宋" w:hAnsi="仿宋" w:eastAsia="仿宋" w:cs="宋体"/>
                <w:b/>
                <w:bCs/>
                <w:color w:val="000000"/>
                <w:kern w:val="0"/>
                <w:sz w:val="22"/>
                <w:szCs w:val="22"/>
              </w:rPr>
              <w:t>年</w:t>
            </w:r>
          </w:p>
        </w:tc>
        <w:tc>
          <w:tcPr>
            <w:tcW w:w="1859" w:type="pct"/>
            <w:tcBorders>
              <w:top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1860" w:type="pct"/>
            <w:tcBorders>
              <w:top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1500</w:t>
            </w:r>
          </w:p>
        </w:tc>
      </w:tr>
    </w:tbl>
    <w:p>
      <w:pPr>
        <w:tabs>
          <w:tab w:val="left" w:pos="2694"/>
        </w:tabs>
        <w:spacing w:before="312" w:beforeLines="100" w:after="156" w:afterLines="50"/>
        <w:ind w:firstLine="643" w:firstLineChars="200"/>
        <w:outlineLvl w:val="1"/>
        <w:rPr>
          <w:rFonts w:ascii="仿宋" w:hAnsi="仿宋" w:eastAsia="仿宋" w:cs="黑体"/>
          <w:b/>
          <w:bCs/>
          <w:sz w:val="32"/>
          <w:szCs w:val="32"/>
        </w:rPr>
      </w:pPr>
      <w:bookmarkStart w:id="12" w:name="_Toc4833"/>
      <w:r>
        <w:rPr>
          <w:rFonts w:hint="eastAsia" w:ascii="仿宋" w:hAnsi="仿宋" w:eastAsia="仿宋" w:cs="黑体"/>
          <w:b/>
          <w:bCs/>
          <w:sz w:val="32"/>
          <w:szCs w:val="32"/>
        </w:rPr>
        <w:t>四、</w:t>
      </w:r>
      <w:bookmarkStart w:id="13" w:name="_Toc1474093742"/>
      <w:r>
        <w:rPr>
          <w:rFonts w:hint="eastAsia" w:ascii="仿宋" w:hAnsi="仿宋" w:eastAsia="仿宋" w:cs="黑体"/>
          <w:b/>
          <w:bCs/>
          <w:sz w:val="32"/>
          <w:szCs w:val="32"/>
        </w:rPr>
        <w:t>专项资金执行情况</w:t>
      </w:r>
      <w:bookmarkEnd w:id="12"/>
      <w:bookmarkEnd w:id="13"/>
    </w:p>
    <w:p>
      <w:pPr>
        <w:ind w:firstLine="560" w:firstLineChars="200"/>
        <w:rPr>
          <w:rFonts w:ascii="仿宋" w:hAnsi="仿宋" w:eastAsia="仿宋" w:cs="Times New Roman"/>
          <w:color w:val="333333"/>
          <w:shd w:val="clear" w:color="auto" w:fill="FFFFFF"/>
        </w:rPr>
      </w:pPr>
      <w:r>
        <w:rPr>
          <w:rFonts w:hint="eastAsia" w:ascii="仿宋" w:hAnsi="仿宋" w:eastAsia="仿宋" w:cs="Times New Roman"/>
          <w:color w:val="333333"/>
          <w:shd w:val="clear" w:color="auto" w:fill="FFFFFF"/>
        </w:rPr>
        <w:t>惠安县高标准农田建设资金来源为农田建设补助资金（中央、省财政补助）、市县级财政资金补助以及自筹资金。依据</w:t>
      </w:r>
      <w:r>
        <w:rPr>
          <w:rFonts w:ascii="仿宋" w:hAnsi="仿宋" w:eastAsia="仿宋" w:cs="Times New Roman"/>
          <w:color w:val="333333"/>
          <w:shd w:val="clear" w:color="auto" w:fill="FFFFFF"/>
        </w:rPr>
        <w:t>有关文件精神</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2019</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s="Times New Roman"/>
          <w:color w:val="333333"/>
          <w:shd w:val="clear" w:color="auto" w:fill="FFFFFF"/>
        </w:rPr>
        <w:t>年各年高标准农田建设项目</w:t>
      </w:r>
      <w:r>
        <w:rPr>
          <w:rFonts w:ascii="仿宋" w:hAnsi="仿宋" w:eastAsia="仿宋"/>
        </w:rPr>
        <w:t>具体出资金额</w:t>
      </w:r>
      <w:r>
        <w:rPr>
          <w:rFonts w:hint="eastAsia" w:ascii="仿宋" w:hAnsi="仿宋" w:eastAsia="仿宋"/>
        </w:rPr>
        <w:t>及各级承担</w:t>
      </w:r>
      <w:r>
        <w:rPr>
          <w:rFonts w:ascii="仿宋" w:hAnsi="仿宋" w:eastAsia="仿宋"/>
        </w:rPr>
        <w:t>比例</w:t>
      </w:r>
      <w:r>
        <w:rPr>
          <w:rFonts w:hint="eastAsia" w:ascii="仿宋" w:hAnsi="仿宋" w:eastAsia="仿宋" w:cs="Times New Roman"/>
          <w:color w:val="333333"/>
          <w:shd w:val="clear" w:color="auto" w:fill="FFFFFF"/>
        </w:rPr>
        <w:t>情况如表</w:t>
      </w:r>
      <w:r>
        <w:rPr>
          <w:rFonts w:ascii="Times New Roman" w:hAnsi="Times New Roman" w:eastAsia="仿宋" w:cs="Times New Roman"/>
          <w:color w:val="333333"/>
          <w:shd w:val="clear" w:color="auto" w:fill="FFFFFF"/>
        </w:rPr>
        <w:t>2</w:t>
      </w:r>
      <w:r>
        <w:rPr>
          <w:rFonts w:hint="eastAsia" w:ascii="仿宋" w:hAnsi="仿宋" w:eastAsia="仿宋" w:cs="Times New Roman"/>
          <w:color w:val="333333"/>
          <w:shd w:val="clear" w:color="auto" w:fill="FFFFFF"/>
        </w:rPr>
        <w:t>所示，</w:t>
      </w:r>
      <w:r>
        <w:rPr>
          <w:rFonts w:ascii="Times New Roman" w:hAnsi="Times New Roman" w:eastAsia="仿宋" w:cs="Times New Roman"/>
          <w:color w:val="333333"/>
          <w:shd w:val="clear" w:color="auto" w:fill="FFFFFF"/>
        </w:rPr>
        <w:t>2019</w:t>
      </w:r>
      <w:r>
        <w:rPr>
          <w:rFonts w:hint="eastAsia" w:ascii="仿宋" w:hAnsi="仿宋" w:eastAsia="仿宋" w:cs="Times New Roman"/>
          <w:color w:val="333333"/>
          <w:shd w:val="clear" w:color="auto" w:fill="FFFFFF"/>
        </w:rPr>
        <w:t>年、</w:t>
      </w:r>
      <w:r>
        <w:rPr>
          <w:rFonts w:ascii="Times New Roman" w:hAnsi="Times New Roman" w:eastAsia="仿宋" w:cs="Times New Roman"/>
          <w:color w:val="333333"/>
          <w:shd w:val="clear" w:color="auto" w:fill="FFFFFF"/>
        </w:rPr>
        <w:t>2021</w:t>
      </w:r>
      <w:r>
        <w:rPr>
          <w:rFonts w:hint="eastAsia" w:ascii="仿宋" w:hAnsi="仿宋" w:eastAsia="仿宋" w:cs="Times New Roman"/>
          <w:color w:val="333333"/>
          <w:shd w:val="clear" w:color="auto" w:fill="FFFFFF"/>
        </w:rPr>
        <w:t>年和</w:t>
      </w:r>
      <w:r>
        <w:rPr>
          <w:rFonts w:ascii="Times New Roman" w:hAnsi="Times New Roman" w:eastAsia="仿宋" w:cs="Times New Roman"/>
          <w:color w:val="333333"/>
          <w:shd w:val="clear" w:color="auto" w:fill="FFFFFF"/>
        </w:rPr>
        <w:t>2022</w:t>
      </w:r>
      <w:r>
        <w:rPr>
          <w:rFonts w:hint="eastAsia" w:ascii="仿宋" w:hAnsi="仿宋" w:eastAsia="仿宋" w:cs="Times New Roman"/>
          <w:color w:val="333333"/>
          <w:shd w:val="clear" w:color="auto" w:fill="FFFFFF"/>
        </w:rPr>
        <w:t>年</w:t>
      </w:r>
      <w:r>
        <w:rPr>
          <w:rFonts w:ascii="仿宋" w:hAnsi="仿宋" w:eastAsia="仿宋" w:cs="Times New Roman"/>
          <w:color w:val="333333"/>
          <w:shd w:val="clear" w:color="auto" w:fill="FFFFFF"/>
        </w:rPr>
        <w:t>财政最低投资标准</w:t>
      </w:r>
      <w:r>
        <w:rPr>
          <w:rFonts w:hint="eastAsia" w:ascii="仿宋" w:hAnsi="仿宋" w:eastAsia="仿宋" w:cs="Times New Roman"/>
          <w:color w:val="333333"/>
          <w:shd w:val="clear" w:color="auto" w:fill="FFFFFF"/>
        </w:rPr>
        <w:t>要求均为</w:t>
      </w:r>
      <w:r>
        <w:rPr>
          <w:rFonts w:ascii="Times New Roman" w:hAnsi="Times New Roman" w:eastAsia="仿宋" w:cs="Times New Roman"/>
          <w:color w:val="333333"/>
          <w:shd w:val="clear" w:color="auto" w:fill="FFFFFF"/>
        </w:rPr>
        <w:t>1600</w:t>
      </w:r>
      <w:r>
        <w:rPr>
          <w:rFonts w:hint="eastAsia" w:ascii="仿宋" w:hAnsi="仿宋" w:eastAsia="仿宋" w:cs="Times New Roman"/>
          <w:color w:val="333333"/>
          <w:shd w:val="clear" w:color="auto" w:fill="FFFFFF"/>
        </w:rPr>
        <w:t>元/亩；</w:t>
      </w:r>
      <w:r>
        <w:rPr>
          <w:rFonts w:ascii="Times New Roman" w:hAnsi="Times New Roman" w:eastAsia="仿宋" w:cs="Times New Roman"/>
          <w:color w:val="333333"/>
          <w:shd w:val="clear" w:color="auto" w:fill="FFFFFF"/>
        </w:rPr>
        <w:t>2020</w:t>
      </w:r>
      <w:r>
        <w:rPr>
          <w:rFonts w:hint="eastAsia" w:ascii="仿宋" w:hAnsi="仿宋" w:eastAsia="仿宋" w:cs="Times New Roman"/>
          <w:color w:val="333333"/>
          <w:shd w:val="clear" w:color="auto" w:fill="FFFFFF"/>
        </w:rPr>
        <w:t>年省级补助较往年增加</w:t>
      </w:r>
      <w:r>
        <w:rPr>
          <w:rFonts w:ascii="Times New Roman" w:hAnsi="Times New Roman" w:eastAsia="仿宋" w:cs="Times New Roman"/>
          <w:color w:val="333333"/>
          <w:shd w:val="clear" w:color="auto" w:fill="FFFFFF"/>
        </w:rPr>
        <w:t>1000</w:t>
      </w:r>
      <w:r>
        <w:rPr>
          <w:rFonts w:hint="eastAsia" w:ascii="仿宋" w:hAnsi="仿宋" w:eastAsia="仿宋" w:cs="Times New Roman"/>
          <w:color w:val="333333"/>
          <w:shd w:val="clear" w:color="auto" w:fill="FFFFFF"/>
        </w:rPr>
        <w:t>元,亩均补助标准为</w:t>
      </w:r>
      <w:r>
        <w:rPr>
          <w:rFonts w:ascii="Times New Roman" w:hAnsi="Times New Roman" w:eastAsia="仿宋" w:cs="Times New Roman"/>
          <w:color w:val="333333"/>
          <w:shd w:val="clear" w:color="auto" w:fill="FFFFFF"/>
        </w:rPr>
        <w:t>2600</w:t>
      </w:r>
      <w:r>
        <w:rPr>
          <w:rFonts w:hint="eastAsia" w:ascii="仿宋" w:hAnsi="仿宋" w:eastAsia="仿宋" w:cs="Times New Roman"/>
          <w:color w:val="333333"/>
          <w:shd w:val="clear" w:color="auto" w:fill="FFFFFF"/>
        </w:rPr>
        <w:t>元/亩；</w:t>
      </w:r>
      <w:r>
        <w:rPr>
          <w:rFonts w:ascii="Times New Roman" w:hAnsi="Times New Roman" w:eastAsia="仿宋" w:cs="Times New Roman"/>
          <w:color w:val="333333"/>
          <w:shd w:val="clear" w:color="auto" w:fill="FFFFFF"/>
        </w:rPr>
        <w:t>2023</w:t>
      </w:r>
      <w:r>
        <w:rPr>
          <w:rFonts w:hint="eastAsia" w:ascii="仿宋" w:hAnsi="仿宋" w:eastAsia="仿宋" w:cs="Times New Roman"/>
          <w:color w:val="333333"/>
          <w:shd w:val="clear" w:color="auto" w:fill="FFFFFF"/>
        </w:rPr>
        <w:t>年高标准农田建设</w:t>
      </w:r>
      <w:r>
        <w:rPr>
          <w:rFonts w:ascii="仿宋" w:hAnsi="仿宋" w:eastAsia="仿宋" w:cs="Times New Roman"/>
          <w:color w:val="333333"/>
          <w:shd w:val="clear" w:color="auto" w:fill="FFFFFF"/>
        </w:rPr>
        <w:t>项目财政资金亩均投入标准</w:t>
      </w:r>
      <w:r>
        <w:rPr>
          <w:rFonts w:ascii="Times New Roman" w:hAnsi="Times New Roman" w:eastAsia="仿宋" w:cs="Times New Roman"/>
          <w:color w:val="333333"/>
          <w:shd w:val="clear" w:color="auto" w:fill="FFFFFF"/>
        </w:rPr>
        <w:t>2400</w:t>
      </w:r>
      <w:r>
        <w:rPr>
          <w:rFonts w:ascii="仿宋" w:hAnsi="仿宋" w:eastAsia="仿宋" w:cs="Times New Roman"/>
          <w:color w:val="333333"/>
          <w:shd w:val="clear" w:color="auto" w:fill="FFFFFF"/>
        </w:rPr>
        <w:t>元</w:t>
      </w:r>
      <w:r>
        <w:rPr>
          <w:rFonts w:hint="eastAsia" w:ascii="仿宋" w:hAnsi="仿宋" w:eastAsia="仿宋" w:cs="Times New Roman"/>
          <w:color w:val="333333"/>
          <w:shd w:val="clear" w:color="auto" w:fill="FFFFFF"/>
        </w:rPr>
        <w:t>。</w:t>
      </w:r>
    </w:p>
    <w:p>
      <w:pPr>
        <w:spacing w:before="312" w:beforeLines="100"/>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2</w:t>
      </w:r>
      <w:r>
        <w:rPr>
          <w:rFonts w:ascii="仿宋" w:hAnsi="仿宋" w:eastAsia="仿宋" w:cs="Times New Roman"/>
          <w:b/>
          <w:bCs/>
          <w:sz w:val="24"/>
        </w:rPr>
        <w:t xml:space="preserve">  </w:t>
      </w:r>
      <w:r>
        <w:rPr>
          <w:rFonts w:hint="eastAsia" w:ascii="仿宋" w:hAnsi="仿宋" w:eastAsia="仿宋" w:cs="Times New Roman"/>
          <w:b/>
          <w:bCs/>
          <w:sz w:val="24"/>
        </w:rPr>
        <w:t>惠安县高标准农田建设建设财政最低出资标准（单位：元/亩）</w:t>
      </w:r>
    </w:p>
    <w:tbl>
      <w:tblPr>
        <w:tblStyle w:val="10"/>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0"/>
        <w:gridCol w:w="1360"/>
        <w:gridCol w:w="1360"/>
        <w:gridCol w:w="1360"/>
        <w:gridCol w:w="1360"/>
        <w:gridCol w:w="172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top w:val="single" w:color="auto" w:sz="12" w:space="0"/>
              <w:bottom w:val="single" w:color="auto" w:sz="4" w:space="0"/>
              <w:right w:val="single" w:color="auto" w:sz="4" w:space="0"/>
            </w:tcBorders>
            <w:shd w:val="clear" w:color="auto" w:fill="auto"/>
            <w:noWrap/>
            <w:vAlign w:val="center"/>
          </w:tcPr>
          <w:p>
            <w:pPr>
              <w:widowControl/>
              <w:spacing w:line="240" w:lineRule="auto"/>
              <w:jc w:val="center"/>
              <w:rPr>
                <w:rFonts w:ascii="仿宋" w:hAnsi="仿宋" w:eastAsia="仿宋" w:cs="宋体"/>
                <w:kern w:val="0"/>
                <w:sz w:val="20"/>
                <w:szCs w:val="20"/>
              </w:rPr>
            </w:pPr>
            <w:r>
              <w:rPr>
                <w:rFonts w:hint="eastAsia" w:ascii="仿宋" w:hAnsi="仿宋" w:eastAsia="仿宋" w:cs="宋体"/>
                <w:b/>
                <w:bCs/>
                <w:color w:val="000000"/>
                <w:kern w:val="0"/>
                <w:sz w:val="22"/>
                <w:szCs w:val="22"/>
              </w:rPr>
              <w:t>年份</w:t>
            </w:r>
          </w:p>
        </w:tc>
        <w:tc>
          <w:tcPr>
            <w:tcW w:w="798" w:type="pct"/>
            <w:tcBorders>
              <w:left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中央</w:t>
            </w:r>
          </w:p>
        </w:tc>
        <w:tc>
          <w:tcPr>
            <w:tcW w:w="798"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省级</w:t>
            </w:r>
          </w:p>
        </w:tc>
        <w:tc>
          <w:tcPr>
            <w:tcW w:w="798"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市级</w:t>
            </w:r>
          </w:p>
        </w:tc>
        <w:tc>
          <w:tcPr>
            <w:tcW w:w="798" w:type="pct"/>
            <w:tcBorders>
              <w:bottom w:val="single" w:color="auto" w:sz="4" w:space="0"/>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县级</w:t>
            </w:r>
          </w:p>
        </w:tc>
        <w:tc>
          <w:tcPr>
            <w:tcW w:w="1010" w:type="pct"/>
            <w:tcBorders>
              <w:top w:val="single" w:color="auto" w:sz="12" w:space="0"/>
              <w:left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top w:val="single" w:color="auto" w:sz="4" w:space="0"/>
              <w:bottom w:val="nil"/>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798" w:type="pct"/>
            <w:tcBorders>
              <w:top w:val="single" w:color="auto" w:sz="4" w:space="0"/>
              <w:left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1000</w:t>
            </w:r>
          </w:p>
        </w:tc>
        <w:tc>
          <w:tcPr>
            <w:tcW w:w="798"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420</w:t>
            </w:r>
          </w:p>
        </w:tc>
        <w:tc>
          <w:tcPr>
            <w:tcW w:w="798"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60</w:t>
            </w:r>
          </w:p>
        </w:tc>
        <w:tc>
          <w:tcPr>
            <w:tcW w:w="798" w:type="pct"/>
            <w:tcBorders>
              <w:top w:val="single" w:color="auto" w:sz="4" w:space="0"/>
              <w:bottom w:val="nil"/>
              <w:righ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120</w:t>
            </w:r>
          </w:p>
        </w:tc>
        <w:tc>
          <w:tcPr>
            <w:tcW w:w="1010" w:type="pct"/>
            <w:tcBorders>
              <w:top w:val="single" w:color="auto" w:sz="4" w:space="0"/>
              <w:left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top w:val="nil"/>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798" w:type="pct"/>
            <w:tcBorders>
              <w:top w:val="nil"/>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1000</w:t>
            </w:r>
          </w:p>
        </w:tc>
        <w:tc>
          <w:tcPr>
            <w:tcW w:w="798"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1420</w:t>
            </w:r>
          </w:p>
        </w:tc>
        <w:tc>
          <w:tcPr>
            <w:tcW w:w="798"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60</w:t>
            </w:r>
          </w:p>
        </w:tc>
        <w:tc>
          <w:tcPr>
            <w:tcW w:w="798" w:type="pct"/>
            <w:tcBorders>
              <w:top w:val="nil"/>
              <w:righ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120</w:t>
            </w:r>
          </w:p>
        </w:tc>
        <w:tc>
          <w:tcPr>
            <w:tcW w:w="1010" w:type="pct"/>
            <w:tcBorders>
              <w:top w:val="nil"/>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798" w:type="pct"/>
            <w:tcBorders>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884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w:t>
            </w:r>
          </w:p>
        </w:tc>
        <w:tc>
          <w:tcPr>
            <w:tcW w:w="798"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500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w:t>
            </w:r>
          </w:p>
        </w:tc>
        <w:tc>
          <w:tcPr>
            <w:tcW w:w="798"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60</w:t>
            </w:r>
          </w:p>
        </w:tc>
        <w:tc>
          <w:tcPr>
            <w:tcW w:w="798" w:type="pct"/>
            <w:tcBorders>
              <w:righ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154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w:t>
            </w:r>
          </w:p>
        </w:tc>
        <w:tc>
          <w:tcPr>
            <w:tcW w:w="1010" w:type="pct"/>
            <w:tcBorders>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798" w:type="pct"/>
            <w:tcBorders>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938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19</w:t>
            </w:r>
          </w:p>
        </w:tc>
        <w:tc>
          <w:tcPr>
            <w:tcW w:w="798"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463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27</w:t>
            </w:r>
          </w:p>
        </w:tc>
        <w:tc>
          <w:tcPr>
            <w:tcW w:w="798"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60</w:t>
            </w:r>
          </w:p>
        </w:tc>
        <w:tc>
          <w:tcPr>
            <w:tcW w:w="798" w:type="pct"/>
            <w:tcBorders>
              <w:righ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138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54</w:t>
            </w:r>
          </w:p>
        </w:tc>
        <w:tc>
          <w:tcPr>
            <w:tcW w:w="1010" w:type="pct"/>
            <w:tcBorders>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1600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8" w:type="pct"/>
            <w:tcBorders>
              <w:bottom w:val="single" w:color="auto" w:sz="12" w:space="0"/>
              <w:right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1596" w:type="pct"/>
            <w:gridSpan w:val="2"/>
            <w:tcBorders>
              <w:lef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1980</w:t>
            </w:r>
          </w:p>
        </w:tc>
        <w:tc>
          <w:tcPr>
            <w:tcW w:w="1596" w:type="pct"/>
            <w:gridSpan w:val="2"/>
            <w:tcBorders>
              <w:right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420</w:t>
            </w:r>
          </w:p>
        </w:tc>
        <w:tc>
          <w:tcPr>
            <w:tcW w:w="1010" w:type="pct"/>
            <w:tcBorders>
              <w:left w:val="single" w:color="auto" w:sz="4" w:space="0"/>
              <w:bottom w:val="single" w:color="auto" w:sz="12"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2400</w:t>
            </w:r>
          </w:p>
        </w:tc>
      </w:tr>
    </w:tbl>
    <w:p>
      <w:pPr>
        <w:widowControl/>
        <w:spacing w:before="312" w:beforeLines="100" w:line="240" w:lineRule="auto"/>
        <w:ind w:firstLine="560" w:firstLineChars="200"/>
        <w:rPr>
          <w:rFonts w:ascii="仿宋" w:hAnsi="仿宋" w:eastAsia="仿宋"/>
        </w:rPr>
      </w:pPr>
      <w:r>
        <w:rPr>
          <w:rFonts w:ascii="仿宋" w:hAnsi="仿宋" w:eastAsia="仿宋"/>
        </w:rPr>
        <w:t>根据初步设计批复</w:t>
      </w:r>
      <w:r>
        <w:rPr>
          <w:rFonts w:hint="eastAsia" w:ascii="仿宋" w:hAnsi="仿宋" w:eastAsia="仿宋"/>
        </w:rPr>
        <w:t>文件</w:t>
      </w:r>
      <w:r>
        <w:rPr>
          <w:rFonts w:ascii="仿宋" w:hAnsi="仿宋" w:eastAsia="仿宋"/>
        </w:rPr>
        <w:t>，</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2023</w:t>
      </w:r>
      <w:r>
        <w:rPr>
          <w:rFonts w:hint="eastAsia" w:ascii="仿宋" w:hAnsi="仿宋" w:eastAsia="仿宋"/>
        </w:rPr>
        <w:t>年</w:t>
      </w:r>
      <w:r>
        <w:rPr>
          <w:rFonts w:ascii="Times New Roman" w:hAnsi="Times New Roman" w:eastAsia="仿宋" w:cs="Times New Roman"/>
        </w:rPr>
        <w:t>38</w:t>
      </w:r>
      <w:r>
        <w:rPr>
          <w:rFonts w:hint="eastAsia" w:ascii="仿宋" w:hAnsi="仿宋" w:eastAsia="仿宋"/>
        </w:rPr>
        <w:t>项</w:t>
      </w:r>
      <w:r>
        <w:rPr>
          <w:rFonts w:ascii="仿宋" w:hAnsi="仿宋" w:eastAsia="仿宋"/>
        </w:rPr>
        <w:t>工程概算总投资</w:t>
      </w:r>
      <w:r>
        <w:rPr>
          <w:rFonts w:ascii="Times New Roman" w:hAnsi="Times New Roman" w:eastAsia="仿宋" w:cs="Times New Roman"/>
        </w:rPr>
        <w:t>1</w:t>
      </w:r>
      <w:r>
        <w:rPr>
          <w:rFonts w:hint="eastAsia" w:ascii="仿宋" w:hAnsi="仿宋" w:eastAsia="仿宋"/>
        </w:rPr>
        <w:t>.</w:t>
      </w:r>
      <w:r>
        <w:rPr>
          <w:rFonts w:ascii="Times New Roman" w:hAnsi="Times New Roman" w:eastAsia="仿宋" w:cs="Times New Roman"/>
        </w:rPr>
        <w:t>49</w:t>
      </w:r>
      <w:r>
        <w:rPr>
          <w:rFonts w:hint="eastAsia" w:ascii="仿宋" w:hAnsi="仿宋" w:eastAsia="仿宋"/>
        </w:rPr>
        <w:t>亿</w:t>
      </w:r>
      <w:r>
        <w:rPr>
          <w:rFonts w:ascii="仿宋" w:hAnsi="仿宋" w:eastAsia="仿宋"/>
        </w:rPr>
        <w:t>元</w:t>
      </w:r>
      <w:r>
        <w:rPr>
          <w:rFonts w:hint="eastAsia" w:ascii="仿宋" w:hAnsi="仿宋" w:eastAsia="仿宋"/>
        </w:rPr>
        <w:t>（详见表</w:t>
      </w:r>
      <w:r>
        <w:rPr>
          <w:rFonts w:ascii="Times New Roman" w:hAnsi="Times New Roman" w:eastAsia="仿宋" w:cs="Times New Roman"/>
        </w:rPr>
        <w:t>3</w:t>
      </w:r>
      <w:r>
        <w:rPr>
          <w:rFonts w:hint="eastAsia" w:ascii="仿宋" w:hAnsi="仿宋" w:eastAsia="仿宋"/>
        </w:rPr>
        <w:t>）。经过招投标程序后项目中标价合计</w:t>
      </w:r>
      <w:r>
        <w:rPr>
          <w:rFonts w:ascii="Times New Roman" w:hAnsi="Times New Roman" w:eastAsia="仿宋" w:cs="Times New Roman"/>
        </w:rPr>
        <w:t>1</w:t>
      </w:r>
      <w:r>
        <w:rPr>
          <w:rFonts w:ascii="仿宋" w:hAnsi="仿宋" w:eastAsia="仿宋"/>
        </w:rPr>
        <w:t>.</w:t>
      </w:r>
      <w:r>
        <w:rPr>
          <w:rFonts w:ascii="Times New Roman" w:hAnsi="Times New Roman" w:eastAsia="仿宋" w:cs="Times New Roman"/>
        </w:rPr>
        <w:t>11</w:t>
      </w:r>
      <w:r>
        <w:rPr>
          <w:rFonts w:hint="eastAsia" w:ascii="仿宋" w:hAnsi="仿宋" w:eastAsia="仿宋"/>
        </w:rPr>
        <w:t>亿元。</w:t>
      </w:r>
      <w:r>
        <w:rPr>
          <w:rFonts w:ascii="仿宋" w:hAnsi="仿宋" w:eastAsia="仿宋"/>
        </w:rPr>
        <w:t>结合</w:t>
      </w:r>
      <w:r>
        <w:rPr>
          <w:rFonts w:hint="eastAsia" w:ascii="仿宋" w:hAnsi="仿宋" w:eastAsia="仿宋"/>
        </w:rPr>
        <w:t>惠农综〔</w:t>
      </w:r>
      <w:r>
        <w:rPr>
          <w:rFonts w:ascii="Times New Roman" w:hAnsi="Times New Roman" w:eastAsia="仿宋" w:cs="Times New Roman"/>
        </w:rPr>
        <w:t>2020</w:t>
      </w:r>
      <w:r>
        <w:rPr>
          <w:rFonts w:hint="eastAsia" w:ascii="仿宋" w:hAnsi="仿宋" w:eastAsia="仿宋"/>
        </w:rPr>
        <w:t>〕</w:t>
      </w:r>
      <w:r>
        <w:rPr>
          <w:rFonts w:ascii="Times New Roman" w:hAnsi="Times New Roman" w:eastAsia="仿宋" w:cs="Times New Roman"/>
        </w:rPr>
        <w:t>7</w:t>
      </w:r>
      <w:r>
        <w:rPr>
          <w:rFonts w:hint="eastAsia" w:ascii="仿宋" w:hAnsi="仿宋" w:eastAsia="仿宋"/>
        </w:rPr>
        <w:t>号、惠农综〔</w:t>
      </w:r>
      <w:r>
        <w:rPr>
          <w:rFonts w:ascii="Times New Roman" w:hAnsi="Times New Roman" w:eastAsia="仿宋" w:cs="Times New Roman"/>
        </w:rPr>
        <w:t>2020</w:t>
      </w:r>
      <w:r>
        <w:rPr>
          <w:rFonts w:hint="eastAsia" w:ascii="仿宋" w:hAnsi="仿宋" w:eastAsia="仿宋"/>
        </w:rPr>
        <w:t>〕</w:t>
      </w:r>
      <w:r>
        <w:rPr>
          <w:rFonts w:ascii="Times New Roman" w:hAnsi="Times New Roman" w:eastAsia="仿宋" w:cs="Times New Roman"/>
        </w:rPr>
        <w:t>12</w:t>
      </w:r>
      <w:r>
        <w:rPr>
          <w:rFonts w:hint="eastAsia" w:ascii="仿宋" w:hAnsi="仿宋" w:eastAsia="仿宋"/>
        </w:rPr>
        <w:t>号、惠农〔</w:t>
      </w:r>
      <w:r>
        <w:rPr>
          <w:rFonts w:ascii="Times New Roman" w:hAnsi="Times New Roman" w:eastAsia="仿宋" w:cs="Times New Roman"/>
        </w:rPr>
        <w:t>2020</w:t>
      </w:r>
      <w:r>
        <w:rPr>
          <w:rFonts w:hint="eastAsia" w:ascii="仿宋" w:hAnsi="仿宋" w:eastAsia="仿宋"/>
        </w:rPr>
        <w:t>〕</w:t>
      </w:r>
      <w:r>
        <w:rPr>
          <w:rFonts w:ascii="Times New Roman" w:hAnsi="Times New Roman" w:eastAsia="仿宋" w:cs="Times New Roman"/>
        </w:rPr>
        <w:t>6</w:t>
      </w:r>
      <w:r>
        <w:rPr>
          <w:rFonts w:hint="eastAsia" w:ascii="仿宋" w:hAnsi="仿宋" w:eastAsia="仿宋"/>
        </w:rPr>
        <w:t>号等</w:t>
      </w:r>
      <w:r>
        <w:rPr>
          <w:rFonts w:ascii="仿宋" w:hAnsi="仿宋" w:eastAsia="仿宋"/>
        </w:rPr>
        <w:t>项目预算下达文件，</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2023</w:t>
      </w:r>
      <w:r>
        <w:rPr>
          <w:rFonts w:ascii="仿宋" w:hAnsi="仿宋" w:eastAsia="仿宋"/>
        </w:rPr>
        <w:t>年项目资金实际到位</w:t>
      </w:r>
      <w:r>
        <w:rPr>
          <w:rFonts w:ascii="Times New Roman" w:hAnsi="Times New Roman" w:eastAsia="仿宋" w:cs="Times New Roman"/>
        </w:rPr>
        <w:t>1</w:t>
      </w:r>
      <w:r>
        <w:rPr>
          <w:rFonts w:ascii="仿宋" w:hAnsi="仿宋" w:eastAsia="仿宋"/>
        </w:rPr>
        <w:t>.</w:t>
      </w:r>
      <w:r>
        <w:rPr>
          <w:rFonts w:ascii="Times New Roman" w:hAnsi="Times New Roman" w:eastAsia="仿宋" w:cs="Times New Roman"/>
        </w:rPr>
        <w:t>06</w:t>
      </w:r>
      <w:r>
        <w:rPr>
          <w:rFonts w:hint="eastAsia" w:ascii="仿宋" w:hAnsi="仿宋" w:eastAsia="仿宋"/>
        </w:rPr>
        <w:t>亿</w:t>
      </w:r>
      <w:r>
        <w:rPr>
          <w:rFonts w:ascii="仿宋" w:hAnsi="仿宋" w:eastAsia="仿宋"/>
        </w:rPr>
        <w:t>元</w:t>
      </w:r>
      <w:r>
        <w:rPr>
          <w:rFonts w:hint="eastAsia" w:ascii="仿宋" w:hAnsi="仿宋" w:eastAsia="仿宋"/>
        </w:rPr>
        <w:t>（详见表</w:t>
      </w:r>
      <w:r>
        <w:rPr>
          <w:rFonts w:ascii="Times New Roman" w:hAnsi="Times New Roman" w:eastAsia="仿宋" w:cs="Times New Roman"/>
        </w:rPr>
        <w:t>4</w:t>
      </w:r>
      <w:r>
        <w:rPr>
          <w:rFonts w:hint="eastAsia" w:ascii="仿宋" w:hAnsi="仿宋" w:eastAsia="仿宋"/>
        </w:rPr>
        <w:t>），预算执行</w:t>
      </w:r>
      <w:r>
        <w:rPr>
          <w:rFonts w:ascii="仿宋" w:hAnsi="仿宋" w:eastAsia="仿宋"/>
        </w:rPr>
        <w:t>率</w:t>
      </w:r>
      <w:r>
        <w:rPr>
          <w:rFonts w:ascii="Times New Roman" w:hAnsi="Times New Roman" w:eastAsia="仿宋" w:cs="Times New Roman"/>
        </w:rPr>
        <w:t>95</w:t>
      </w:r>
      <w:r>
        <w:rPr>
          <w:rFonts w:hint="eastAsia" w:ascii="仿宋" w:hAnsi="仿宋" w:eastAsia="仿宋"/>
        </w:rPr>
        <w:t>.</w:t>
      </w:r>
      <w:r>
        <w:rPr>
          <w:rFonts w:ascii="Times New Roman" w:hAnsi="Times New Roman" w:eastAsia="仿宋" w:cs="Times New Roman"/>
        </w:rPr>
        <w:t>78</w:t>
      </w:r>
      <w:r>
        <w:rPr>
          <w:rFonts w:hint="eastAsia" w:ascii="仿宋" w:hAnsi="仿宋" w:eastAsia="仿宋"/>
        </w:rPr>
        <w:t>%（</w:t>
      </w:r>
      <w:r>
        <w:rPr>
          <w:rFonts w:ascii="Times New Roman" w:hAnsi="Times New Roman" w:eastAsia="仿宋" w:cs="Times New Roman"/>
        </w:rPr>
        <w:t>10644</w:t>
      </w:r>
      <w:r>
        <w:rPr>
          <w:rFonts w:ascii="仿宋" w:hAnsi="仿宋" w:eastAsia="仿宋"/>
        </w:rPr>
        <w:t>.</w:t>
      </w:r>
      <w:r>
        <w:rPr>
          <w:rFonts w:ascii="Times New Roman" w:hAnsi="Times New Roman" w:eastAsia="仿宋" w:cs="Times New Roman"/>
        </w:rPr>
        <w:t>0402</w:t>
      </w:r>
      <w:r>
        <w:rPr>
          <w:rFonts w:ascii="仿宋" w:hAnsi="仿宋" w:eastAsia="仿宋"/>
        </w:rPr>
        <w:t>/</w:t>
      </w:r>
      <w:r>
        <w:rPr>
          <w:rFonts w:ascii="Times New Roman" w:hAnsi="Times New Roman" w:eastAsia="仿宋" w:cs="Times New Roman"/>
        </w:rPr>
        <w:t>11113</w:t>
      </w:r>
      <w:r>
        <w:rPr>
          <w:rFonts w:ascii="仿宋" w:hAnsi="仿宋" w:eastAsia="仿宋"/>
        </w:rPr>
        <w:t>.</w:t>
      </w:r>
      <w:r>
        <w:rPr>
          <w:rFonts w:ascii="Times New Roman" w:hAnsi="Times New Roman" w:eastAsia="仿宋" w:cs="Times New Roman"/>
        </w:rPr>
        <w:t>0954</w:t>
      </w:r>
      <w:r>
        <w:rPr>
          <w:rFonts w:ascii="仿宋" w:hAnsi="仿宋" w:eastAsia="仿宋"/>
        </w:rPr>
        <w:t>*</w:t>
      </w:r>
      <w:r>
        <w:rPr>
          <w:rFonts w:ascii="Times New Roman" w:hAnsi="Times New Roman" w:eastAsia="仿宋" w:cs="Times New Roman"/>
        </w:rPr>
        <w:t>100</w:t>
      </w:r>
      <w:r>
        <w:rPr>
          <w:rFonts w:ascii="仿宋" w:hAnsi="仿宋" w:eastAsia="仿宋"/>
        </w:rPr>
        <w:t>%</w:t>
      </w:r>
      <w:r>
        <w:rPr>
          <w:rFonts w:hint="eastAsia" w:ascii="仿宋" w:hAnsi="仿宋" w:eastAsia="仿宋"/>
        </w:rPr>
        <w:t>）</w:t>
      </w:r>
      <w:r>
        <w:rPr>
          <w:rFonts w:ascii="仿宋" w:hAnsi="仿宋" w:eastAsia="仿宋"/>
        </w:rPr>
        <w:t>。</w:t>
      </w:r>
    </w:p>
    <w:p>
      <w:pPr>
        <w:spacing w:before="312" w:beforeLines="100"/>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3</w:t>
      </w:r>
      <w:r>
        <w:rPr>
          <w:rFonts w:ascii="仿宋" w:hAnsi="仿宋" w:eastAsia="仿宋" w:cs="Times New Roman"/>
          <w:b/>
          <w:bCs/>
          <w:sz w:val="24"/>
        </w:rPr>
        <w:t xml:space="preserve">  </w:t>
      </w:r>
      <w:r>
        <w:rPr>
          <w:rFonts w:hint="eastAsia" w:ascii="仿宋" w:hAnsi="仿宋" w:eastAsia="仿宋" w:cs="Times New Roman"/>
          <w:b/>
          <w:bCs/>
          <w:sz w:val="24"/>
        </w:rPr>
        <w:t>惠安县高标准农田建设专项资金下达情况（单位：万元）</w:t>
      </w:r>
    </w:p>
    <w:tbl>
      <w:tblPr>
        <w:tblStyle w:val="10"/>
        <w:tblW w:w="8931"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3"/>
        <w:gridCol w:w="1323"/>
        <w:gridCol w:w="1323"/>
        <w:gridCol w:w="1323"/>
        <w:gridCol w:w="1323"/>
        <w:gridCol w:w="1323"/>
        <w:gridCol w:w="132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93" w:type="dxa"/>
            <w:tcBorders>
              <w:bottom w:val="single" w:color="auto" w:sz="4" w:space="0"/>
            </w:tcBorders>
            <w:shd w:val="clear" w:color="auto" w:fill="auto"/>
            <w:noWrap/>
            <w:vAlign w:val="center"/>
          </w:tcPr>
          <w:p>
            <w:pPr>
              <w:widowControl/>
              <w:spacing w:line="240" w:lineRule="auto"/>
              <w:jc w:val="left"/>
              <w:rPr>
                <w:rFonts w:ascii="仿宋" w:hAnsi="仿宋" w:eastAsia="仿宋" w:cs="宋体"/>
                <w:kern w:val="0"/>
                <w:sz w:val="20"/>
                <w:szCs w:val="20"/>
              </w:rPr>
            </w:pP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1323"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93"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项目数（个）</w:t>
            </w:r>
          </w:p>
        </w:tc>
        <w:tc>
          <w:tcPr>
            <w:tcW w:w="1323" w:type="dxa"/>
            <w:tcBorders>
              <w:top w:val="single" w:color="auto" w:sz="4" w:space="0"/>
              <w:bottom w:val="nil"/>
            </w:tcBorders>
            <w:shd w:val="clear" w:color="auto" w:fill="auto"/>
            <w:noWrap/>
            <w:vAlign w:val="center"/>
          </w:tcPr>
          <w:p>
            <w:pPr>
              <w:widowControl/>
              <w:spacing w:line="240" w:lineRule="auto"/>
              <w:jc w:val="center"/>
              <w:rPr>
                <w:rFonts w:ascii="Times New Roman" w:hAnsi="Times New Roman" w:eastAsia="仿宋" w:cs="Times New Roman"/>
                <w:color w:val="000000"/>
                <w:kern w:val="0"/>
                <w:sz w:val="22"/>
                <w:szCs w:val="22"/>
              </w:rPr>
            </w:pPr>
            <w:r>
              <w:rPr>
                <w:rFonts w:ascii="Times New Roman" w:hAnsi="Times New Roman" w:eastAsia="仿宋" w:cs="Times New Roman"/>
                <w:color w:val="000000"/>
                <w:kern w:val="0"/>
                <w:sz w:val="22"/>
                <w:szCs w:val="22"/>
              </w:rPr>
              <w:t>8</w:t>
            </w:r>
          </w:p>
        </w:tc>
        <w:tc>
          <w:tcPr>
            <w:tcW w:w="1323"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11</w:t>
            </w:r>
          </w:p>
        </w:tc>
        <w:tc>
          <w:tcPr>
            <w:tcW w:w="1323" w:type="dxa"/>
            <w:tcBorders>
              <w:top w:val="single" w:color="auto" w:sz="4" w:space="0"/>
              <w:bottom w:val="nil"/>
            </w:tcBorders>
            <w:shd w:val="clear" w:color="auto" w:fill="auto"/>
            <w:noWrap/>
            <w:vAlign w:val="center"/>
          </w:tcPr>
          <w:p>
            <w:pPr>
              <w:widowControl/>
              <w:spacing w:line="240" w:lineRule="auto"/>
              <w:jc w:val="center"/>
              <w:rPr>
                <w:rFonts w:ascii="Times New Roman" w:hAnsi="Times New Roman" w:eastAsia="仿宋" w:cs="Times New Roman"/>
                <w:color w:val="000000"/>
                <w:kern w:val="0"/>
                <w:sz w:val="22"/>
                <w:szCs w:val="22"/>
              </w:rPr>
            </w:pPr>
            <w:r>
              <w:rPr>
                <w:rFonts w:ascii="Times New Roman" w:hAnsi="Times New Roman" w:eastAsia="仿宋" w:cs="Times New Roman"/>
                <w:color w:val="000000"/>
                <w:kern w:val="0"/>
                <w:sz w:val="22"/>
                <w:szCs w:val="22"/>
              </w:rPr>
              <w:t>9</w:t>
            </w:r>
          </w:p>
        </w:tc>
        <w:tc>
          <w:tcPr>
            <w:tcW w:w="1323" w:type="dxa"/>
            <w:tcBorders>
              <w:top w:val="single" w:color="auto" w:sz="4" w:space="0"/>
              <w:bottom w:val="nil"/>
            </w:tcBorders>
            <w:shd w:val="clear" w:color="auto" w:fill="auto"/>
            <w:noWrap/>
            <w:vAlign w:val="center"/>
          </w:tcPr>
          <w:p>
            <w:pPr>
              <w:widowControl/>
              <w:spacing w:line="240" w:lineRule="auto"/>
              <w:jc w:val="center"/>
              <w:rPr>
                <w:rFonts w:ascii="Times New Roman" w:hAnsi="Times New Roman" w:eastAsia="仿宋" w:cs="Times New Roman"/>
                <w:color w:val="000000"/>
                <w:kern w:val="0"/>
                <w:sz w:val="22"/>
                <w:szCs w:val="22"/>
              </w:rPr>
            </w:pPr>
            <w:r>
              <w:rPr>
                <w:rFonts w:ascii="Times New Roman" w:hAnsi="Times New Roman" w:eastAsia="仿宋" w:cs="Times New Roman"/>
                <w:color w:val="000000"/>
                <w:kern w:val="0"/>
                <w:sz w:val="22"/>
                <w:szCs w:val="22"/>
              </w:rPr>
              <w:t>5</w:t>
            </w:r>
          </w:p>
        </w:tc>
        <w:tc>
          <w:tcPr>
            <w:tcW w:w="1323" w:type="dxa"/>
            <w:tcBorders>
              <w:top w:val="single" w:color="auto" w:sz="4" w:space="0"/>
              <w:bottom w:val="nil"/>
            </w:tcBorders>
            <w:shd w:val="clear" w:color="auto" w:fill="auto"/>
            <w:noWrap/>
            <w:vAlign w:val="center"/>
          </w:tcPr>
          <w:p>
            <w:pPr>
              <w:widowControl/>
              <w:spacing w:line="240" w:lineRule="auto"/>
              <w:jc w:val="center"/>
              <w:rPr>
                <w:rFonts w:ascii="Times New Roman" w:hAnsi="Times New Roman" w:eastAsia="仿宋" w:cs="Times New Roman"/>
                <w:color w:val="000000"/>
                <w:kern w:val="0"/>
                <w:sz w:val="22"/>
                <w:szCs w:val="22"/>
              </w:rPr>
            </w:pPr>
            <w:r>
              <w:rPr>
                <w:rFonts w:ascii="Times New Roman" w:hAnsi="Times New Roman" w:eastAsia="仿宋" w:cs="Times New Roman"/>
                <w:color w:val="000000"/>
                <w:kern w:val="0"/>
                <w:sz w:val="22"/>
                <w:szCs w:val="22"/>
              </w:rPr>
              <w:t>5</w:t>
            </w:r>
          </w:p>
        </w:tc>
        <w:tc>
          <w:tcPr>
            <w:tcW w:w="1323"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93" w:type="dxa"/>
            <w:tcBorders>
              <w:top w:val="nil"/>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项目总投资</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3896</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1600</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4610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5000</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2377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2900</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1739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2000</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2261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9600</w:t>
            </w:r>
          </w:p>
        </w:tc>
        <w:tc>
          <w:tcPr>
            <w:tcW w:w="1323"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14885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1100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93" w:type="dxa"/>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中标价</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3000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3200</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3598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8600</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1830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5242</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1341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6956</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1341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6956</w:t>
            </w:r>
          </w:p>
        </w:tc>
        <w:tc>
          <w:tcPr>
            <w:tcW w:w="1323"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11113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0954</w:t>
            </w:r>
          </w:p>
        </w:tc>
      </w:tr>
    </w:tbl>
    <w:p>
      <w:pPr>
        <w:spacing w:before="312" w:beforeLines="100"/>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4</w:t>
      </w:r>
      <w:r>
        <w:rPr>
          <w:rFonts w:ascii="仿宋" w:hAnsi="仿宋" w:eastAsia="仿宋" w:cs="Times New Roman"/>
          <w:b/>
          <w:bCs/>
          <w:sz w:val="24"/>
        </w:rPr>
        <w:t xml:space="preserve">  </w:t>
      </w:r>
      <w:r>
        <w:rPr>
          <w:rFonts w:hint="eastAsia" w:ascii="仿宋" w:hAnsi="仿宋" w:eastAsia="仿宋" w:cs="Times New Roman"/>
          <w:b/>
          <w:bCs/>
          <w:sz w:val="24"/>
        </w:rPr>
        <w:t>惠安县高标准农田建设专项资金下达情况</w:t>
      </w:r>
    </w:p>
    <w:tbl>
      <w:tblPr>
        <w:tblStyle w:val="10"/>
        <w:tblW w:w="8217"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0"/>
        <w:gridCol w:w="1734"/>
        <w:gridCol w:w="2531"/>
        <w:gridCol w:w="25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hint="eastAsia" w:ascii="仿宋" w:hAnsi="仿宋" w:eastAsia="仿宋" w:cs="宋体"/>
                <w:b/>
                <w:bCs/>
                <w:color w:val="000000"/>
                <w:kern w:val="0"/>
                <w:sz w:val="22"/>
                <w:szCs w:val="22"/>
              </w:rPr>
              <w:t>年份</w:t>
            </w:r>
          </w:p>
        </w:tc>
        <w:tc>
          <w:tcPr>
            <w:tcW w:w="1734"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下达项目金额（万元）</w:t>
            </w:r>
          </w:p>
        </w:tc>
        <w:tc>
          <w:tcPr>
            <w:tcW w:w="2531"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资金下达时间</w:t>
            </w:r>
          </w:p>
        </w:tc>
        <w:tc>
          <w:tcPr>
            <w:tcW w:w="2572"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文号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restar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2019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年</w:t>
            </w:r>
          </w:p>
        </w:tc>
        <w:tc>
          <w:tcPr>
            <w:tcW w:w="1734"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1855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8620</w:t>
            </w:r>
          </w:p>
        </w:tc>
        <w:tc>
          <w:tcPr>
            <w:tcW w:w="2531" w:type="dxa"/>
            <w:tcBorders>
              <w:top w:val="single" w:color="auto" w:sz="4" w:space="0"/>
              <w:bottom w:val="nil"/>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8</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30</w:t>
            </w:r>
            <w:r>
              <w:rPr>
                <w:rFonts w:hint="eastAsia" w:ascii="仿宋" w:hAnsi="仿宋" w:eastAsia="仿宋" w:cs="宋体"/>
                <w:color w:val="000000"/>
                <w:kern w:val="0"/>
                <w:sz w:val="22"/>
                <w:szCs w:val="22"/>
              </w:rPr>
              <w:t>日</w:t>
            </w:r>
          </w:p>
        </w:tc>
        <w:tc>
          <w:tcPr>
            <w:tcW w:w="2572" w:type="dxa"/>
            <w:tcBorders>
              <w:top w:val="single" w:color="auto" w:sz="4" w:space="0"/>
              <w:bottom w:val="nil"/>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tcBorders>
              <w:top w:val="nil"/>
              <w:bottom w:val="nil"/>
            </w:tcBorders>
            <w:vAlign w:val="center"/>
          </w:tcPr>
          <w:p>
            <w:pPr>
              <w:widowControl/>
              <w:spacing w:line="240" w:lineRule="auto"/>
              <w:jc w:val="left"/>
              <w:rPr>
                <w:rFonts w:ascii="仿宋" w:hAnsi="仿宋" w:eastAsia="仿宋" w:cs="宋体"/>
                <w:color w:val="000000"/>
                <w:kern w:val="0"/>
                <w:sz w:val="22"/>
                <w:szCs w:val="22"/>
              </w:rPr>
            </w:pPr>
          </w:p>
        </w:tc>
        <w:tc>
          <w:tcPr>
            <w:tcW w:w="1734" w:type="dxa"/>
            <w:tcBorders>
              <w:top w:val="nil"/>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1769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5120</w:t>
            </w:r>
          </w:p>
        </w:tc>
        <w:tc>
          <w:tcPr>
            <w:tcW w:w="2531" w:type="dxa"/>
            <w:tcBorders>
              <w:top w:val="nil"/>
              <w:bottom w:val="nil"/>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9</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27</w:t>
            </w:r>
            <w:r>
              <w:rPr>
                <w:rFonts w:hint="eastAsia" w:ascii="仿宋" w:hAnsi="仿宋" w:eastAsia="仿宋" w:cs="宋体"/>
                <w:color w:val="000000"/>
                <w:kern w:val="0"/>
                <w:sz w:val="22"/>
                <w:szCs w:val="22"/>
              </w:rPr>
              <w:t>日</w:t>
            </w:r>
          </w:p>
        </w:tc>
        <w:tc>
          <w:tcPr>
            <w:tcW w:w="2572" w:type="dxa"/>
            <w:tcBorders>
              <w:top w:val="nil"/>
              <w:bottom w:val="nil"/>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12</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tcBorders>
              <w:top w:val="nil"/>
            </w:tcBorders>
            <w:vAlign w:val="center"/>
          </w:tcPr>
          <w:p>
            <w:pPr>
              <w:widowControl/>
              <w:spacing w:line="240" w:lineRule="auto"/>
              <w:jc w:val="left"/>
              <w:rPr>
                <w:rFonts w:ascii="仿宋" w:hAnsi="仿宋" w:eastAsia="仿宋" w:cs="宋体"/>
                <w:color w:val="000000"/>
                <w:kern w:val="0"/>
                <w:sz w:val="22"/>
                <w:szCs w:val="22"/>
              </w:rPr>
            </w:pPr>
          </w:p>
        </w:tc>
        <w:tc>
          <w:tcPr>
            <w:tcW w:w="1734"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756</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w:t>
            </w:r>
          </w:p>
        </w:tc>
        <w:tc>
          <w:tcPr>
            <w:tcW w:w="2572" w:type="dxa"/>
            <w:tcBorders>
              <w:top w:val="nil"/>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w:t>
            </w:r>
            <w:r>
              <w:rPr>
                <w:rFonts w:ascii="Times New Roman" w:hAnsi="Times New Roman" w:eastAsia="仿宋" w:cs="Times New Roman"/>
                <w:color w:val="000000"/>
                <w:kern w:val="0"/>
                <w:sz w:val="22"/>
                <w:szCs w:val="22"/>
              </w:rPr>
              <w:t>2020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vAlign w:val="center"/>
          </w:tcPr>
          <w:p>
            <w:pPr>
              <w:widowControl/>
              <w:spacing w:line="240" w:lineRule="auto"/>
              <w:jc w:val="left"/>
              <w:rPr>
                <w:rFonts w:ascii="仿宋" w:hAnsi="仿宋" w:eastAsia="仿宋" w:cs="宋体"/>
                <w:color w:val="000000"/>
                <w:kern w:val="0"/>
                <w:sz w:val="22"/>
                <w:szCs w:val="22"/>
              </w:rPr>
            </w:pPr>
          </w:p>
        </w:tc>
        <w:tc>
          <w:tcPr>
            <w:tcW w:w="1734"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640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5</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11</w:t>
            </w:r>
            <w:r>
              <w:rPr>
                <w:rFonts w:hint="eastAsia" w:ascii="仿宋" w:hAnsi="仿宋" w:eastAsia="仿宋" w:cs="宋体"/>
                <w:color w:val="000000"/>
                <w:kern w:val="0"/>
                <w:sz w:val="22"/>
                <w:szCs w:val="22"/>
              </w:rPr>
              <w:t>日</w:t>
            </w:r>
          </w:p>
        </w:tc>
        <w:tc>
          <w:tcPr>
            <w:tcW w:w="2572"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w:t>
            </w: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49</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vAlign w:val="center"/>
          </w:tcPr>
          <w:p>
            <w:pPr>
              <w:widowControl/>
              <w:spacing w:line="240" w:lineRule="auto"/>
              <w:jc w:val="left"/>
              <w:rPr>
                <w:rFonts w:ascii="仿宋" w:hAnsi="仿宋" w:eastAsia="仿宋" w:cs="宋体"/>
                <w:color w:val="000000"/>
                <w:kern w:val="0"/>
                <w:sz w:val="22"/>
                <w:szCs w:val="22"/>
              </w:rPr>
            </w:pPr>
          </w:p>
        </w:tc>
        <w:tc>
          <w:tcPr>
            <w:tcW w:w="1734"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819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8</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4</w:t>
            </w:r>
            <w:r>
              <w:rPr>
                <w:rFonts w:hint="eastAsia" w:ascii="仿宋" w:hAnsi="仿宋" w:eastAsia="仿宋" w:cs="宋体"/>
                <w:color w:val="000000"/>
                <w:kern w:val="0"/>
                <w:sz w:val="22"/>
                <w:szCs w:val="22"/>
              </w:rPr>
              <w:t>日</w:t>
            </w:r>
          </w:p>
        </w:tc>
        <w:tc>
          <w:tcPr>
            <w:tcW w:w="2572"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15</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vAlign w:val="center"/>
          </w:tcPr>
          <w:p>
            <w:pPr>
              <w:widowControl/>
              <w:spacing w:line="240" w:lineRule="auto"/>
              <w:jc w:val="left"/>
              <w:rPr>
                <w:rFonts w:ascii="仿宋" w:hAnsi="仿宋" w:eastAsia="仿宋" w:cs="宋体"/>
                <w:color w:val="000000"/>
                <w:kern w:val="0"/>
                <w:sz w:val="22"/>
                <w:szCs w:val="22"/>
              </w:rPr>
            </w:pPr>
          </w:p>
        </w:tc>
        <w:tc>
          <w:tcPr>
            <w:tcW w:w="1734" w:type="dxa"/>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415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26</w:t>
            </w:r>
            <w:r>
              <w:rPr>
                <w:rFonts w:hint="eastAsia" w:ascii="仿宋" w:hAnsi="仿宋" w:eastAsia="仿宋" w:cs="宋体"/>
                <w:color w:val="000000"/>
                <w:kern w:val="0"/>
                <w:sz w:val="22"/>
                <w:szCs w:val="22"/>
              </w:rPr>
              <w:t>日</w:t>
            </w:r>
          </w:p>
        </w:tc>
        <w:tc>
          <w:tcPr>
            <w:tcW w:w="2572" w:type="dxa"/>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tcBorders>
              <w:bottom w:val="single" w:color="auto" w:sz="4" w:space="0"/>
            </w:tcBorders>
            <w:vAlign w:val="center"/>
          </w:tcPr>
          <w:p>
            <w:pPr>
              <w:widowControl/>
              <w:spacing w:line="240" w:lineRule="auto"/>
              <w:jc w:val="left"/>
              <w:rPr>
                <w:rFonts w:ascii="仿宋" w:hAnsi="仿宋" w:eastAsia="仿宋" w:cs="宋体"/>
                <w:color w:val="000000"/>
                <w:kern w:val="0"/>
                <w:sz w:val="22"/>
                <w:szCs w:val="22"/>
              </w:rPr>
            </w:pPr>
          </w:p>
        </w:tc>
        <w:tc>
          <w:tcPr>
            <w:tcW w:w="1734" w:type="dxa"/>
            <w:tcBorders>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405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6662</w:t>
            </w:r>
          </w:p>
        </w:tc>
        <w:tc>
          <w:tcPr>
            <w:tcW w:w="2531"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16</w:t>
            </w:r>
            <w:r>
              <w:rPr>
                <w:rFonts w:hint="eastAsia" w:ascii="仿宋" w:hAnsi="仿宋" w:eastAsia="仿宋" w:cs="宋体"/>
                <w:color w:val="000000"/>
                <w:kern w:val="0"/>
                <w:sz w:val="22"/>
                <w:szCs w:val="22"/>
              </w:rPr>
              <w:t>日</w:t>
            </w:r>
          </w:p>
        </w:tc>
        <w:tc>
          <w:tcPr>
            <w:tcW w:w="2572"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w:t>
            </w: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49</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小计</w:t>
            </w:r>
          </w:p>
        </w:tc>
        <w:tc>
          <w:tcPr>
            <w:tcW w:w="1734"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6661</w:t>
            </w:r>
            <w:r>
              <w:rPr>
                <w:rFonts w:hint="eastAsia" w:ascii="仿宋" w:hAnsi="仿宋" w:eastAsia="仿宋" w:cs="宋体"/>
                <w:b/>
                <w:bCs/>
                <w:color w:val="000000"/>
                <w:kern w:val="0"/>
                <w:sz w:val="22"/>
                <w:szCs w:val="22"/>
              </w:rPr>
              <w:t>.</w:t>
            </w:r>
            <w:r>
              <w:rPr>
                <w:rFonts w:ascii="Times New Roman" w:hAnsi="Times New Roman" w:eastAsia="仿宋" w:cs="Times New Roman"/>
                <w:b/>
                <w:bCs/>
                <w:color w:val="000000"/>
                <w:kern w:val="0"/>
                <w:sz w:val="22"/>
                <w:szCs w:val="22"/>
              </w:rPr>
              <w:t>0402</w:t>
            </w:r>
          </w:p>
        </w:tc>
        <w:tc>
          <w:tcPr>
            <w:tcW w:w="2531"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2572"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restar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p>
        </w:tc>
        <w:tc>
          <w:tcPr>
            <w:tcW w:w="1734" w:type="dxa"/>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714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top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9</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6</w:t>
            </w:r>
            <w:r>
              <w:rPr>
                <w:rFonts w:hint="eastAsia" w:ascii="仿宋" w:hAnsi="仿宋" w:eastAsia="仿宋" w:cs="宋体"/>
                <w:color w:val="000000"/>
                <w:kern w:val="0"/>
                <w:sz w:val="22"/>
                <w:szCs w:val="22"/>
              </w:rPr>
              <w:t>日</w:t>
            </w:r>
          </w:p>
        </w:tc>
        <w:tc>
          <w:tcPr>
            <w:tcW w:w="2572" w:type="dxa"/>
            <w:tcBorders>
              <w:top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25</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tcBorders>
              <w:bottom w:val="single" w:color="auto" w:sz="4" w:space="0"/>
            </w:tcBorders>
            <w:vAlign w:val="center"/>
          </w:tcPr>
          <w:p>
            <w:pPr>
              <w:widowControl/>
              <w:spacing w:line="240" w:lineRule="auto"/>
              <w:jc w:val="left"/>
              <w:rPr>
                <w:rFonts w:ascii="仿宋" w:hAnsi="仿宋" w:eastAsia="仿宋" w:cs="宋体"/>
                <w:color w:val="000000"/>
                <w:kern w:val="0"/>
                <w:sz w:val="22"/>
                <w:szCs w:val="22"/>
              </w:rPr>
            </w:pPr>
          </w:p>
        </w:tc>
        <w:tc>
          <w:tcPr>
            <w:tcW w:w="1734" w:type="dxa"/>
            <w:tcBorders>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1188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9</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19</w:t>
            </w:r>
            <w:r>
              <w:rPr>
                <w:rFonts w:hint="eastAsia" w:ascii="仿宋" w:hAnsi="仿宋" w:eastAsia="仿宋" w:cs="宋体"/>
                <w:color w:val="000000"/>
                <w:kern w:val="0"/>
                <w:sz w:val="22"/>
                <w:szCs w:val="22"/>
              </w:rPr>
              <w:t>日</w:t>
            </w:r>
          </w:p>
        </w:tc>
        <w:tc>
          <w:tcPr>
            <w:tcW w:w="2572"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28</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小计</w:t>
            </w:r>
          </w:p>
        </w:tc>
        <w:tc>
          <w:tcPr>
            <w:tcW w:w="1734"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1902</w:t>
            </w:r>
            <w:r>
              <w:rPr>
                <w:rFonts w:hint="eastAsia" w:ascii="仿宋" w:hAnsi="仿宋" w:eastAsia="仿宋" w:cs="宋体"/>
                <w:b/>
                <w:bCs/>
                <w:color w:val="000000"/>
                <w:kern w:val="0"/>
                <w:sz w:val="22"/>
                <w:szCs w:val="22"/>
              </w:rPr>
              <w:t>.</w:t>
            </w:r>
            <w:r>
              <w:rPr>
                <w:rFonts w:ascii="Times New Roman" w:hAnsi="Times New Roman" w:eastAsia="仿宋" w:cs="Times New Roman"/>
                <w:b/>
                <w:bCs/>
                <w:color w:val="000000"/>
                <w:kern w:val="0"/>
                <w:sz w:val="22"/>
                <w:szCs w:val="22"/>
              </w:rPr>
              <w:t>0000</w:t>
            </w:r>
          </w:p>
        </w:tc>
        <w:tc>
          <w:tcPr>
            <w:tcW w:w="2531"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2572"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restar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年</w:t>
            </w:r>
          </w:p>
        </w:tc>
        <w:tc>
          <w:tcPr>
            <w:tcW w:w="1734" w:type="dxa"/>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480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top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6</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29</w:t>
            </w:r>
            <w:r>
              <w:rPr>
                <w:rFonts w:hint="eastAsia" w:ascii="仿宋" w:hAnsi="仿宋" w:eastAsia="仿宋" w:cs="宋体"/>
                <w:color w:val="000000"/>
                <w:kern w:val="0"/>
                <w:sz w:val="22"/>
                <w:szCs w:val="22"/>
              </w:rPr>
              <w:t>日</w:t>
            </w:r>
          </w:p>
        </w:tc>
        <w:tc>
          <w:tcPr>
            <w:tcW w:w="2572" w:type="dxa"/>
            <w:tcBorders>
              <w:top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22</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vMerge w:val="continue"/>
            <w:tcBorders>
              <w:bottom w:val="single" w:color="auto" w:sz="4" w:space="0"/>
            </w:tcBorders>
            <w:vAlign w:val="center"/>
          </w:tcPr>
          <w:p>
            <w:pPr>
              <w:widowControl/>
              <w:spacing w:line="240" w:lineRule="auto"/>
              <w:jc w:val="left"/>
              <w:rPr>
                <w:rFonts w:ascii="仿宋" w:hAnsi="仿宋" w:eastAsia="仿宋" w:cs="宋体"/>
                <w:color w:val="000000"/>
                <w:kern w:val="0"/>
                <w:sz w:val="22"/>
                <w:szCs w:val="22"/>
              </w:rPr>
            </w:pPr>
          </w:p>
        </w:tc>
        <w:tc>
          <w:tcPr>
            <w:tcW w:w="1734" w:type="dxa"/>
            <w:tcBorders>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880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10</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27</w:t>
            </w:r>
            <w:r>
              <w:rPr>
                <w:rFonts w:hint="eastAsia" w:ascii="仿宋" w:hAnsi="仿宋" w:eastAsia="仿宋" w:cs="宋体"/>
                <w:color w:val="000000"/>
                <w:kern w:val="0"/>
                <w:sz w:val="22"/>
                <w:szCs w:val="22"/>
              </w:rPr>
              <w:t>日</w:t>
            </w:r>
          </w:p>
        </w:tc>
        <w:tc>
          <w:tcPr>
            <w:tcW w:w="2572" w:type="dxa"/>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39</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小计</w:t>
            </w:r>
          </w:p>
        </w:tc>
        <w:tc>
          <w:tcPr>
            <w:tcW w:w="1734"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1360</w:t>
            </w:r>
            <w:r>
              <w:rPr>
                <w:rFonts w:hint="eastAsia" w:ascii="仿宋" w:hAnsi="仿宋" w:eastAsia="仿宋" w:cs="宋体"/>
                <w:b/>
                <w:bCs/>
                <w:color w:val="000000"/>
                <w:kern w:val="0"/>
                <w:sz w:val="22"/>
                <w:szCs w:val="22"/>
              </w:rPr>
              <w:t>.</w:t>
            </w:r>
            <w:r>
              <w:rPr>
                <w:rFonts w:ascii="Times New Roman" w:hAnsi="Times New Roman" w:eastAsia="仿宋" w:cs="Times New Roman"/>
                <w:b/>
                <w:bCs/>
                <w:color w:val="000000"/>
                <w:kern w:val="0"/>
                <w:sz w:val="22"/>
                <w:szCs w:val="22"/>
              </w:rPr>
              <w:t>0000</w:t>
            </w:r>
          </w:p>
        </w:tc>
        <w:tc>
          <w:tcPr>
            <w:tcW w:w="2531"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2572"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年</w:t>
            </w:r>
          </w:p>
        </w:tc>
        <w:tc>
          <w:tcPr>
            <w:tcW w:w="1734" w:type="dxa"/>
            <w:tcBorders>
              <w:top w:val="single" w:color="auto" w:sz="4" w:space="0"/>
              <w:bottom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721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0000</w:t>
            </w:r>
          </w:p>
        </w:tc>
        <w:tc>
          <w:tcPr>
            <w:tcW w:w="2531"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年</w:t>
            </w:r>
            <w:r>
              <w:rPr>
                <w:rFonts w:ascii="Times New Roman" w:hAnsi="Times New Roman" w:eastAsia="仿宋" w:cs="Times New Roman"/>
                <w:color w:val="000000"/>
                <w:kern w:val="0"/>
                <w:sz w:val="22"/>
                <w:szCs w:val="22"/>
              </w:rPr>
              <w:t>9</w:t>
            </w:r>
            <w:r>
              <w:rPr>
                <w:rFonts w:hint="eastAsia" w:ascii="仿宋" w:hAnsi="仿宋" w:eastAsia="仿宋" w:cs="宋体"/>
                <w:color w:val="000000"/>
                <w:kern w:val="0"/>
                <w:sz w:val="22"/>
                <w:szCs w:val="22"/>
              </w:rPr>
              <w:t>月</w:t>
            </w:r>
            <w:r>
              <w:rPr>
                <w:rFonts w:ascii="Times New Roman" w:hAnsi="Times New Roman" w:eastAsia="仿宋" w:cs="Times New Roman"/>
                <w:color w:val="000000"/>
                <w:kern w:val="0"/>
                <w:sz w:val="22"/>
                <w:szCs w:val="22"/>
              </w:rPr>
              <w:t>6</w:t>
            </w:r>
            <w:r>
              <w:rPr>
                <w:rFonts w:hint="eastAsia" w:ascii="仿宋" w:hAnsi="仿宋" w:eastAsia="仿宋" w:cs="宋体"/>
                <w:color w:val="000000"/>
                <w:kern w:val="0"/>
                <w:sz w:val="22"/>
                <w:szCs w:val="22"/>
              </w:rPr>
              <w:t>日</w:t>
            </w:r>
          </w:p>
        </w:tc>
        <w:tc>
          <w:tcPr>
            <w:tcW w:w="2572" w:type="dxa"/>
            <w:tcBorders>
              <w:top w:val="single" w:color="auto" w:sz="4"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惠农综〔</w:t>
            </w:r>
            <w:r>
              <w:rPr>
                <w:rFonts w:ascii="Times New Roman" w:hAnsi="Times New Roman" w:eastAsia="仿宋" w:cs="Times New Roman"/>
                <w:color w:val="000000"/>
                <w:kern w:val="0"/>
                <w:sz w:val="22"/>
                <w:szCs w:val="22"/>
              </w:rPr>
              <w:t>2023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28</w:t>
            </w:r>
            <w:r>
              <w:rPr>
                <w:rFonts w:hint="eastAsia" w:ascii="仿宋" w:hAnsi="仿宋" w:eastAsia="仿宋" w:cs="宋体"/>
                <w:color w:val="000000"/>
                <w:kern w:val="0"/>
                <w:sz w:val="22"/>
                <w:szCs w:val="22"/>
              </w:rPr>
              <w:t>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0" w:type="dxa"/>
            <w:tcBorders>
              <w:top w:val="single" w:color="auto" w:sz="4" w:space="0"/>
              <w:bottom w:val="single" w:color="auto" w:sz="12"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c>
          <w:tcPr>
            <w:tcW w:w="1734" w:type="dxa"/>
            <w:tcBorders>
              <w:top w:val="single" w:color="auto" w:sz="4" w:space="0"/>
              <w:bottom w:val="single" w:color="auto" w:sz="12"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10644</w:t>
            </w:r>
            <w:r>
              <w:rPr>
                <w:rFonts w:hint="eastAsia" w:ascii="仿宋" w:hAnsi="仿宋" w:eastAsia="仿宋" w:cs="宋体"/>
                <w:b/>
                <w:bCs/>
                <w:color w:val="000000"/>
                <w:kern w:val="0"/>
                <w:sz w:val="22"/>
                <w:szCs w:val="22"/>
              </w:rPr>
              <w:t>.</w:t>
            </w:r>
            <w:r>
              <w:rPr>
                <w:rFonts w:ascii="Times New Roman" w:hAnsi="Times New Roman" w:eastAsia="仿宋" w:cs="Times New Roman"/>
                <w:b/>
                <w:bCs/>
                <w:color w:val="000000"/>
                <w:kern w:val="0"/>
                <w:sz w:val="22"/>
                <w:szCs w:val="22"/>
              </w:rPr>
              <w:t>0402</w:t>
            </w:r>
          </w:p>
        </w:tc>
        <w:tc>
          <w:tcPr>
            <w:tcW w:w="2531" w:type="dxa"/>
            <w:tcBorders>
              <w:top w:val="single" w:color="auto" w:sz="4" w:space="0"/>
              <w:bottom w:val="single" w:color="auto" w:sz="12"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2572" w:type="dxa"/>
            <w:tcBorders>
              <w:top w:val="single" w:color="auto" w:sz="4" w:space="0"/>
              <w:bottom w:val="single" w:color="auto" w:sz="12"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r>
    </w:tbl>
    <w:p>
      <w:pPr>
        <w:ind w:firstLine="560" w:firstLineChars="200"/>
        <w:rPr>
          <w:rFonts w:ascii="仿宋" w:hAnsi="仿宋" w:eastAsia="仿宋" w:cs="Times New Roman"/>
          <w:color w:val="333333"/>
          <w:shd w:val="clear" w:color="auto" w:fill="FFFFFF"/>
        </w:rPr>
      </w:pPr>
    </w:p>
    <w:p>
      <w:pPr>
        <w:spacing w:before="156" w:beforeLines="50" w:after="156" w:afterLines="50"/>
        <w:ind w:firstLine="643" w:firstLineChars="200"/>
        <w:outlineLvl w:val="1"/>
        <w:rPr>
          <w:rFonts w:ascii="仿宋" w:hAnsi="仿宋" w:eastAsia="仿宋" w:cs="黑体"/>
          <w:b/>
          <w:bCs/>
          <w:sz w:val="32"/>
          <w:szCs w:val="32"/>
        </w:rPr>
      </w:pPr>
      <w:bookmarkStart w:id="14" w:name="_Toc1389323381"/>
      <w:bookmarkStart w:id="15" w:name="_Toc9468"/>
      <w:r>
        <w:rPr>
          <w:rFonts w:hint="eastAsia" w:ascii="仿宋" w:hAnsi="仿宋" w:eastAsia="仿宋" w:cs="黑体"/>
          <w:b/>
          <w:bCs/>
          <w:sz w:val="32"/>
          <w:szCs w:val="32"/>
        </w:rPr>
        <w:t>五、专项资金管理流程</w:t>
      </w:r>
      <w:bookmarkEnd w:id="14"/>
      <w:bookmarkEnd w:id="15"/>
    </w:p>
    <w:p>
      <w:pPr>
        <w:ind w:firstLine="560" w:firstLineChars="200"/>
        <w:rPr>
          <w:rFonts w:ascii="仿宋" w:hAnsi="仿宋" w:eastAsia="仿宋" w:cs="Times New Roman"/>
          <w:color w:val="333333"/>
          <w:shd w:val="clear" w:color="auto" w:fill="FFFFFF"/>
        </w:rPr>
      </w:pPr>
      <w:r>
        <w:rPr>
          <w:rFonts w:hint="eastAsia" w:ascii="仿宋" w:hAnsi="仿宋" w:eastAsia="仿宋" w:cs="Times New Roman"/>
          <w:color w:val="333333"/>
          <w:shd w:val="clear" w:color="auto" w:fill="FFFFFF"/>
        </w:rPr>
        <w:t>根据《福建省农田建设项目管理实施办法》（闽农综〔</w:t>
      </w:r>
      <w:r>
        <w:rPr>
          <w:rFonts w:ascii="Times New Roman" w:hAnsi="Times New Roman" w:eastAsia="仿宋" w:cs="Times New Roman"/>
          <w:color w:val="333333"/>
          <w:shd w:val="clear" w:color="auto" w:fill="FFFFFF"/>
        </w:rPr>
        <w:t>2019</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127</w:t>
      </w:r>
      <w:r>
        <w:rPr>
          <w:rFonts w:hint="eastAsia" w:ascii="仿宋" w:hAnsi="仿宋" w:eastAsia="仿宋" w:cs="Times New Roman"/>
          <w:color w:val="333333"/>
          <w:shd w:val="clear" w:color="auto" w:fill="FFFFFF"/>
        </w:rPr>
        <w:t>号）及其补充通知（闽农建函〔</w:t>
      </w:r>
      <w:r>
        <w:rPr>
          <w:rFonts w:ascii="Times New Roman" w:hAnsi="Times New Roman" w:eastAsia="仿宋" w:cs="Times New Roman"/>
          <w:color w:val="333333"/>
          <w:shd w:val="clear" w:color="auto" w:fill="FFFFFF"/>
        </w:rPr>
        <w:t>2021</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15</w:t>
      </w:r>
      <w:r>
        <w:rPr>
          <w:rFonts w:hint="eastAsia" w:ascii="仿宋" w:hAnsi="仿宋" w:eastAsia="仿宋" w:cs="Times New Roman"/>
          <w:color w:val="333333"/>
          <w:shd w:val="clear" w:color="auto" w:fill="FFFFFF"/>
        </w:rPr>
        <w:t>号），惠安县人民政府农业农村主管部门负责本地区农田建设工作制定本地区农田建设管理制度和建设规划，建立项目库，组织项目建设单位编制项目初步设计文件，申报项目，组织开展项目实施和初步验收，落实监管责任，开展日常监管等。农田建设项目推行项目法人制，按照国家有关招标投标、政府采购、合同管理、工程监理、资金和项目公示。由具有相应资质的单位或机构参与项目施工、监理、审计及专业化管理.由惠安县农业农村局选定工程监理单位，按照有关要求及时汇总上报建设进度，定期报送项目年度实施计划完成情况。</w:t>
      </w:r>
    </w:p>
    <w:p>
      <w:pPr>
        <w:ind w:firstLine="560" w:firstLineChars="200"/>
        <w:rPr>
          <w:rFonts w:ascii="仿宋" w:hAnsi="仿宋" w:eastAsia="仿宋" w:cs="Times New Roman"/>
          <w:color w:val="333333"/>
          <w:shd w:val="clear" w:color="auto" w:fill="FFFFFF"/>
        </w:rPr>
      </w:pPr>
      <w:r>
        <w:rPr>
          <w:rFonts w:hint="eastAsia" w:ascii="仿宋" w:hAnsi="仿宋" w:eastAsia="仿宋" w:cs="Times New Roman"/>
          <w:color w:val="333333"/>
          <w:shd w:val="clear" w:color="auto" w:fill="FFFFFF"/>
        </w:rPr>
        <w:t>根据《福建省农田建设补助资金管理办法实施细则》（闽财农〔</w:t>
      </w:r>
      <w:r>
        <w:rPr>
          <w:rFonts w:ascii="Times New Roman" w:hAnsi="Times New Roman" w:eastAsia="仿宋" w:cs="Times New Roman"/>
          <w:color w:val="333333"/>
          <w:shd w:val="clear" w:color="auto" w:fill="FFFFFF"/>
        </w:rPr>
        <w:t>2019</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40</w:t>
      </w:r>
      <w:r>
        <w:rPr>
          <w:rFonts w:hint="eastAsia" w:ascii="仿宋" w:hAnsi="仿宋" w:eastAsia="仿宋" w:cs="Times New Roman"/>
          <w:color w:val="333333"/>
          <w:shd w:val="clear" w:color="auto" w:fill="FFFFFF"/>
        </w:rPr>
        <w:t>号）及其补充通知（闽财农〔</w:t>
      </w:r>
      <w:r>
        <w:rPr>
          <w:rFonts w:ascii="Times New Roman" w:hAnsi="Times New Roman" w:eastAsia="仿宋" w:cs="Times New Roman"/>
          <w:color w:val="333333"/>
          <w:shd w:val="clear" w:color="auto" w:fill="FFFFFF"/>
        </w:rPr>
        <w:t>2021</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7</w:t>
      </w:r>
      <w:r>
        <w:rPr>
          <w:rFonts w:hint="eastAsia" w:ascii="仿宋" w:hAnsi="仿宋" w:eastAsia="仿宋" w:cs="Times New Roman"/>
          <w:color w:val="333333"/>
          <w:shd w:val="clear" w:color="auto" w:fill="FFFFFF"/>
        </w:rPr>
        <w:t>号），省与市县（</w:t>
      </w:r>
      <w:r>
        <w:rPr>
          <w:rFonts w:ascii="仿宋" w:hAnsi="仿宋" w:eastAsia="仿宋" w:cs="Times New Roman"/>
          <w:color w:val="333333"/>
          <w:shd w:val="clear" w:color="auto" w:fill="FFFFFF"/>
        </w:rPr>
        <w:t>区</w:t>
      </w:r>
      <w:r>
        <w:rPr>
          <w:rFonts w:hint="eastAsia" w:ascii="仿宋" w:hAnsi="仿宋" w:eastAsia="仿宋" w:cs="Times New Roman"/>
          <w:color w:val="333333"/>
          <w:shd w:val="clear" w:color="auto" w:fill="FFFFFF"/>
        </w:rPr>
        <w:t>）</w:t>
      </w:r>
      <w:r>
        <w:rPr>
          <w:rFonts w:ascii="仿宋" w:hAnsi="仿宋" w:eastAsia="仿宋" w:cs="Times New Roman"/>
          <w:color w:val="333333"/>
          <w:shd w:val="clear" w:color="auto" w:fill="FFFFFF"/>
        </w:rPr>
        <w:t>财政共同承担农田建设支出责任，安排财政资金投入农田建设，列入本级政府预算。</w:t>
      </w:r>
      <w:r>
        <w:rPr>
          <w:rFonts w:hint="eastAsia" w:ascii="仿宋" w:hAnsi="仿宋" w:eastAsia="仿宋" w:cs="Times New Roman"/>
          <w:color w:val="333333"/>
          <w:shd w:val="clear" w:color="auto" w:fill="FFFFFF"/>
        </w:rPr>
        <w:t>根据“大专项+</w:t>
      </w:r>
      <w:r>
        <w:rPr>
          <w:rFonts w:ascii="仿宋" w:hAnsi="仿宋" w:eastAsia="仿宋" w:cs="Times New Roman"/>
          <w:color w:val="333333"/>
          <w:shd w:val="clear" w:color="auto" w:fill="FFFFFF"/>
        </w:rPr>
        <w:t>任务清单”</w:t>
      </w:r>
      <w:r>
        <w:rPr>
          <w:rFonts w:hint="eastAsia" w:ascii="仿宋" w:hAnsi="仿宋" w:eastAsia="仿宋" w:cs="Times New Roman"/>
          <w:color w:val="333333"/>
          <w:shd w:val="clear" w:color="auto" w:fill="FFFFFF"/>
        </w:rPr>
        <w:t>项目资金</w:t>
      </w:r>
      <w:r>
        <w:rPr>
          <w:rFonts w:ascii="仿宋" w:hAnsi="仿宋" w:eastAsia="仿宋" w:cs="Times New Roman"/>
          <w:color w:val="333333"/>
          <w:shd w:val="clear" w:color="auto" w:fill="FFFFFF"/>
        </w:rPr>
        <w:t>管理方式，</w:t>
      </w:r>
      <w:r>
        <w:rPr>
          <w:rFonts w:hint="eastAsia" w:ascii="仿宋" w:hAnsi="仿宋" w:eastAsia="仿宋" w:cs="Times New Roman"/>
          <w:color w:val="333333"/>
          <w:shd w:val="clear" w:color="auto" w:fill="FFFFFF"/>
        </w:rPr>
        <w:t>惠安县相关部门统筹安排补助资金，并负责组织核实资金支出内容，督促检查建设任务完成情况，监督检查补助资金分配、管理情况等。</w:t>
      </w:r>
    </w:p>
    <w:p>
      <w:pPr>
        <w:ind w:firstLine="560" w:firstLineChars="200"/>
        <w:rPr>
          <w:rFonts w:ascii="仿宋" w:hAnsi="仿宋" w:eastAsia="仿宋"/>
        </w:rPr>
      </w:pPr>
      <w:r>
        <w:rPr>
          <w:rFonts w:ascii="仿宋" w:hAnsi="仿宋" w:eastAsia="仿宋"/>
        </w:rPr>
        <w:br w:type="page"/>
      </w:r>
    </w:p>
    <w:p>
      <w:pPr>
        <w:rPr>
          <w:rFonts w:ascii="仿宋" w:hAnsi="仿宋" w:eastAsia="仿宋"/>
        </w:rPr>
      </w:pPr>
    </w:p>
    <w:p>
      <w:pPr>
        <w:jc w:val="center"/>
        <w:outlineLvl w:val="0"/>
        <w:rPr>
          <w:rFonts w:ascii="仿宋" w:hAnsi="仿宋" w:eastAsia="仿宋" w:cs="楷体"/>
          <w:b/>
          <w:bCs/>
          <w:sz w:val="36"/>
          <w:szCs w:val="36"/>
        </w:rPr>
      </w:pPr>
      <w:bookmarkStart w:id="16" w:name="_Toc649299437"/>
      <w:bookmarkStart w:id="17" w:name="_Toc21877"/>
      <w:r>
        <w:rPr>
          <w:rFonts w:hint="eastAsia" w:ascii="仿宋" w:hAnsi="仿宋" w:eastAsia="仿宋" w:cs="楷体"/>
          <w:b/>
          <w:bCs/>
          <w:sz w:val="36"/>
          <w:szCs w:val="36"/>
        </w:rPr>
        <w:t>第二部分 绩效评价工作开展情况</w:t>
      </w:r>
      <w:bookmarkEnd w:id="16"/>
      <w:bookmarkEnd w:id="17"/>
    </w:p>
    <w:p>
      <w:pPr>
        <w:rPr>
          <w:rFonts w:ascii="仿宋" w:hAnsi="仿宋" w:eastAsia="仿宋"/>
        </w:rPr>
      </w:pPr>
    </w:p>
    <w:p>
      <w:pPr>
        <w:spacing w:before="156" w:beforeLines="50" w:after="156" w:afterLines="50"/>
        <w:ind w:firstLine="643" w:firstLineChars="200"/>
        <w:outlineLvl w:val="1"/>
        <w:rPr>
          <w:rFonts w:ascii="仿宋" w:hAnsi="仿宋" w:eastAsia="仿宋" w:cs="黑体"/>
          <w:b/>
          <w:bCs/>
          <w:sz w:val="32"/>
          <w:szCs w:val="32"/>
        </w:rPr>
      </w:pPr>
      <w:bookmarkStart w:id="18" w:name="_Toc1925960322"/>
      <w:bookmarkStart w:id="19" w:name="_Toc219"/>
      <w:r>
        <w:rPr>
          <w:rFonts w:hint="eastAsia" w:ascii="仿宋" w:hAnsi="仿宋" w:eastAsia="仿宋" w:cs="黑体"/>
          <w:b/>
          <w:bCs/>
          <w:sz w:val="32"/>
          <w:szCs w:val="32"/>
        </w:rPr>
        <w:t>一、评价工作组介绍</w:t>
      </w:r>
      <w:bookmarkEnd w:id="18"/>
      <w:bookmarkEnd w:id="19"/>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惠安县</w:t>
      </w:r>
      <w:r>
        <w:rPr>
          <w:rFonts w:hint="eastAsia" w:ascii="仿宋" w:hAnsi="仿宋" w:eastAsia="仿宋" w:cs="Times New Roman"/>
          <w:color w:val="333333"/>
          <w:shd w:val="clear" w:color="auto" w:fill="FFFFFF"/>
        </w:rPr>
        <w:t>高标准农田建设</w:t>
      </w:r>
      <w:r>
        <w:rPr>
          <w:rFonts w:ascii="仿宋" w:hAnsi="仿宋" w:eastAsia="仿宋"/>
          <w:color w:val="333333"/>
          <w:shd w:val="clear" w:color="auto" w:fill="FFFFFF"/>
        </w:rPr>
        <w:t>专项资金的</w:t>
      </w:r>
      <w:r>
        <w:rPr>
          <w:rFonts w:hint="eastAsia" w:ascii="仿宋" w:hAnsi="仿宋" w:eastAsia="仿宋"/>
          <w:color w:val="333333"/>
          <w:shd w:val="clear" w:color="auto" w:fill="FFFFFF"/>
        </w:rPr>
        <w:t>项目</w:t>
      </w:r>
      <w:r>
        <w:rPr>
          <w:rFonts w:ascii="仿宋" w:hAnsi="仿宋" w:eastAsia="仿宋"/>
          <w:color w:val="333333"/>
          <w:shd w:val="clear" w:color="auto" w:fill="FFFFFF"/>
        </w:rPr>
        <w:t>绩效评价工作组</w:t>
      </w:r>
      <w:r>
        <w:rPr>
          <w:rFonts w:hint="eastAsia" w:ascii="仿宋" w:hAnsi="仿宋" w:eastAsia="仿宋"/>
          <w:color w:val="333333"/>
          <w:shd w:val="clear" w:color="auto" w:fill="FFFFFF"/>
        </w:rPr>
        <w:t>包括福州市韦兰信息科技有限公司评价人员。</w:t>
      </w:r>
      <w:r>
        <w:rPr>
          <w:rFonts w:ascii="仿宋" w:hAnsi="仿宋" w:eastAsia="仿宋" w:cs="Times New Roman"/>
          <w:szCs w:val="28"/>
        </w:rPr>
        <w:t>本次评价工作组</w:t>
      </w:r>
      <w:r>
        <w:rPr>
          <w:rFonts w:hint="eastAsia" w:ascii="仿宋" w:hAnsi="仿宋" w:eastAsia="仿宋" w:cs="Times New Roman"/>
          <w:szCs w:val="28"/>
        </w:rPr>
        <w:t>基于财政重点</w:t>
      </w:r>
      <w:r>
        <w:rPr>
          <w:rFonts w:ascii="仿宋" w:hAnsi="仿宋" w:eastAsia="仿宋" w:cs="Times New Roman"/>
          <w:szCs w:val="28"/>
        </w:rPr>
        <w:t>绩效评价工作</w:t>
      </w:r>
      <w:r>
        <w:rPr>
          <w:rFonts w:hint="eastAsia" w:ascii="仿宋" w:hAnsi="仿宋" w:eastAsia="仿宋" w:cs="Times New Roman"/>
          <w:szCs w:val="28"/>
        </w:rPr>
        <w:t>流程</w:t>
      </w:r>
      <w:r>
        <w:rPr>
          <w:rFonts w:ascii="仿宋" w:hAnsi="仿宋" w:eastAsia="仿宋" w:cs="Times New Roman"/>
          <w:szCs w:val="28"/>
        </w:rPr>
        <w:t>，</w:t>
      </w:r>
      <w:r>
        <w:rPr>
          <w:rFonts w:ascii="仿宋" w:hAnsi="仿宋" w:eastAsia="仿宋"/>
          <w:color w:val="333333"/>
          <w:shd w:val="clear" w:color="auto" w:fill="FFFFFF"/>
        </w:rPr>
        <w:t>拟定评价方案、及时收集、汇总和分析资料，最终形成有效的评价组织架构。</w:t>
      </w:r>
    </w:p>
    <w:p>
      <w:pPr>
        <w:spacing w:before="156" w:beforeLines="50" w:after="156" w:afterLines="50"/>
        <w:ind w:firstLine="643" w:firstLineChars="200"/>
        <w:outlineLvl w:val="1"/>
        <w:rPr>
          <w:rFonts w:ascii="仿宋" w:hAnsi="仿宋" w:eastAsia="仿宋" w:cs="黑体"/>
          <w:b/>
          <w:bCs/>
          <w:sz w:val="32"/>
          <w:szCs w:val="32"/>
        </w:rPr>
      </w:pPr>
      <w:bookmarkStart w:id="20" w:name="_Toc702933774"/>
      <w:bookmarkStart w:id="21" w:name="_Toc13481"/>
      <w:r>
        <w:rPr>
          <w:rFonts w:hint="eastAsia" w:ascii="仿宋" w:hAnsi="仿宋" w:eastAsia="仿宋" w:cs="黑体"/>
          <w:b/>
          <w:bCs/>
          <w:sz w:val="32"/>
          <w:szCs w:val="32"/>
        </w:rPr>
        <w:t>二、评价目的</w:t>
      </w:r>
      <w:bookmarkEnd w:id="20"/>
      <w:bookmarkEnd w:id="21"/>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全面评价惠安县高标准农田建设项目的资金使用和管理情况、绩效目标完成情况，并从项目资金使用合规性及成本控制有效性入手，分析项目效益水平，强化预算绩效责任，提高财政资金配置和使用效益。同时，通过运用科学、合理的绩效评价指标、评价标准和评价方法，发现项目实施过程中存在的问题并提出建议。结合评价情况，进一步促进项目规范运营，提高项目运行管理水平。</w:t>
      </w:r>
    </w:p>
    <w:p>
      <w:pPr>
        <w:spacing w:before="156" w:beforeLines="50" w:after="156" w:afterLines="50"/>
        <w:ind w:firstLine="643" w:firstLineChars="200"/>
        <w:outlineLvl w:val="1"/>
        <w:rPr>
          <w:rFonts w:ascii="仿宋" w:hAnsi="仿宋" w:eastAsia="仿宋" w:cs="黑体"/>
          <w:b/>
          <w:bCs/>
          <w:sz w:val="32"/>
          <w:szCs w:val="32"/>
        </w:rPr>
      </w:pPr>
      <w:bookmarkStart w:id="22" w:name="_Toc1943839548"/>
      <w:bookmarkStart w:id="23" w:name="_Toc29171"/>
      <w:r>
        <w:rPr>
          <w:rFonts w:hint="eastAsia" w:ascii="仿宋" w:hAnsi="仿宋" w:eastAsia="仿宋" w:cs="黑体"/>
          <w:b/>
          <w:bCs/>
          <w:sz w:val="32"/>
          <w:szCs w:val="32"/>
        </w:rPr>
        <w:t>三、评价对象</w:t>
      </w:r>
      <w:bookmarkEnd w:id="22"/>
      <w:bookmarkEnd w:id="23"/>
    </w:p>
    <w:p>
      <w:pPr>
        <w:ind w:firstLine="560" w:firstLineChars="200"/>
        <w:rPr>
          <w:rFonts w:ascii="仿宋" w:hAnsi="仿宋" w:eastAsia="仿宋"/>
          <w:color w:val="333333"/>
          <w:shd w:val="clear" w:color="auto" w:fill="FFFFFF"/>
        </w:rPr>
      </w:pPr>
      <w:bookmarkStart w:id="24" w:name="_Toc1547353198"/>
      <w:r>
        <w:rPr>
          <w:rFonts w:hint="eastAsia" w:ascii="仿宋" w:hAnsi="仿宋" w:eastAsia="仿宋"/>
          <w:color w:val="333333"/>
          <w:shd w:val="clear" w:color="auto" w:fill="FFFFFF"/>
        </w:rPr>
        <w:t>本次绩效评价对象为惠安县</w:t>
      </w:r>
      <w:r>
        <w:rPr>
          <w:rFonts w:ascii="Times New Roman" w:hAnsi="Times New Roman" w:eastAsia="仿宋" w:cs="Times New Roman"/>
          <w:color w:val="333333"/>
          <w:shd w:val="clear" w:color="auto" w:fill="FFFFFF"/>
        </w:rPr>
        <w:t>2019</w:t>
      </w:r>
      <w:r>
        <w:rPr>
          <w:rFonts w:hint="eastAsia" w:ascii="仿宋" w:hAnsi="仿宋" w:eastAsia="仿宋" w:cs="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w:t>
      </w:r>
      <w:r>
        <w:rPr>
          <w:rFonts w:hint="eastAsia" w:ascii="仿宋" w:hAnsi="仿宋" w:eastAsia="仿宋" w:cs="Times New Roman"/>
          <w:color w:val="333333"/>
          <w:shd w:val="clear" w:color="auto" w:fill="FFFFFF"/>
        </w:rPr>
        <w:t>高标准农田建设</w:t>
      </w:r>
      <w:r>
        <w:rPr>
          <w:rFonts w:ascii="仿宋" w:hAnsi="仿宋" w:eastAsia="仿宋"/>
          <w:color w:val="333333"/>
          <w:shd w:val="clear" w:color="auto" w:fill="FFFFFF"/>
        </w:rPr>
        <w:t>专项资金</w:t>
      </w:r>
      <w:r>
        <w:rPr>
          <w:rFonts w:hint="eastAsia" w:ascii="仿宋" w:hAnsi="仿宋" w:eastAsia="仿宋"/>
          <w:color w:val="333333"/>
          <w:shd w:val="clear" w:color="auto" w:fill="FFFFFF"/>
        </w:rPr>
        <w:t>。</w:t>
      </w:r>
    </w:p>
    <w:p>
      <w:pPr>
        <w:spacing w:before="156" w:beforeLines="50" w:after="156" w:afterLines="50"/>
        <w:ind w:firstLine="643" w:firstLineChars="200"/>
        <w:outlineLvl w:val="1"/>
        <w:rPr>
          <w:rFonts w:ascii="仿宋" w:hAnsi="仿宋" w:eastAsia="仿宋" w:cs="黑体"/>
          <w:b/>
          <w:bCs/>
          <w:sz w:val="32"/>
          <w:szCs w:val="32"/>
        </w:rPr>
      </w:pPr>
      <w:bookmarkStart w:id="25" w:name="_Toc32747"/>
      <w:r>
        <w:rPr>
          <w:rFonts w:hint="eastAsia" w:ascii="仿宋" w:hAnsi="仿宋" w:eastAsia="仿宋" w:cs="黑体"/>
          <w:b/>
          <w:bCs/>
          <w:sz w:val="32"/>
          <w:szCs w:val="32"/>
        </w:rPr>
        <w:t>四、评价范围</w:t>
      </w:r>
      <w:bookmarkEnd w:id="24"/>
      <w:bookmarkEnd w:id="25"/>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评价的范围主要包括专项资金的决策情况、资金管理和使用情况、相关管理制度办法的健全性及执行情况、实现的产出情况和取得的效益情况等。</w:t>
      </w:r>
    </w:p>
    <w:p>
      <w:pPr>
        <w:spacing w:before="156" w:beforeLines="50" w:after="156" w:afterLines="50"/>
        <w:ind w:firstLine="643" w:firstLineChars="200"/>
        <w:outlineLvl w:val="1"/>
        <w:rPr>
          <w:rFonts w:ascii="仿宋" w:hAnsi="仿宋" w:eastAsia="仿宋" w:cs="黑体"/>
          <w:b/>
          <w:bCs/>
          <w:sz w:val="32"/>
          <w:szCs w:val="32"/>
        </w:rPr>
      </w:pPr>
      <w:bookmarkStart w:id="26" w:name="_Toc21679"/>
      <w:bookmarkStart w:id="27" w:name="_Toc406472542"/>
      <w:r>
        <w:rPr>
          <w:rFonts w:hint="eastAsia" w:ascii="仿宋" w:hAnsi="仿宋" w:eastAsia="仿宋" w:cs="黑体"/>
          <w:b/>
          <w:bCs/>
          <w:sz w:val="32"/>
          <w:szCs w:val="32"/>
        </w:rPr>
        <w:t>五、评价原则</w:t>
      </w:r>
      <w:bookmarkEnd w:id="26"/>
      <w:bookmarkEnd w:id="27"/>
    </w:p>
    <w:p>
      <w:pPr>
        <w:ind w:firstLine="562" w:firstLineChars="200"/>
        <w:outlineLvl w:val="2"/>
        <w:rPr>
          <w:rFonts w:ascii="仿宋" w:hAnsi="仿宋" w:eastAsia="仿宋" w:cs="Times New Roman"/>
          <w:b/>
          <w:bCs/>
          <w:szCs w:val="28"/>
        </w:rPr>
      </w:pPr>
      <w:bookmarkStart w:id="28" w:name="_Toc1613001782"/>
      <w:bookmarkStart w:id="29" w:name="_Toc10698"/>
      <w:r>
        <w:rPr>
          <w:rFonts w:hint="eastAsia" w:ascii="仿宋" w:hAnsi="仿宋" w:eastAsia="仿宋" w:cs="Times New Roman"/>
          <w:b/>
          <w:bCs/>
          <w:szCs w:val="28"/>
        </w:rPr>
        <w:t>（</w:t>
      </w:r>
      <w:bookmarkEnd w:id="28"/>
      <w:bookmarkStart w:id="30" w:name="_Toc124892196"/>
      <w:bookmarkStart w:id="31" w:name="_Toc2006338783"/>
      <w:r>
        <w:rPr>
          <w:rFonts w:hint="eastAsia" w:ascii="仿宋" w:hAnsi="仿宋" w:eastAsia="仿宋" w:cs="Times New Roman"/>
          <w:b/>
          <w:bCs/>
          <w:szCs w:val="28"/>
        </w:rPr>
        <w:t>一）</w:t>
      </w:r>
      <w:r>
        <w:rPr>
          <w:rFonts w:ascii="仿宋" w:hAnsi="仿宋" w:eastAsia="仿宋" w:cs="Times New Roman"/>
          <w:b/>
          <w:bCs/>
          <w:szCs w:val="28"/>
        </w:rPr>
        <w:t>服务大局原则</w:t>
      </w:r>
      <w:bookmarkEnd w:id="29"/>
      <w:bookmarkEnd w:id="30"/>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项目的绩效评价工作应坚持党中央、国务院、福建省关于深化预算管理体制的有关精神和通知文件。</w:t>
      </w:r>
    </w:p>
    <w:p>
      <w:pPr>
        <w:ind w:firstLine="562" w:firstLineChars="200"/>
        <w:outlineLvl w:val="2"/>
        <w:rPr>
          <w:rFonts w:ascii="仿宋" w:hAnsi="仿宋" w:eastAsia="仿宋" w:cs="Times New Roman"/>
          <w:b/>
          <w:bCs/>
          <w:szCs w:val="28"/>
        </w:rPr>
      </w:pPr>
      <w:bookmarkStart w:id="32" w:name="_Toc495"/>
      <w:bookmarkStart w:id="33" w:name="_Toc124892197"/>
      <w:r>
        <w:rPr>
          <w:rFonts w:hint="eastAsia" w:ascii="仿宋" w:hAnsi="仿宋" w:eastAsia="仿宋" w:cs="Times New Roman"/>
          <w:b/>
          <w:bCs/>
          <w:szCs w:val="28"/>
        </w:rPr>
        <w:t>（二）</w:t>
      </w:r>
      <w:r>
        <w:rPr>
          <w:rFonts w:ascii="仿宋" w:hAnsi="仿宋" w:eastAsia="仿宋" w:cs="Times New Roman"/>
          <w:b/>
          <w:bCs/>
          <w:szCs w:val="28"/>
        </w:rPr>
        <w:t>科学规范原则</w:t>
      </w:r>
      <w:bookmarkEnd w:id="32"/>
      <w:bookmarkEnd w:id="33"/>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绩效评价应当运用科学合理的方法，根据《财政部关于印发&lt;项目支出绩效评价管理办法&gt;》（财预〔</w:t>
      </w:r>
      <w:r>
        <w:rPr>
          <w:rFonts w:ascii="Times New Roman" w:hAnsi="Times New Roman" w:eastAsia="仿宋" w:cs="Times New Roman"/>
          <w:color w:val="333333"/>
          <w:shd w:val="clear" w:color="auto" w:fill="FFFFFF"/>
        </w:rPr>
        <w:t>2020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10</w:t>
      </w:r>
      <w:r>
        <w:rPr>
          <w:rFonts w:ascii="仿宋" w:hAnsi="仿宋" w:eastAsia="仿宋"/>
          <w:color w:val="333333"/>
          <w:shd w:val="clear" w:color="auto" w:fill="FFFFFF"/>
        </w:rPr>
        <w:t>号）等文件的相关要求，按照科学可行的原则和规范的程序，采取定量分析与定性分析相结合的评价方法，对项目绩效进行客观、公正的反映。</w:t>
      </w:r>
    </w:p>
    <w:p>
      <w:pPr>
        <w:ind w:firstLine="562" w:firstLineChars="200"/>
        <w:outlineLvl w:val="2"/>
        <w:rPr>
          <w:rFonts w:ascii="仿宋" w:hAnsi="仿宋" w:eastAsia="仿宋" w:cs="Times New Roman"/>
          <w:b/>
          <w:bCs/>
          <w:szCs w:val="28"/>
        </w:rPr>
      </w:pPr>
      <w:bookmarkStart w:id="34" w:name="_Toc124892198"/>
      <w:bookmarkStart w:id="35" w:name="_Toc15887"/>
      <w:r>
        <w:rPr>
          <w:rFonts w:hint="eastAsia" w:ascii="仿宋" w:hAnsi="仿宋" w:eastAsia="仿宋" w:cs="Times New Roman"/>
          <w:b/>
          <w:bCs/>
          <w:szCs w:val="28"/>
        </w:rPr>
        <w:t>（三）</w:t>
      </w:r>
      <w:r>
        <w:rPr>
          <w:rFonts w:ascii="仿宋" w:hAnsi="仿宋" w:eastAsia="仿宋" w:cs="Times New Roman"/>
          <w:b/>
          <w:bCs/>
          <w:szCs w:val="28"/>
        </w:rPr>
        <w:t>公正公开原则</w:t>
      </w:r>
      <w:bookmarkEnd w:id="34"/>
      <w:bookmarkEnd w:id="35"/>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项目的绩效评价应符合真实、客观、公正的要求，优先使用最具评价对象代表性、最能反映评价要求的核心指标，评价依法公开并接受监督。</w:t>
      </w:r>
    </w:p>
    <w:p>
      <w:pPr>
        <w:ind w:firstLine="562" w:firstLineChars="200"/>
        <w:outlineLvl w:val="2"/>
        <w:rPr>
          <w:rFonts w:ascii="仿宋" w:hAnsi="仿宋" w:eastAsia="仿宋" w:cs="Times New Roman"/>
          <w:b/>
          <w:bCs/>
          <w:szCs w:val="28"/>
        </w:rPr>
      </w:pPr>
      <w:bookmarkStart w:id="36" w:name="_Toc6966"/>
      <w:bookmarkStart w:id="37" w:name="_Toc124892199"/>
      <w:r>
        <w:rPr>
          <w:rFonts w:hint="eastAsia" w:ascii="仿宋" w:hAnsi="仿宋" w:eastAsia="仿宋" w:cs="Times New Roman"/>
          <w:b/>
          <w:bCs/>
          <w:szCs w:val="28"/>
        </w:rPr>
        <w:t>（四）问题导向原则</w:t>
      </w:r>
      <w:bookmarkEnd w:id="36"/>
      <w:bookmarkEnd w:id="37"/>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项目的绩效评价工作应坚持问题导向，深入挖掘并系统反映项目在预算管理、业务管理、采购管理、绩效管理和财务管理等方面存在的问题，并提出优化管理的建议。</w:t>
      </w:r>
    </w:p>
    <w:p>
      <w:pPr>
        <w:ind w:firstLine="562" w:firstLineChars="200"/>
        <w:outlineLvl w:val="2"/>
        <w:rPr>
          <w:rFonts w:ascii="仿宋" w:hAnsi="仿宋" w:eastAsia="仿宋" w:cs="Times New Roman"/>
          <w:b/>
          <w:bCs/>
          <w:szCs w:val="28"/>
        </w:rPr>
      </w:pPr>
      <w:bookmarkStart w:id="38" w:name="_Toc29087"/>
      <w:bookmarkStart w:id="39" w:name="_Toc124892200"/>
      <w:r>
        <w:rPr>
          <w:rFonts w:hint="eastAsia" w:ascii="仿宋" w:hAnsi="仿宋" w:eastAsia="仿宋" w:cs="Times New Roman"/>
          <w:b/>
          <w:bCs/>
          <w:szCs w:val="28"/>
        </w:rPr>
        <w:t>（五）绩效相关原则</w:t>
      </w:r>
      <w:bookmarkEnd w:id="38"/>
      <w:bookmarkEnd w:id="39"/>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绩效评价主要从项目的决策、过程、产出和效益四个维度展开，评价结果应清晰反映项目的实施效果。</w:t>
      </w:r>
    </w:p>
    <w:p>
      <w:pPr>
        <w:spacing w:before="156" w:beforeLines="50" w:after="156" w:afterLines="50"/>
        <w:ind w:firstLine="643" w:firstLineChars="200"/>
        <w:outlineLvl w:val="1"/>
        <w:rPr>
          <w:rFonts w:ascii="仿宋" w:hAnsi="仿宋" w:eastAsia="仿宋" w:cs="黑体"/>
          <w:b/>
          <w:bCs/>
          <w:sz w:val="32"/>
          <w:szCs w:val="32"/>
        </w:rPr>
      </w:pPr>
      <w:bookmarkStart w:id="40" w:name="_Toc32121"/>
      <w:r>
        <w:rPr>
          <w:rFonts w:hint="eastAsia" w:ascii="仿宋" w:hAnsi="仿宋" w:eastAsia="仿宋" w:cs="黑体"/>
          <w:b/>
          <w:bCs/>
          <w:sz w:val="32"/>
          <w:szCs w:val="32"/>
        </w:rPr>
        <w:t>六、评价指标体系</w:t>
      </w:r>
      <w:bookmarkEnd w:id="31"/>
      <w:bookmarkEnd w:id="40"/>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本专项资金评价工作组根据资金用途，构建具有专项特征的评价指标体系，全面评价</w:t>
      </w:r>
      <w:r>
        <w:rPr>
          <w:rFonts w:hint="eastAsia" w:ascii="仿宋" w:hAnsi="仿宋" w:eastAsia="仿宋"/>
          <w:color w:val="333333"/>
          <w:shd w:val="clear" w:color="auto" w:fill="FFFFFF"/>
        </w:rPr>
        <w:t>惠安县</w:t>
      </w:r>
      <w:r>
        <w:rPr>
          <w:rFonts w:hint="eastAsia" w:ascii="仿宋" w:hAnsi="仿宋" w:eastAsia="仿宋" w:cs="Times New Roman"/>
          <w:color w:val="333333"/>
          <w:shd w:val="clear" w:color="auto" w:fill="FFFFFF"/>
        </w:rPr>
        <w:t>高标准农田建设专项</w:t>
      </w:r>
      <w:r>
        <w:rPr>
          <w:rFonts w:ascii="仿宋" w:hAnsi="仿宋" w:eastAsia="仿宋"/>
          <w:color w:val="333333"/>
          <w:shd w:val="clear" w:color="auto" w:fill="FFFFFF"/>
        </w:rPr>
        <w:t>资金支出的绩效。专项评价工作组根据上述指标体系构建原则，参考财政重点绩效评价框架，构建绩效评价指标体系框架。</w:t>
      </w:r>
    </w:p>
    <w:p>
      <w:pPr>
        <w:spacing w:before="312" w:beforeLines="100" w:line="240" w:lineRule="auto"/>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5</w:t>
      </w:r>
      <w:r>
        <w:rPr>
          <w:rFonts w:ascii="仿宋" w:hAnsi="仿宋" w:eastAsia="仿宋" w:cs="Times New Roman"/>
          <w:b/>
          <w:bCs/>
          <w:sz w:val="24"/>
        </w:rPr>
        <w:t xml:space="preserve">  “</w:t>
      </w:r>
      <w:r>
        <w:rPr>
          <w:rFonts w:hint="eastAsia" w:ascii="仿宋" w:hAnsi="仿宋" w:eastAsia="仿宋" w:cs="Times New Roman"/>
          <w:b/>
          <w:bCs/>
          <w:sz w:val="24"/>
        </w:rPr>
        <w:t>高标准农田建设</w:t>
      </w:r>
      <w:r>
        <w:rPr>
          <w:rFonts w:ascii="仿宋" w:hAnsi="仿宋" w:eastAsia="仿宋" w:cs="Times New Roman"/>
          <w:b/>
          <w:bCs/>
          <w:sz w:val="24"/>
        </w:rPr>
        <w:t>”专项资金绩效评价指标体系</w:t>
      </w:r>
    </w:p>
    <w:tbl>
      <w:tblPr>
        <w:tblStyle w:val="10"/>
        <w:tblW w:w="4999"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70"/>
        <w:gridCol w:w="2420"/>
        <w:gridCol w:w="353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trPr>
        <w:tc>
          <w:tcPr>
            <w:tcW w:w="1508" w:type="pct"/>
            <w:tcBorders>
              <w:bottom w:val="single" w:color="000000" w:sz="4" w:space="0"/>
              <w:tl2br w:val="nil"/>
              <w:tr2bl w:val="nil"/>
            </w:tcBorders>
            <w:shd w:val="clear" w:color="auto" w:fill="auto"/>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一级指标</w:t>
            </w:r>
          </w:p>
        </w:tc>
        <w:tc>
          <w:tcPr>
            <w:tcW w:w="1420" w:type="pct"/>
            <w:tcBorders>
              <w:bottom w:val="single" w:color="000000" w:sz="4" w:space="0"/>
              <w:tl2br w:val="nil"/>
              <w:tr2bl w:val="nil"/>
            </w:tcBorders>
            <w:shd w:val="clear" w:color="auto" w:fill="auto"/>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二级指标</w:t>
            </w:r>
          </w:p>
        </w:tc>
        <w:tc>
          <w:tcPr>
            <w:tcW w:w="2071" w:type="pct"/>
            <w:tcBorders>
              <w:bottom w:val="single" w:color="000000" w:sz="4" w:space="0"/>
              <w:tl2br w:val="nil"/>
              <w:tr2bl w:val="nil"/>
            </w:tcBorders>
            <w:shd w:val="clear" w:color="auto" w:fill="auto"/>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三级指标</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restart"/>
            <w:tcBorders>
              <w:top w:val="single" w:color="000000" w:sz="4" w:space="0"/>
              <w:tl2br w:val="nil"/>
              <w:tr2bl w:val="nil"/>
            </w:tcBorders>
            <w:shd w:val="clear" w:color="auto" w:fill="auto"/>
            <w:noWrap/>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决策指标（</w:t>
            </w:r>
            <w:r>
              <w:rPr>
                <w:rFonts w:ascii="Times New Roman" w:hAnsi="Times New Roman" w:eastAsia="仿宋" w:cs="Times New Roman"/>
                <w:b/>
                <w:bCs/>
                <w:color w:val="000000"/>
                <w:kern w:val="0"/>
                <w:sz w:val="22"/>
                <w:szCs w:val="22"/>
                <w:lang w:bidi="ar"/>
              </w:rPr>
              <w:t>15</w:t>
            </w:r>
            <w:r>
              <w:rPr>
                <w:rFonts w:hint="eastAsia" w:ascii="仿宋" w:hAnsi="仿宋" w:eastAsia="仿宋" w:cs="仿宋"/>
                <w:b/>
                <w:bCs/>
                <w:color w:val="000000"/>
                <w:kern w:val="0"/>
                <w:sz w:val="22"/>
                <w:szCs w:val="22"/>
                <w:lang w:bidi="ar"/>
              </w:rPr>
              <w:t>分）</w:t>
            </w:r>
          </w:p>
        </w:tc>
        <w:tc>
          <w:tcPr>
            <w:tcW w:w="1420" w:type="pct"/>
            <w:vMerge w:val="restart"/>
            <w:tcBorders>
              <w:top w:val="single" w:color="000000" w:sz="4" w:space="0"/>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项目立项（</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op w:val="single" w:color="000000" w:sz="4" w:space="0"/>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立项依据充分性（</w:t>
            </w:r>
            <w:r>
              <w:rPr>
                <w:rFonts w:ascii="Times New Roman" w:hAnsi="Times New Roman" w:eastAsia="仿宋" w:cs="Times New Roman"/>
                <w:color w:val="000000"/>
                <w:kern w:val="0"/>
                <w:sz w:val="22"/>
                <w:szCs w:val="22"/>
                <w:lang w:bidi="ar"/>
              </w:rPr>
              <w:t>3</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noWrap/>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立项程序规范性（</w:t>
            </w:r>
            <w:r>
              <w:rPr>
                <w:rFonts w:ascii="Times New Roman" w:hAnsi="Times New Roman" w:eastAsia="仿宋" w:cs="Times New Roman"/>
                <w:color w:val="000000"/>
                <w:kern w:val="0"/>
                <w:sz w:val="22"/>
                <w:szCs w:val="22"/>
                <w:lang w:bidi="ar"/>
              </w:rPr>
              <w:t>2</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restar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绩效目标（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绩效目标合理性（</w:t>
            </w:r>
            <w:r>
              <w:rPr>
                <w:rFonts w:ascii="Times New Roman" w:hAnsi="Times New Roman" w:eastAsia="仿宋" w:cs="Times New Roman"/>
                <w:color w:val="000000"/>
                <w:kern w:val="0"/>
                <w:sz w:val="22"/>
                <w:szCs w:val="22"/>
                <w:lang w:bidi="ar"/>
              </w:rPr>
              <w:t>3</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noWrap/>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绩效指标明确性（</w:t>
            </w:r>
            <w:r>
              <w:rPr>
                <w:rFonts w:ascii="Times New Roman" w:hAnsi="Times New Roman" w:eastAsia="仿宋" w:cs="Times New Roman"/>
                <w:color w:val="000000"/>
                <w:kern w:val="0"/>
                <w:sz w:val="22"/>
                <w:szCs w:val="22"/>
                <w:lang w:bidi="ar"/>
              </w:rPr>
              <w:t>2</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restar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资金投入（</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预算编制科学性（</w:t>
            </w:r>
            <w:r>
              <w:rPr>
                <w:rFonts w:ascii="Times New Roman" w:hAnsi="Times New Roman" w:eastAsia="仿宋" w:cs="Times New Roman"/>
                <w:color w:val="000000"/>
                <w:kern w:val="0"/>
                <w:sz w:val="22"/>
                <w:szCs w:val="22"/>
                <w:lang w:bidi="ar"/>
              </w:rPr>
              <w:t>2</w:t>
            </w:r>
            <w:r>
              <w:rPr>
                <w:rFonts w:hint="eastAsia" w:ascii="仿宋" w:hAnsi="仿宋" w:eastAsia="仿宋" w:cs="仿宋"/>
                <w:color w:val="000000"/>
                <w:kern w:val="0"/>
                <w:sz w:val="22"/>
                <w:szCs w:val="22"/>
                <w:lang w:bidi="ar"/>
              </w:rPr>
              <w:t>.</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noWrap/>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资金分配合理性（</w:t>
            </w:r>
            <w:r>
              <w:rPr>
                <w:rFonts w:ascii="Times New Roman" w:hAnsi="Times New Roman" w:eastAsia="仿宋" w:cs="Times New Roman"/>
                <w:color w:val="000000"/>
                <w:kern w:val="0"/>
                <w:sz w:val="22"/>
                <w:szCs w:val="22"/>
                <w:lang w:bidi="ar"/>
              </w:rPr>
              <w:t>2</w:t>
            </w:r>
            <w:r>
              <w:rPr>
                <w:rFonts w:hint="eastAsia" w:ascii="仿宋" w:hAnsi="仿宋" w:eastAsia="仿宋" w:cs="仿宋"/>
                <w:color w:val="000000"/>
                <w:kern w:val="0"/>
                <w:sz w:val="22"/>
                <w:szCs w:val="22"/>
                <w:lang w:bidi="ar"/>
              </w:rPr>
              <w:t>.</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restart"/>
            <w:tcBorders>
              <w:tl2br w:val="nil"/>
              <w:tr2bl w:val="nil"/>
            </w:tcBorders>
            <w:shd w:val="clear" w:color="auto" w:fill="auto"/>
            <w:noWrap/>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过程指标（</w:t>
            </w:r>
            <w:r>
              <w:rPr>
                <w:rFonts w:ascii="Times New Roman" w:hAnsi="Times New Roman" w:eastAsia="仿宋" w:cs="Times New Roman"/>
                <w:b/>
                <w:bCs/>
                <w:color w:val="000000"/>
                <w:kern w:val="0"/>
                <w:sz w:val="22"/>
                <w:szCs w:val="22"/>
                <w:lang w:bidi="ar"/>
              </w:rPr>
              <w:t>15</w:t>
            </w:r>
            <w:r>
              <w:rPr>
                <w:rFonts w:hint="eastAsia" w:ascii="仿宋" w:hAnsi="仿宋" w:eastAsia="仿宋" w:cs="仿宋"/>
                <w:b/>
                <w:bCs/>
                <w:color w:val="000000"/>
                <w:kern w:val="0"/>
                <w:sz w:val="22"/>
                <w:szCs w:val="22"/>
                <w:lang w:bidi="ar"/>
              </w:rPr>
              <w:t>分）</w:t>
            </w:r>
          </w:p>
        </w:tc>
        <w:tc>
          <w:tcPr>
            <w:tcW w:w="1420" w:type="pct"/>
            <w:vMerge w:val="restar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资金管理（</w:t>
            </w:r>
            <w:r>
              <w:rPr>
                <w:rFonts w:ascii="Times New Roman" w:hAnsi="Times New Roman" w:eastAsia="仿宋" w:cs="Times New Roman"/>
                <w:color w:val="000000"/>
                <w:kern w:val="0"/>
                <w:sz w:val="22"/>
                <w:szCs w:val="22"/>
                <w:lang w:bidi="ar"/>
              </w:rPr>
              <w:t>8</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预算执行率（</w:t>
            </w:r>
            <w:r>
              <w:rPr>
                <w:rFonts w:ascii="Times New Roman" w:hAnsi="Times New Roman" w:eastAsia="仿宋" w:cs="Times New Roman"/>
                <w:color w:val="000000"/>
                <w:kern w:val="0"/>
                <w:sz w:val="22"/>
                <w:szCs w:val="22"/>
                <w:lang w:bidi="ar"/>
              </w:rPr>
              <w:t>4</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noWrap/>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资金使用合规性（</w:t>
            </w:r>
            <w:r>
              <w:rPr>
                <w:rFonts w:ascii="Times New Roman" w:hAnsi="Times New Roman" w:eastAsia="仿宋" w:cs="Times New Roman"/>
                <w:color w:val="000000"/>
                <w:kern w:val="0"/>
                <w:sz w:val="22"/>
                <w:szCs w:val="22"/>
                <w:lang w:bidi="ar"/>
              </w:rPr>
              <w:t>4</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restar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组织实施（</w:t>
            </w:r>
            <w:r>
              <w:rPr>
                <w:rFonts w:ascii="Times New Roman" w:hAnsi="Times New Roman" w:eastAsia="仿宋" w:cs="Times New Roman"/>
                <w:color w:val="000000"/>
                <w:kern w:val="0"/>
                <w:sz w:val="22"/>
                <w:szCs w:val="22"/>
                <w:lang w:bidi="ar"/>
              </w:rPr>
              <w:t>7</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管理制度健全性（</w:t>
            </w:r>
            <w:r>
              <w:rPr>
                <w:rFonts w:ascii="Times New Roman" w:hAnsi="Times New Roman" w:eastAsia="仿宋" w:cs="Times New Roman"/>
                <w:color w:val="000000"/>
                <w:kern w:val="0"/>
                <w:sz w:val="22"/>
                <w:szCs w:val="22"/>
                <w:lang w:bidi="ar"/>
              </w:rPr>
              <w:t>3</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noWrap/>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noWrap/>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noWrap/>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制度执行有效性（</w:t>
            </w:r>
            <w:r>
              <w:rPr>
                <w:rFonts w:ascii="Times New Roman" w:hAnsi="Times New Roman" w:eastAsia="仿宋" w:cs="Times New Roman"/>
                <w:color w:val="000000"/>
                <w:kern w:val="0"/>
                <w:sz w:val="22"/>
                <w:szCs w:val="22"/>
                <w:lang w:bidi="ar"/>
              </w:rPr>
              <w:t>4</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restart"/>
            <w:tcBorders>
              <w:tl2br w:val="nil"/>
              <w:tr2bl w:val="nil"/>
            </w:tcBorders>
            <w:shd w:val="clear" w:color="auto" w:fill="auto"/>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产出指标（</w:t>
            </w:r>
            <w:r>
              <w:rPr>
                <w:rFonts w:ascii="Times New Roman" w:hAnsi="Times New Roman" w:eastAsia="仿宋" w:cs="Times New Roman"/>
                <w:b/>
                <w:bCs/>
                <w:color w:val="000000"/>
                <w:kern w:val="0"/>
                <w:sz w:val="22"/>
                <w:szCs w:val="22"/>
                <w:lang w:bidi="ar"/>
              </w:rPr>
              <w:t>30</w:t>
            </w:r>
            <w:r>
              <w:rPr>
                <w:rFonts w:hint="eastAsia" w:ascii="仿宋" w:hAnsi="仿宋" w:eastAsia="仿宋" w:cs="仿宋"/>
                <w:b/>
                <w:bCs/>
                <w:color w:val="000000"/>
                <w:kern w:val="0"/>
                <w:sz w:val="22"/>
                <w:szCs w:val="22"/>
                <w:lang w:bidi="ar"/>
              </w:rPr>
              <w:t>分）</w:t>
            </w:r>
          </w:p>
        </w:tc>
        <w:tc>
          <w:tcPr>
            <w:tcW w:w="1420" w:type="pct"/>
            <w:vMerge w:val="restar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数量指标（</w:t>
            </w:r>
            <w:r>
              <w:rPr>
                <w:rFonts w:ascii="Times New Roman" w:hAnsi="Times New Roman" w:eastAsia="仿宋" w:cs="Times New Roman"/>
                <w:color w:val="000000"/>
                <w:kern w:val="0"/>
                <w:sz w:val="22"/>
                <w:szCs w:val="22"/>
                <w:lang w:bidi="ar"/>
              </w:rPr>
              <w:t>10</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新增高标准农田建设面积（</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新增高效节水灌溉面积（</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质量指标（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项目验收合格率（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restar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时效指标（</w:t>
            </w:r>
            <w:r>
              <w:rPr>
                <w:rFonts w:ascii="Times New Roman" w:hAnsi="Times New Roman" w:eastAsia="仿宋" w:cs="Times New Roman"/>
                <w:color w:val="000000"/>
                <w:kern w:val="0"/>
                <w:sz w:val="22"/>
                <w:szCs w:val="22"/>
                <w:lang w:bidi="ar"/>
              </w:rPr>
              <w:t>10</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项目建设期（</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项目验收及时率（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成本指标（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财政资金亩均补助水平（</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restart"/>
            <w:tcBorders>
              <w:tl2br w:val="nil"/>
              <w:tr2bl w:val="nil"/>
            </w:tcBorders>
            <w:shd w:val="clear" w:color="auto" w:fill="auto"/>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效益指标（</w:t>
            </w:r>
            <w:r>
              <w:rPr>
                <w:rFonts w:ascii="Times New Roman" w:hAnsi="Times New Roman" w:eastAsia="仿宋" w:cs="Times New Roman"/>
                <w:b/>
                <w:bCs/>
                <w:color w:val="000000"/>
                <w:kern w:val="0"/>
                <w:sz w:val="22"/>
                <w:szCs w:val="22"/>
                <w:lang w:bidi="ar"/>
              </w:rPr>
              <w:t>40</w:t>
            </w:r>
            <w:r>
              <w:rPr>
                <w:rFonts w:hint="eastAsia" w:ascii="仿宋" w:hAnsi="仿宋" w:eastAsia="仿宋" w:cs="仿宋"/>
                <w:b/>
                <w:bCs/>
                <w:color w:val="000000"/>
                <w:kern w:val="0"/>
                <w:sz w:val="22"/>
                <w:szCs w:val="22"/>
                <w:lang w:bidi="ar"/>
              </w:rPr>
              <w:t>分）</w:t>
            </w:r>
          </w:p>
        </w:tc>
        <w:tc>
          <w:tcPr>
            <w:tcW w:w="1420" w:type="pct"/>
            <w:vMerge w:val="restar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社会效益（</w:t>
            </w:r>
            <w:r>
              <w:rPr>
                <w:rFonts w:ascii="Times New Roman" w:hAnsi="Times New Roman" w:eastAsia="仿宋" w:cs="Times New Roman"/>
                <w:color w:val="000000"/>
                <w:kern w:val="0"/>
                <w:sz w:val="22"/>
                <w:szCs w:val="22"/>
                <w:lang w:bidi="ar"/>
              </w:rPr>
              <w:t>20</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粮食综合生产能力（</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耕地质量提高值（</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水资源利用率提升（</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农业种植结构优化（</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restar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经济效益（</w:t>
            </w:r>
            <w:r>
              <w:rPr>
                <w:rFonts w:ascii="Times New Roman" w:hAnsi="Times New Roman" w:eastAsia="仿宋" w:cs="Times New Roman"/>
                <w:color w:val="000000"/>
                <w:kern w:val="0"/>
                <w:sz w:val="22"/>
                <w:szCs w:val="22"/>
                <w:lang w:bidi="ar"/>
              </w:rPr>
              <w:t>10</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农业人均增加年收入（</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vMerge w:val="continue"/>
            <w:tcBorders>
              <w:tl2br w:val="nil"/>
              <w:tr2bl w:val="nil"/>
            </w:tcBorders>
            <w:shd w:val="clear" w:color="auto" w:fill="auto"/>
            <w:vAlign w:val="center"/>
          </w:tcPr>
          <w:p>
            <w:pPr>
              <w:jc w:val="center"/>
              <w:rPr>
                <w:rFonts w:ascii="仿宋" w:hAnsi="仿宋" w:eastAsia="仿宋" w:cs="仿宋"/>
                <w:color w:val="000000"/>
                <w:sz w:val="22"/>
                <w:szCs w:val="22"/>
              </w:rPr>
            </w:pP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旱涝保收情况（</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可持续影响（</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管护机制有效性（</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508" w:type="pct"/>
            <w:vMerge w:val="continue"/>
            <w:tcBorders>
              <w:tl2br w:val="nil"/>
              <w:tr2bl w:val="nil"/>
            </w:tcBorders>
            <w:shd w:val="clear" w:color="auto" w:fill="auto"/>
            <w:vAlign w:val="center"/>
          </w:tcPr>
          <w:p>
            <w:pPr>
              <w:jc w:val="center"/>
              <w:rPr>
                <w:rFonts w:ascii="仿宋" w:hAnsi="仿宋" w:eastAsia="仿宋" w:cs="仿宋"/>
                <w:b/>
                <w:bCs/>
                <w:color w:val="000000"/>
                <w:sz w:val="22"/>
                <w:szCs w:val="22"/>
              </w:rPr>
            </w:pPr>
          </w:p>
        </w:tc>
        <w:tc>
          <w:tcPr>
            <w:tcW w:w="1420"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满意度（</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c>
          <w:tcPr>
            <w:tcW w:w="2071" w:type="pct"/>
            <w:tcBorders>
              <w:tl2br w:val="nil"/>
              <w:tr2bl w:val="nil"/>
            </w:tcBorders>
            <w:shd w:val="clear" w:color="auto" w:fill="auto"/>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项目区公众满意度（</w:t>
            </w:r>
            <w:r>
              <w:rPr>
                <w:rFonts w:ascii="Times New Roman" w:hAnsi="Times New Roman" w:eastAsia="仿宋" w:cs="Times New Roman"/>
                <w:color w:val="000000"/>
                <w:kern w:val="0"/>
                <w:sz w:val="22"/>
                <w:szCs w:val="22"/>
                <w:lang w:bidi="ar"/>
              </w:rPr>
              <w:t>5</w:t>
            </w:r>
            <w:r>
              <w:rPr>
                <w:rFonts w:hint="eastAsia" w:ascii="仿宋" w:hAnsi="仿宋" w:eastAsia="仿宋" w:cs="仿宋"/>
                <w:color w:val="000000"/>
                <w:kern w:val="0"/>
                <w:sz w:val="22"/>
                <w:szCs w:val="22"/>
                <w:lang w:bidi="ar"/>
              </w:rPr>
              <w:t>分）</w:t>
            </w:r>
          </w:p>
        </w:tc>
      </w:tr>
    </w:tbl>
    <w:p>
      <w:pPr>
        <w:spacing w:before="312" w:beforeLines="100"/>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根据表</w:t>
      </w:r>
      <w:r>
        <w:rPr>
          <w:rFonts w:ascii="Times New Roman" w:hAnsi="Times New Roman" w:eastAsia="仿宋" w:cs="Times New Roman"/>
          <w:color w:val="333333"/>
          <w:shd w:val="clear" w:color="auto" w:fill="FFFFFF"/>
        </w:rPr>
        <w:t>5</w:t>
      </w:r>
      <w:r>
        <w:rPr>
          <w:rFonts w:ascii="仿宋" w:hAnsi="仿宋" w:eastAsia="仿宋"/>
          <w:color w:val="333333"/>
          <w:shd w:val="clear" w:color="auto" w:fill="FFFFFF"/>
        </w:rPr>
        <w:t>展现</w:t>
      </w:r>
      <w:r>
        <w:rPr>
          <w:rFonts w:hint="eastAsia" w:ascii="仿宋" w:hAnsi="仿宋" w:eastAsia="仿宋"/>
          <w:color w:val="333333"/>
          <w:shd w:val="clear" w:color="auto" w:fill="FFFFFF"/>
        </w:rPr>
        <w:t>高标准农田建设</w:t>
      </w:r>
      <w:r>
        <w:rPr>
          <w:rFonts w:ascii="仿宋" w:hAnsi="仿宋" w:eastAsia="仿宋"/>
          <w:color w:val="333333"/>
          <w:shd w:val="clear" w:color="auto" w:fill="FFFFFF"/>
        </w:rPr>
        <w:t>专项资金支出绩效评价基础指标体系，</w:t>
      </w:r>
      <w:r>
        <w:rPr>
          <w:rFonts w:hint="eastAsia" w:ascii="仿宋" w:hAnsi="仿宋" w:eastAsia="仿宋"/>
          <w:color w:val="333333"/>
          <w:shd w:val="clear" w:color="auto" w:fill="FFFFFF"/>
        </w:rPr>
        <w:t>整体指标体系框架设置包括决策、过程、产出、效益四个一级指标，分别占</w:t>
      </w:r>
      <w:r>
        <w:rPr>
          <w:rFonts w:ascii="Times New Roman" w:hAnsi="Times New Roman" w:eastAsia="仿宋" w:cs="Times New Roman"/>
          <w:color w:val="333333"/>
          <w:shd w:val="clear" w:color="auto" w:fill="FFFFFF"/>
        </w:rPr>
        <w:t>15</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15</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30</w:t>
      </w:r>
      <w:r>
        <w:rPr>
          <w:rFonts w:hint="eastAsia" w:ascii="仿宋" w:hAnsi="仿宋" w:eastAsia="仿宋"/>
          <w:color w:val="333333"/>
          <w:shd w:val="clear" w:color="auto" w:fill="FFFFFF"/>
        </w:rPr>
        <w:t>%和</w:t>
      </w:r>
      <w:r>
        <w:rPr>
          <w:rFonts w:ascii="Times New Roman" w:hAnsi="Times New Roman" w:eastAsia="仿宋" w:cs="Times New Roman"/>
          <w:color w:val="333333"/>
          <w:shd w:val="clear" w:color="auto" w:fill="FFFFFF"/>
        </w:rPr>
        <w:t>40</w:t>
      </w:r>
      <w:r>
        <w:rPr>
          <w:rFonts w:hint="eastAsia" w:ascii="仿宋" w:hAnsi="仿宋" w:eastAsia="仿宋"/>
          <w:color w:val="333333"/>
          <w:shd w:val="clear" w:color="auto" w:fill="FFFFFF"/>
        </w:rPr>
        <w:t>%。其中决策指标包括项目立项、绩效目标和资金投入三个二级指标；过程指标包括资金管理和组织实施两个二级指标；产出指标包括实际完成数量、完成质量、完成及时率和成本节约四个二级指标；效益指标包括社会效益、经济效益、可持续影响和满意度四个二级指标。围绕高标准农田建设专项资金的特点，专项资金评价工作组继续在二级指标下构建更为细致的三级指标，进一步完善评价指标体系。</w:t>
      </w:r>
    </w:p>
    <w:p>
      <w:pPr>
        <w:spacing w:before="156" w:beforeLines="50" w:after="156" w:afterLines="50"/>
        <w:ind w:firstLine="643" w:firstLineChars="200"/>
        <w:outlineLvl w:val="1"/>
        <w:rPr>
          <w:rFonts w:ascii="仿宋" w:hAnsi="仿宋" w:eastAsia="仿宋" w:cs="黑体"/>
          <w:b/>
          <w:bCs/>
          <w:sz w:val="32"/>
          <w:szCs w:val="32"/>
        </w:rPr>
      </w:pPr>
      <w:bookmarkStart w:id="41" w:name="_Toc829831805"/>
      <w:bookmarkStart w:id="42" w:name="_Toc25245"/>
      <w:r>
        <w:rPr>
          <w:rFonts w:hint="eastAsia" w:ascii="仿宋" w:hAnsi="仿宋" w:eastAsia="仿宋" w:cs="黑体"/>
          <w:b/>
          <w:bCs/>
          <w:sz w:val="32"/>
          <w:szCs w:val="32"/>
        </w:rPr>
        <w:t>七、评价方法</w:t>
      </w:r>
      <w:bookmarkEnd w:id="41"/>
      <w:bookmarkEnd w:id="42"/>
    </w:p>
    <w:p>
      <w:pPr>
        <w:ind w:firstLine="560" w:firstLineChars="200"/>
        <w:rPr>
          <w:rFonts w:ascii="仿宋" w:hAnsi="仿宋" w:eastAsia="仿宋"/>
          <w:color w:val="333333"/>
          <w:shd w:val="clear" w:color="auto" w:fill="FFFFFF"/>
        </w:rPr>
      </w:pPr>
      <w:bookmarkStart w:id="43" w:name="_Toc1522479775"/>
      <w:r>
        <w:rPr>
          <w:rFonts w:hint="eastAsia" w:ascii="仿宋" w:hAnsi="仿宋" w:eastAsia="仿宋"/>
          <w:color w:val="333333"/>
          <w:shd w:val="clear" w:color="auto" w:fill="FFFFFF"/>
        </w:rPr>
        <w:t>项目评价工作组拟采用成效分析法、比较法、案卷研究法和公众评判法等多种方法，从资金决策、资金管理和资金绩效等方面，综合考察资金的使用情况、取得的成效，分析资金管理过程中存在的问题及原因，并针对性地提出建议。</w:t>
      </w:r>
    </w:p>
    <w:p>
      <w:pPr>
        <w:ind w:firstLine="562" w:firstLineChars="200"/>
        <w:outlineLvl w:val="2"/>
        <w:rPr>
          <w:rFonts w:ascii="仿宋" w:hAnsi="仿宋" w:eastAsia="仿宋" w:cs="Times New Roman"/>
          <w:b/>
          <w:bCs/>
          <w:szCs w:val="28"/>
        </w:rPr>
      </w:pPr>
      <w:bookmarkStart w:id="44" w:name="_Toc14156"/>
      <w:bookmarkStart w:id="45" w:name="_Toc124892203"/>
      <w:r>
        <w:rPr>
          <w:rFonts w:hint="eastAsia" w:ascii="仿宋" w:hAnsi="仿宋" w:eastAsia="仿宋" w:cs="Times New Roman"/>
          <w:b/>
          <w:bCs/>
          <w:szCs w:val="28"/>
        </w:rPr>
        <w:t>（一）成效分析法</w:t>
      </w:r>
      <w:bookmarkEnd w:id="44"/>
      <w:bookmarkEnd w:id="45"/>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指将投入与产出、效益进行关联性分析的方法。通过对资金的预算执行情况、项目管理资料、绩效考核、审计等相关资料进行研究、比较、分析，提取重要信息，将资金投入与产出、效益进行关联性分析，评价资金绩效目标的实现程度。</w:t>
      </w:r>
    </w:p>
    <w:p>
      <w:pPr>
        <w:ind w:firstLine="562" w:firstLineChars="200"/>
        <w:outlineLvl w:val="2"/>
        <w:rPr>
          <w:rFonts w:ascii="仿宋" w:hAnsi="仿宋" w:eastAsia="仿宋" w:cs="Times New Roman"/>
          <w:b/>
          <w:bCs/>
          <w:szCs w:val="28"/>
        </w:rPr>
      </w:pPr>
      <w:bookmarkStart w:id="46" w:name="_Toc124892204"/>
      <w:bookmarkStart w:id="47" w:name="_Toc4702"/>
      <w:r>
        <w:rPr>
          <w:rFonts w:hint="eastAsia" w:ascii="仿宋" w:hAnsi="仿宋" w:eastAsia="仿宋" w:cs="Times New Roman"/>
          <w:b/>
          <w:bCs/>
          <w:szCs w:val="28"/>
        </w:rPr>
        <w:t>（二）比较法</w:t>
      </w:r>
      <w:bookmarkEnd w:id="46"/>
      <w:bookmarkEnd w:id="47"/>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指将项目实施情况与绩效目标、不同地区同类支出情况进行比较的方法。充分运用国家、省和各市县（区）部门发布的政策、文件等资料，对比资金实际情况，找出差距与不足，对项目的绩效目标进行分析与评价。</w:t>
      </w:r>
    </w:p>
    <w:p>
      <w:pPr>
        <w:ind w:firstLine="562" w:firstLineChars="200"/>
        <w:outlineLvl w:val="2"/>
        <w:rPr>
          <w:rFonts w:ascii="仿宋" w:hAnsi="仿宋" w:eastAsia="仿宋" w:cs="Times New Roman"/>
          <w:b/>
          <w:bCs/>
          <w:szCs w:val="28"/>
        </w:rPr>
      </w:pPr>
      <w:bookmarkStart w:id="48" w:name="_Toc1401"/>
      <w:r>
        <w:rPr>
          <w:rFonts w:hint="eastAsia" w:ascii="仿宋" w:hAnsi="仿宋" w:eastAsia="仿宋" w:cs="Times New Roman"/>
          <w:b/>
          <w:bCs/>
          <w:szCs w:val="28"/>
        </w:rPr>
        <w:t>（三）案卷研究法</w:t>
      </w:r>
      <w:bookmarkEnd w:id="48"/>
    </w:p>
    <w:p>
      <w:pPr>
        <w:ind w:firstLine="560" w:firstLineChars="200"/>
        <w:rPr>
          <w:rFonts w:ascii="仿宋" w:hAnsi="仿宋" w:eastAsia="仿宋"/>
        </w:rPr>
      </w:pPr>
      <w:r>
        <w:rPr>
          <w:rFonts w:hint="eastAsia" w:ascii="仿宋" w:hAnsi="仿宋" w:eastAsia="仿宋"/>
        </w:rPr>
        <w:t>指结合项目相关的文件通知、管理办法、实施方案、工作计划、会议纪要等相关资料，对项目投入决策、管理过程、产出及效益的政策相关性、可持续性和影响等情况进行分析，提取重要信息，支撑对某一指标的考核评价。</w:t>
      </w:r>
    </w:p>
    <w:p>
      <w:pPr>
        <w:ind w:firstLine="562" w:firstLineChars="200"/>
        <w:outlineLvl w:val="2"/>
        <w:rPr>
          <w:rFonts w:ascii="仿宋" w:hAnsi="仿宋" w:eastAsia="仿宋" w:cs="Times New Roman"/>
          <w:b/>
          <w:bCs/>
          <w:szCs w:val="28"/>
        </w:rPr>
      </w:pPr>
      <w:bookmarkStart w:id="49" w:name="_Toc12329"/>
      <w:r>
        <w:rPr>
          <w:rFonts w:hint="eastAsia" w:ascii="仿宋" w:hAnsi="仿宋" w:eastAsia="仿宋" w:cs="Times New Roman"/>
          <w:b/>
          <w:bCs/>
          <w:szCs w:val="28"/>
        </w:rPr>
        <w:t>（四）公众评判法</w:t>
      </w:r>
      <w:bookmarkEnd w:id="49"/>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指通过专家评估、公众问卷及抽样调查等方式进行评判的方法。一是通过与相关部门座谈，了解项目收支情况、组织管理情况；二是通过实地考察项目开展地，同相关人员交流，了解项目投入与实施过程的执行情况。</w:t>
      </w:r>
    </w:p>
    <w:p>
      <w:pPr>
        <w:spacing w:before="156" w:beforeLines="50" w:after="156" w:afterLines="50"/>
        <w:ind w:firstLine="643" w:firstLineChars="200"/>
        <w:outlineLvl w:val="1"/>
        <w:rPr>
          <w:rFonts w:ascii="仿宋" w:hAnsi="仿宋" w:eastAsia="仿宋" w:cs="黑体"/>
          <w:b/>
          <w:bCs/>
          <w:sz w:val="32"/>
          <w:szCs w:val="32"/>
        </w:rPr>
      </w:pPr>
      <w:bookmarkStart w:id="50" w:name="_Toc12612"/>
      <w:r>
        <w:rPr>
          <w:rFonts w:hint="eastAsia" w:ascii="仿宋" w:hAnsi="仿宋" w:eastAsia="仿宋" w:cs="黑体"/>
          <w:b/>
          <w:bCs/>
          <w:sz w:val="32"/>
          <w:szCs w:val="32"/>
        </w:rPr>
        <w:t>八、评价标准</w:t>
      </w:r>
      <w:bookmarkEnd w:id="43"/>
      <w:bookmarkEnd w:id="50"/>
    </w:p>
    <w:p>
      <w:pPr>
        <w:ind w:firstLine="562"/>
        <w:outlineLvl w:val="2"/>
        <w:rPr>
          <w:rFonts w:ascii="仿宋" w:hAnsi="仿宋" w:eastAsia="仿宋" w:cs="Times New Roman"/>
          <w:b/>
          <w:bCs/>
          <w:szCs w:val="28"/>
        </w:rPr>
      </w:pPr>
      <w:bookmarkStart w:id="51" w:name="_Toc119967319"/>
      <w:bookmarkStart w:id="52" w:name="_Toc17122"/>
      <w:bookmarkStart w:id="53" w:name="_Toc124892209"/>
      <w:r>
        <w:rPr>
          <w:rFonts w:hint="eastAsia" w:ascii="仿宋" w:hAnsi="仿宋" w:eastAsia="仿宋" w:cs="Times New Roman"/>
          <w:b/>
          <w:bCs/>
          <w:szCs w:val="28"/>
        </w:rPr>
        <w:t>（一）评价标准</w:t>
      </w:r>
      <w:bookmarkEnd w:id="51"/>
      <w:bookmarkEnd w:id="52"/>
      <w:bookmarkEnd w:id="53"/>
    </w:p>
    <w:p>
      <w:pPr>
        <w:ind w:firstLine="560" w:firstLineChars="200"/>
        <w:rPr>
          <w:rFonts w:ascii="仿宋" w:hAnsi="仿宋" w:eastAsia="仿宋"/>
          <w:color w:val="333333"/>
          <w:shd w:val="clear" w:color="auto" w:fill="FFFFFF"/>
        </w:rPr>
      </w:pPr>
      <w:bookmarkStart w:id="54" w:name="_Hlk115356146"/>
      <w:r>
        <w:rPr>
          <w:rFonts w:hint="eastAsia" w:ascii="仿宋" w:hAnsi="仿宋" w:eastAsia="仿宋"/>
          <w:color w:val="333333"/>
          <w:shd w:val="clear" w:color="auto" w:fill="FFFFFF"/>
        </w:rPr>
        <w:t>绩效评价标准的设计中，主要是参照计划标准和行业标准制定。对于预先已制定了目标、计划、预算、定额类的指标，直接用实际情况与计划情况相比较来进行评价，对于预先没有制定计划目标的，一般行业标准来进行评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w:t>
      </w:r>
      <w:r>
        <w:rPr>
          <w:rFonts w:ascii="仿宋" w:hAnsi="仿宋" w:eastAsia="仿宋"/>
          <w:color w:val="333333"/>
          <w:shd w:val="clear" w:color="auto" w:fill="FFFFFF"/>
        </w:rPr>
        <w:t>.</w:t>
      </w:r>
      <w:r>
        <w:rPr>
          <w:rFonts w:hint="eastAsia" w:ascii="仿宋" w:hAnsi="仿宋" w:eastAsia="仿宋"/>
          <w:color w:val="333333"/>
          <w:shd w:val="clear" w:color="auto" w:fill="FFFFFF"/>
        </w:rPr>
        <w:t>计划标准。以预先制定的目标、计划、预算、定额等作为评价标准。</w:t>
      </w:r>
    </w:p>
    <w:p>
      <w:pPr>
        <w:ind w:firstLine="560" w:firstLineChars="200"/>
        <w:rPr>
          <w:rFonts w:ascii="仿宋" w:hAnsi="仿宋" w:eastAsia="仿宋" w:cs="Cambria"/>
        </w:rPr>
      </w:pPr>
      <w:r>
        <w:rPr>
          <w:rFonts w:ascii="Times New Roman" w:hAnsi="Times New Roman" w:eastAsia="仿宋" w:cs="Times New Roman"/>
          <w:color w:val="333333"/>
          <w:shd w:val="clear" w:color="auto" w:fill="FFFFFF"/>
        </w:rPr>
        <w:t>2</w:t>
      </w:r>
      <w:r>
        <w:rPr>
          <w:rFonts w:ascii="仿宋" w:hAnsi="仿宋" w:eastAsia="仿宋"/>
          <w:color w:val="333333"/>
          <w:shd w:val="clear" w:color="auto" w:fill="FFFFFF"/>
        </w:rPr>
        <w:t>.</w:t>
      </w:r>
      <w:r>
        <w:rPr>
          <w:rFonts w:hint="eastAsia" w:ascii="仿宋" w:hAnsi="仿宋" w:eastAsia="仿宋"/>
          <w:color w:val="333333"/>
          <w:shd w:val="clear" w:color="auto" w:fill="FFFFFF"/>
        </w:rPr>
        <w:t>行业标准。参照国家公布的行业指标数据制定的评价标准。如《高标准农田建设通则》（</w:t>
      </w:r>
      <w:r>
        <w:rPr>
          <w:rFonts w:ascii="Times New Roman" w:hAnsi="Times New Roman" w:eastAsia="仿宋" w:cs="Times New Roman"/>
          <w:color w:val="333333"/>
          <w:shd w:val="clear" w:color="auto" w:fill="FFFFFF"/>
        </w:rPr>
        <w:t>GB</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T</w:t>
      </w:r>
      <w:r>
        <w:rPr>
          <w:rFonts w:ascii="仿宋" w:hAnsi="仿宋" w:eastAsia="仿宋"/>
          <w:color w:val="333333"/>
          <w:shd w:val="clear" w:color="auto" w:fill="FFFFFF"/>
        </w:rPr>
        <w:t xml:space="preserve"> </w:t>
      </w:r>
      <w:r>
        <w:rPr>
          <w:rFonts w:ascii="Times New Roman" w:hAnsi="Times New Roman" w:eastAsia="仿宋" w:cs="Times New Roman"/>
          <w:color w:val="333333"/>
          <w:shd w:val="clear" w:color="auto" w:fill="FFFFFF"/>
        </w:rPr>
        <w:t>30600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w:t>
      </w:r>
      <w:r>
        <w:rPr>
          <w:rFonts w:ascii="仿宋" w:hAnsi="仿宋" w:eastAsia="仿宋"/>
          <w:color w:val="333333"/>
          <w:shd w:val="clear" w:color="auto" w:fill="FFFFFF"/>
        </w:rPr>
        <w:t>《高标准农田建设评价规范》（</w:t>
      </w:r>
      <w:r>
        <w:rPr>
          <w:rFonts w:ascii="Times New Roman" w:hAnsi="Times New Roman" w:eastAsia="仿宋" w:cs="Times New Roman"/>
          <w:color w:val="333333"/>
          <w:shd w:val="clear" w:color="auto" w:fill="FFFFFF"/>
        </w:rPr>
        <w:t>GB</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T</w:t>
      </w:r>
      <w:r>
        <w:rPr>
          <w:rFonts w:ascii="仿宋" w:hAnsi="仿宋" w:eastAsia="仿宋"/>
          <w:color w:val="333333"/>
          <w:shd w:val="clear" w:color="auto" w:fill="FFFFFF"/>
        </w:rPr>
        <w:t xml:space="preserve"> </w:t>
      </w:r>
      <w:r>
        <w:rPr>
          <w:rFonts w:ascii="Times New Roman" w:hAnsi="Times New Roman" w:eastAsia="仿宋" w:cs="Times New Roman"/>
          <w:color w:val="333333"/>
          <w:shd w:val="clear" w:color="auto" w:fill="FFFFFF"/>
        </w:rPr>
        <w:t>33130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2016</w:t>
      </w:r>
      <w:r>
        <w:rPr>
          <w:rFonts w:ascii="仿宋" w:hAnsi="仿宋" w:eastAsia="仿宋"/>
        </w:rPr>
        <w:t>）</w:t>
      </w:r>
      <w:r>
        <w:rPr>
          <w:rFonts w:hint="eastAsia" w:ascii="仿宋" w:hAnsi="仿宋" w:eastAsia="仿宋"/>
        </w:rPr>
        <w:t>、</w:t>
      </w:r>
      <w:r>
        <w:rPr>
          <w:rFonts w:hint="eastAsia" w:ascii="仿宋" w:hAnsi="仿宋" w:eastAsia="仿宋"/>
          <w:color w:val="333333"/>
          <w:shd w:val="clear" w:color="auto" w:fill="FFFFFF"/>
        </w:rPr>
        <w:t>《农用地质量分等规程》（</w:t>
      </w:r>
      <w:r>
        <w:rPr>
          <w:rFonts w:ascii="Times New Roman" w:hAnsi="Times New Roman" w:eastAsia="仿宋" w:cs="Times New Roman"/>
          <w:color w:val="333333"/>
          <w:shd w:val="clear" w:color="auto" w:fill="FFFFFF"/>
        </w:rPr>
        <w:t>GB</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T</w:t>
      </w:r>
      <w:r>
        <w:rPr>
          <w:rFonts w:ascii="仿宋" w:hAnsi="仿宋" w:eastAsia="仿宋"/>
          <w:color w:val="333333"/>
          <w:shd w:val="clear" w:color="auto" w:fill="FFFFFF"/>
        </w:rPr>
        <w:t xml:space="preserve"> </w:t>
      </w:r>
      <w:r>
        <w:rPr>
          <w:rFonts w:ascii="Times New Roman" w:hAnsi="Times New Roman" w:eastAsia="仿宋" w:cs="Times New Roman"/>
          <w:color w:val="333333"/>
          <w:shd w:val="clear" w:color="auto" w:fill="FFFFFF"/>
        </w:rPr>
        <w:t>28407</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2012</w:t>
      </w:r>
      <w:r>
        <w:rPr>
          <w:rFonts w:hint="eastAsia" w:ascii="仿宋" w:hAnsi="仿宋" w:eastAsia="仿宋"/>
          <w:color w:val="333333"/>
          <w:shd w:val="clear" w:color="auto" w:fill="FFFFFF"/>
        </w:rPr>
        <w:t>）、</w:t>
      </w:r>
      <w:r>
        <w:rPr>
          <w:rFonts w:ascii="仿宋" w:hAnsi="仿宋" w:eastAsia="仿宋"/>
        </w:rPr>
        <w:t>《灌溉与排水工程设计标准》</w:t>
      </w:r>
      <w:r>
        <w:rPr>
          <w:rFonts w:hint="eastAsia" w:ascii="仿宋" w:hAnsi="仿宋" w:eastAsia="仿宋"/>
        </w:rPr>
        <w:t>（</w:t>
      </w:r>
      <w:r>
        <w:rPr>
          <w:rFonts w:ascii="Times New Roman" w:hAnsi="Times New Roman" w:eastAsia="仿宋" w:cs="Times New Roman"/>
        </w:rPr>
        <w:t>GB50288</w:t>
      </w:r>
      <w:r>
        <w:rPr>
          <w:rFonts w:ascii="仿宋" w:hAnsi="仿宋" w:eastAsia="仿宋"/>
        </w:rPr>
        <w:t>-</w:t>
      </w:r>
      <w:r>
        <w:rPr>
          <w:rFonts w:ascii="Times New Roman" w:hAnsi="Times New Roman" w:eastAsia="仿宋" w:cs="Times New Roman"/>
        </w:rPr>
        <w:t>2018</w:t>
      </w:r>
      <w:r>
        <w:rPr>
          <w:rFonts w:hint="eastAsia" w:ascii="仿宋" w:hAnsi="仿宋" w:eastAsia="仿宋"/>
        </w:rPr>
        <w:t>）</w:t>
      </w:r>
      <w:r>
        <w:rPr>
          <w:rFonts w:hint="eastAsia" w:ascii="仿宋" w:hAnsi="仿宋" w:eastAsia="仿宋"/>
          <w:color w:val="333333"/>
          <w:shd w:val="clear" w:color="auto" w:fill="FFFFFF"/>
        </w:rPr>
        <w:t>等文件中的相关规定作为评价标准。</w:t>
      </w:r>
    </w:p>
    <w:p>
      <w:pPr>
        <w:ind w:firstLine="562"/>
        <w:outlineLvl w:val="2"/>
        <w:rPr>
          <w:rFonts w:ascii="仿宋" w:hAnsi="仿宋" w:eastAsia="仿宋" w:cs="Times New Roman"/>
          <w:b/>
          <w:bCs/>
          <w:szCs w:val="28"/>
        </w:rPr>
      </w:pPr>
      <w:bookmarkStart w:id="55" w:name="_Toc17902"/>
      <w:r>
        <w:rPr>
          <w:rFonts w:hint="eastAsia" w:ascii="仿宋" w:hAnsi="仿宋" w:eastAsia="仿宋" w:cs="Times New Roman"/>
          <w:b/>
          <w:bCs/>
          <w:szCs w:val="28"/>
        </w:rPr>
        <w:t>（二）评价依据</w:t>
      </w:r>
      <w:bookmarkEnd w:id="55"/>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w:t>
      </w:r>
      <w:r>
        <w:rPr>
          <w:rFonts w:ascii="仿宋" w:hAnsi="仿宋" w:eastAsia="仿宋"/>
          <w:color w:val="333333"/>
          <w:shd w:val="clear" w:color="auto" w:fill="FFFFFF"/>
        </w:rPr>
        <w:t>.</w:t>
      </w:r>
      <w:r>
        <w:rPr>
          <w:rFonts w:hint="eastAsia" w:ascii="仿宋" w:hAnsi="仿宋" w:eastAsia="仿宋"/>
          <w:color w:val="333333"/>
          <w:shd w:val="clear" w:color="auto" w:fill="FFFFFF"/>
        </w:rPr>
        <w:t>《中华人民共和国预算法》（</w:t>
      </w:r>
      <w:r>
        <w:rPr>
          <w:rFonts w:ascii="Times New Roman" w:hAnsi="Times New Roman" w:eastAsia="仿宋" w:cs="Times New Roman"/>
          <w:color w:val="333333"/>
          <w:shd w:val="clear" w:color="auto" w:fill="FFFFFF"/>
        </w:rPr>
        <w:t>2018</w:t>
      </w:r>
      <w:r>
        <w:rPr>
          <w:rFonts w:hint="eastAsia" w:ascii="仿宋" w:hAnsi="仿宋" w:eastAsia="仿宋"/>
          <w:color w:val="333333"/>
          <w:shd w:val="clear" w:color="auto" w:fill="FFFFFF"/>
        </w:rPr>
        <w:t>年修订）</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2</w:t>
      </w:r>
      <w:r>
        <w:rPr>
          <w:rFonts w:ascii="仿宋" w:hAnsi="仿宋" w:eastAsia="仿宋"/>
          <w:color w:val="333333"/>
          <w:shd w:val="clear" w:color="auto" w:fill="FFFFFF"/>
        </w:rPr>
        <w:t>.</w:t>
      </w:r>
      <w:r>
        <w:rPr>
          <w:rFonts w:hint="eastAsia" w:ascii="仿宋" w:hAnsi="仿宋" w:eastAsia="仿宋"/>
          <w:color w:val="333333"/>
          <w:shd w:val="clear" w:color="auto" w:fill="FFFFFF"/>
        </w:rPr>
        <w:t>中华人民共和国预算法实施条例（中华人民共和国国务院令第</w:t>
      </w:r>
      <w:r>
        <w:rPr>
          <w:rFonts w:ascii="Times New Roman" w:hAnsi="Times New Roman" w:eastAsia="仿宋" w:cs="Times New Roman"/>
          <w:color w:val="333333"/>
          <w:shd w:val="clear" w:color="auto" w:fill="FFFFFF"/>
        </w:rPr>
        <w:t>729</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3</w:t>
      </w:r>
      <w:r>
        <w:rPr>
          <w:rFonts w:ascii="仿宋" w:hAnsi="仿宋" w:eastAsia="仿宋"/>
          <w:color w:val="333333"/>
          <w:shd w:val="clear" w:color="auto" w:fill="FFFFFF"/>
        </w:rPr>
        <w:t>.</w:t>
      </w:r>
      <w:r>
        <w:rPr>
          <w:rFonts w:hint="eastAsia" w:ascii="仿宋" w:hAnsi="仿宋" w:eastAsia="仿宋"/>
          <w:color w:val="333333"/>
          <w:shd w:val="clear" w:color="auto" w:fill="FFFFFF"/>
        </w:rPr>
        <w:t>《中共中央</w:t>
      </w:r>
      <w:r>
        <w:rPr>
          <w:rFonts w:ascii="仿宋" w:hAnsi="仿宋" w:eastAsia="仿宋"/>
          <w:color w:val="333333"/>
          <w:shd w:val="clear" w:color="auto" w:fill="FFFFFF"/>
        </w:rPr>
        <w:t xml:space="preserve"> </w:t>
      </w:r>
      <w:r>
        <w:rPr>
          <w:rFonts w:hint="eastAsia" w:ascii="仿宋" w:hAnsi="仿宋" w:eastAsia="仿宋"/>
          <w:color w:val="333333"/>
          <w:shd w:val="clear" w:color="auto" w:fill="FFFFFF"/>
        </w:rPr>
        <w:t>国务院关于全面实施预算绩效管理的意见》（中发〔</w:t>
      </w:r>
      <w:r>
        <w:rPr>
          <w:rFonts w:ascii="Times New Roman" w:hAnsi="Times New Roman" w:eastAsia="仿宋" w:cs="Times New Roman"/>
          <w:color w:val="333333"/>
          <w:shd w:val="clear" w:color="auto" w:fill="FFFFFF"/>
        </w:rPr>
        <w:t>2018</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34</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4</w:t>
      </w:r>
      <w:r>
        <w:rPr>
          <w:rFonts w:ascii="仿宋" w:hAnsi="仿宋" w:eastAsia="仿宋"/>
          <w:color w:val="333333"/>
          <w:shd w:val="clear" w:color="auto" w:fill="FFFFFF"/>
        </w:rPr>
        <w:t>.</w:t>
      </w:r>
      <w:r>
        <w:rPr>
          <w:rFonts w:hint="eastAsia" w:ascii="仿宋" w:hAnsi="仿宋" w:eastAsia="仿宋"/>
          <w:color w:val="333333"/>
          <w:shd w:val="clear" w:color="auto" w:fill="FFFFFF"/>
        </w:rPr>
        <w:t>《关于贯彻落实</w:t>
      </w:r>
      <w:r>
        <w:rPr>
          <w:rFonts w:ascii="仿宋" w:hAnsi="仿宋" w:eastAsia="仿宋"/>
          <w:color w:val="333333"/>
          <w:shd w:val="clear" w:color="auto" w:fill="FFFFFF"/>
        </w:rPr>
        <w:t>&lt;</w:t>
      </w:r>
      <w:r>
        <w:rPr>
          <w:rFonts w:hint="eastAsia" w:ascii="仿宋" w:hAnsi="仿宋" w:eastAsia="仿宋"/>
          <w:color w:val="333333"/>
          <w:shd w:val="clear" w:color="auto" w:fill="FFFFFF"/>
        </w:rPr>
        <w:t>中共中央</w:t>
      </w:r>
      <w:r>
        <w:rPr>
          <w:rFonts w:ascii="仿宋" w:hAnsi="仿宋" w:eastAsia="仿宋"/>
          <w:color w:val="333333"/>
          <w:shd w:val="clear" w:color="auto" w:fill="FFFFFF"/>
        </w:rPr>
        <w:t xml:space="preserve"> </w:t>
      </w:r>
      <w:r>
        <w:rPr>
          <w:rFonts w:hint="eastAsia" w:ascii="仿宋" w:hAnsi="仿宋" w:eastAsia="仿宋"/>
          <w:color w:val="333333"/>
          <w:shd w:val="clear" w:color="auto" w:fill="FFFFFF"/>
        </w:rPr>
        <w:t>国务院关于全面实施预算绩效管理的意见</w:t>
      </w:r>
      <w:r>
        <w:rPr>
          <w:rFonts w:ascii="仿宋" w:hAnsi="仿宋" w:eastAsia="仿宋"/>
          <w:color w:val="333333"/>
          <w:shd w:val="clear" w:color="auto" w:fill="FFFFFF"/>
        </w:rPr>
        <w:t>&gt;</w:t>
      </w:r>
      <w:r>
        <w:rPr>
          <w:rFonts w:hint="eastAsia" w:ascii="仿宋" w:hAnsi="仿宋" w:eastAsia="仿宋"/>
          <w:color w:val="333333"/>
          <w:shd w:val="clear" w:color="auto" w:fill="FFFFFF"/>
        </w:rPr>
        <w:t>的通知》（财预〔</w:t>
      </w:r>
      <w:r>
        <w:rPr>
          <w:rFonts w:ascii="Times New Roman" w:hAnsi="Times New Roman" w:eastAsia="仿宋" w:cs="Times New Roman"/>
          <w:color w:val="333333"/>
          <w:shd w:val="clear" w:color="auto" w:fill="FFFFFF"/>
        </w:rPr>
        <w:t>2018</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167</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5</w:t>
      </w:r>
      <w:r>
        <w:rPr>
          <w:rFonts w:ascii="仿宋" w:hAnsi="仿宋" w:eastAsia="仿宋"/>
          <w:color w:val="333333"/>
          <w:shd w:val="clear" w:color="auto" w:fill="FFFFFF"/>
        </w:rPr>
        <w:t>.</w:t>
      </w:r>
      <w:r>
        <w:rPr>
          <w:rFonts w:hint="eastAsia" w:ascii="仿宋" w:hAnsi="仿宋" w:eastAsia="仿宋"/>
          <w:color w:val="333333"/>
          <w:shd w:val="clear" w:color="auto" w:fill="FFFFFF"/>
        </w:rPr>
        <w:t>《关于印发</w:t>
      </w:r>
      <w:r>
        <w:rPr>
          <w:rFonts w:ascii="仿宋" w:hAnsi="仿宋" w:eastAsia="仿宋"/>
          <w:color w:val="333333"/>
          <w:shd w:val="clear" w:color="auto" w:fill="FFFFFF"/>
        </w:rPr>
        <w:t>&lt;</w:t>
      </w:r>
      <w:r>
        <w:rPr>
          <w:rFonts w:hint="eastAsia" w:ascii="仿宋" w:hAnsi="仿宋" w:eastAsia="仿宋"/>
          <w:color w:val="333333"/>
          <w:shd w:val="clear" w:color="auto" w:fill="FFFFFF"/>
        </w:rPr>
        <w:t>项目支出绩效评价管理办法</w:t>
      </w:r>
      <w:r>
        <w:rPr>
          <w:rFonts w:ascii="仿宋" w:hAnsi="仿宋" w:eastAsia="仿宋"/>
          <w:color w:val="333333"/>
          <w:shd w:val="clear" w:color="auto" w:fill="FFFFFF"/>
        </w:rPr>
        <w:t>&gt;</w:t>
      </w:r>
      <w:r>
        <w:rPr>
          <w:rFonts w:hint="eastAsia" w:ascii="仿宋" w:hAnsi="仿宋" w:eastAsia="仿宋"/>
          <w:color w:val="333333"/>
          <w:shd w:val="clear" w:color="auto" w:fill="FFFFFF"/>
        </w:rPr>
        <w:t>的通知》（财预〔</w:t>
      </w:r>
      <w:r>
        <w:rPr>
          <w:rFonts w:ascii="Times New Roman" w:hAnsi="Times New Roman" w:eastAsia="仿宋" w:cs="Times New Roman"/>
          <w:color w:val="333333"/>
          <w:shd w:val="clear" w:color="auto" w:fill="FFFFFF"/>
        </w:rPr>
        <w:t>2020</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10</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6</w:t>
      </w:r>
      <w:r>
        <w:rPr>
          <w:rFonts w:ascii="仿宋" w:hAnsi="仿宋" w:eastAsia="仿宋"/>
          <w:color w:val="333333"/>
          <w:shd w:val="clear" w:color="auto" w:fill="FFFFFF"/>
        </w:rPr>
        <w:t>.</w:t>
      </w:r>
      <w:r>
        <w:rPr>
          <w:rFonts w:hint="eastAsia" w:ascii="仿宋" w:hAnsi="仿宋" w:eastAsia="仿宋"/>
          <w:color w:val="333333"/>
          <w:shd w:val="clear" w:color="auto" w:fill="FFFFFF"/>
        </w:rPr>
        <w:t>《国务院关于进一步深化预算管理制度改革的意见》（国发〔</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5</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7</w:t>
      </w:r>
      <w:r>
        <w:rPr>
          <w:rFonts w:ascii="仿宋" w:hAnsi="仿宋" w:eastAsia="仿宋"/>
          <w:color w:val="333333"/>
          <w:shd w:val="clear" w:color="auto" w:fill="FFFFFF"/>
        </w:rPr>
        <w:t>.《关于严格核定土地整治和高标准农田建设项目新增耕地的通知》（国土资发〔</w:t>
      </w:r>
      <w:r>
        <w:rPr>
          <w:rFonts w:ascii="Times New Roman" w:hAnsi="Times New Roman" w:eastAsia="仿宋" w:cs="Times New Roman"/>
          <w:color w:val="333333"/>
          <w:shd w:val="clear" w:color="auto" w:fill="FFFFFF"/>
        </w:rPr>
        <w:t>2018</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31</w:t>
      </w:r>
      <w:r>
        <w:rPr>
          <w:rFonts w:ascii="仿宋" w:hAnsi="仿宋" w:eastAsia="仿宋"/>
          <w:color w:val="333333"/>
          <w:shd w:val="clear" w:color="auto" w:fill="FFFFFF"/>
        </w:rPr>
        <w:t>号）等政策文件。</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8</w:t>
      </w:r>
      <w:r>
        <w:rPr>
          <w:rFonts w:ascii="仿宋" w:hAnsi="仿宋" w:eastAsia="仿宋"/>
          <w:color w:val="333333"/>
          <w:shd w:val="clear" w:color="auto" w:fill="FFFFFF"/>
        </w:rPr>
        <w:t>.《福建省人民政府办公厅关于印发切实加强高标准农田建设提升粮食生产能力实施方案的通知》</w:t>
      </w:r>
      <w:r>
        <w:rPr>
          <w:rFonts w:hint="eastAsia" w:ascii="仿宋" w:hAnsi="仿宋" w:eastAsia="仿宋"/>
          <w:color w:val="333333"/>
          <w:shd w:val="clear" w:color="auto" w:fill="FFFFFF"/>
        </w:rPr>
        <w:t>（</w:t>
      </w:r>
      <w:r>
        <w:rPr>
          <w:rFonts w:ascii="仿宋" w:hAnsi="仿宋" w:eastAsia="仿宋"/>
          <w:color w:val="333333"/>
          <w:shd w:val="clear" w:color="auto" w:fill="FFFFFF"/>
        </w:rPr>
        <w:t>闽政办〔</w:t>
      </w:r>
      <w:r>
        <w:rPr>
          <w:rFonts w:ascii="Times New Roman" w:hAnsi="Times New Roman" w:eastAsia="仿宋" w:cs="Times New Roman"/>
          <w:color w:val="333333"/>
          <w:shd w:val="clear" w:color="auto" w:fill="FFFFFF"/>
        </w:rPr>
        <w:t>2020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30</w:t>
      </w:r>
      <w:r>
        <w:rPr>
          <w:rFonts w:ascii="仿宋" w:hAnsi="仿宋" w:eastAsia="仿宋"/>
          <w:color w:val="333333"/>
          <w:shd w:val="clear" w:color="auto" w:fill="FFFFFF"/>
        </w:rPr>
        <w:t>号</w:t>
      </w:r>
      <w:r>
        <w:rPr>
          <w:rFonts w:hint="eastAsia" w:ascii="仿宋" w:hAnsi="仿宋" w:eastAsia="仿宋"/>
          <w:color w:val="333333"/>
          <w:shd w:val="clear" w:color="auto" w:fill="FFFFFF"/>
        </w:rPr>
        <w:t>）</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9</w:t>
      </w:r>
      <w:r>
        <w:rPr>
          <w:rFonts w:ascii="仿宋" w:hAnsi="仿宋" w:eastAsia="仿宋"/>
          <w:color w:val="333333"/>
          <w:shd w:val="clear" w:color="auto" w:fill="FFFFFF"/>
        </w:rPr>
        <w:t>.</w:t>
      </w:r>
      <w:bookmarkStart w:id="56" w:name="_Hlk115356493"/>
      <w:r>
        <w:rPr>
          <w:rFonts w:hint="eastAsia" w:ascii="仿宋" w:hAnsi="仿宋" w:eastAsia="仿宋"/>
          <w:color w:val="333333"/>
          <w:shd w:val="clear" w:color="auto" w:fill="FFFFFF"/>
        </w:rPr>
        <w:t>《福建省财政厅福建省农业农村厅关于印发&lt;福建省农田建设补助资金管理办法实施细则&gt;的通知》（闽财农〔</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40</w:t>
      </w:r>
      <w:r>
        <w:rPr>
          <w:rFonts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10</w:t>
      </w:r>
      <w:r>
        <w:rPr>
          <w:rFonts w:ascii="仿宋" w:hAnsi="仿宋" w:eastAsia="仿宋"/>
          <w:color w:val="333333"/>
          <w:shd w:val="clear" w:color="auto" w:fill="FFFFFF"/>
        </w:rPr>
        <w:t>.</w:t>
      </w:r>
      <w:r>
        <w:rPr>
          <w:rFonts w:hint="eastAsia" w:ascii="仿宋" w:hAnsi="仿宋" w:eastAsia="仿宋"/>
          <w:color w:val="333333"/>
          <w:shd w:val="clear" w:color="auto" w:fill="FFFFFF"/>
        </w:rPr>
        <w:t>《福建省农业农村厅关于印发&lt;福建省农田建设项目管理实施办法&gt;的通知》（闽农综〔</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127</w:t>
      </w:r>
      <w:r>
        <w:rPr>
          <w:rFonts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11</w:t>
      </w:r>
      <w:r>
        <w:rPr>
          <w:rFonts w:ascii="仿宋" w:hAnsi="仿宋" w:eastAsia="仿宋"/>
          <w:color w:val="333333"/>
          <w:shd w:val="clear" w:color="auto" w:fill="FFFFFF"/>
        </w:rPr>
        <w:t>.</w:t>
      </w:r>
      <w:r>
        <w:rPr>
          <w:rFonts w:hint="eastAsia" w:ascii="仿宋" w:hAnsi="仿宋" w:eastAsia="仿宋"/>
          <w:color w:val="333333"/>
          <w:shd w:val="clear" w:color="auto" w:fill="FFFFFF"/>
        </w:rPr>
        <w:t>《福建省农业农村厅关于做好农田建设项目建后管护工作的通知》（闽农建函〔</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816</w:t>
      </w:r>
      <w:r>
        <w:rPr>
          <w:rFonts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12</w:t>
      </w:r>
      <w:r>
        <w:rPr>
          <w:rFonts w:ascii="仿宋" w:hAnsi="仿宋" w:eastAsia="仿宋"/>
          <w:color w:val="333333"/>
          <w:shd w:val="clear" w:color="auto" w:fill="FFFFFF"/>
        </w:rPr>
        <w:t>.《福建省农业农村厅关于印发高标准农田建设项目竣工验收实施细则的通知》（闽农建函〔</w:t>
      </w:r>
      <w:r>
        <w:rPr>
          <w:rFonts w:ascii="Times New Roman" w:hAnsi="Times New Roman" w:eastAsia="仿宋" w:cs="Times New Roman"/>
          <w:color w:val="333333"/>
          <w:shd w:val="clear" w:color="auto" w:fill="FFFFFF"/>
        </w:rPr>
        <w:t>2021</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735</w:t>
      </w:r>
      <w:r>
        <w:rPr>
          <w:rFonts w:ascii="仿宋" w:hAnsi="仿宋" w:eastAsia="仿宋"/>
          <w:color w:val="333333"/>
          <w:shd w:val="clear" w:color="auto" w:fill="FFFFFF"/>
        </w:rPr>
        <w:t>号）等文件。</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13</w:t>
      </w:r>
      <w:r>
        <w:rPr>
          <w:rFonts w:ascii="仿宋" w:hAnsi="仿宋" w:eastAsia="仿宋"/>
          <w:color w:val="333333"/>
          <w:shd w:val="clear" w:color="auto" w:fill="FFFFFF"/>
        </w:rPr>
        <w:t>.</w:t>
      </w:r>
      <w:r>
        <w:rPr>
          <w:rFonts w:hint="eastAsia" w:ascii="仿宋" w:hAnsi="仿宋" w:eastAsia="仿宋"/>
          <w:color w:val="333333"/>
          <w:shd w:val="clear" w:color="auto" w:fill="FFFFFF"/>
        </w:rPr>
        <w:t>《泉州市农业农村局关于农田建设项目初步设计调整管理的通知》（泉农综〔</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29</w:t>
      </w:r>
      <w:r>
        <w:rPr>
          <w:rFonts w:hint="eastAsia"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14</w:t>
      </w:r>
      <w:r>
        <w:rPr>
          <w:rFonts w:ascii="仿宋" w:hAnsi="仿宋" w:eastAsia="仿宋"/>
          <w:color w:val="333333"/>
          <w:shd w:val="clear" w:color="auto" w:fill="FFFFFF"/>
        </w:rPr>
        <w:t>.《泉州市人民政府办公室关于印发泉州市高标准农田改造提升（农田连片整治）行动计划（</w:t>
      </w:r>
      <w:r>
        <w:rPr>
          <w:rFonts w:ascii="Times New Roman" w:hAnsi="Times New Roman" w:eastAsia="仿宋" w:cs="Times New Roman"/>
          <w:color w:val="333333"/>
          <w:shd w:val="clear" w:color="auto" w:fill="FFFFFF"/>
        </w:rPr>
        <w:t>2022</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2025</w:t>
      </w:r>
      <w:r>
        <w:rPr>
          <w:rFonts w:ascii="仿宋" w:hAnsi="仿宋" w:eastAsia="仿宋"/>
          <w:color w:val="333333"/>
          <w:shd w:val="clear" w:color="auto" w:fill="FFFFFF"/>
        </w:rPr>
        <w:t>年）的通知》（泉政办明传〔</w:t>
      </w:r>
      <w:r>
        <w:rPr>
          <w:rFonts w:ascii="Times New Roman" w:hAnsi="Times New Roman" w:eastAsia="仿宋" w:cs="Times New Roman"/>
          <w:color w:val="333333"/>
          <w:shd w:val="clear" w:color="auto" w:fill="FFFFFF"/>
        </w:rPr>
        <w:t>2022</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12</w:t>
      </w:r>
      <w:r>
        <w:rPr>
          <w:rFonts w:ascii="仿宋" w:hAnsi="仿宋" w:eastAsia="仿宋"/>
          <w:color w:val="333333"/>
          <w:shd w:val="clear" w:color="auto" w:fill="FFFFFF"/>
        </w:rPr>
        <w:t>号）</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15</w:t>
      </w:r>
      <w:r>
        <w:rPr>
          <w:rFonts w:ascii="仿宋" w:hAnsi="仿宋" w:eastAsia="仿宋"/>
          <w:color w:val="333333"/>
          <w:shd w:val="clear" w:color="auto" w:fill="FFFFFF"/>
        </w:rPr>
        <w:t>.《高标准农田建设通则》</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16</w:t>
      </w:r>
      <w:r>
        <w:rPr>
          <w:rFonts w:ascii="仿宋" w:hAnsi="仿宋" w:eastAsia="仿宋"/>
          <w:color w:val="333333"/>
          <w:shd w:val="clear" w:color="auto" w:fill="FFFFFF"/>
        </w:rPr>
        <w:t>.</w:t>
      </w:r>
      <w:r>
        <w:rPr>
          <w:rFonts w:hint="eastAsia" w:ascii="仿宋" w:hAnsi="仿宋" w:eastAsia="仿宋"/>
          <w:color w:val="333333"/>
          <w:shd w:val="clear" w:color="auto" w:fill="FFFFFF"/>
        </w:rPr>
        <w:t>部门职责相关规定，相关行业政策、行业标准及专业技术规范及其他项目相关的政策、文件和管理办法等。</w:t>
      </w:r>
    </w:p>
    <w:bookmarkEnd w:id="54"/>
    <w:bookmarkEnd w:id="56"/>
    <w:p>
      <w:pPr>
        <w:spacing w:before="156" w:beforeLines="50" w:after="156" w:afterLines="50"/>
        <w:ind w:firstLine="643" w:firstLineChars="200"/>
        <w:outlineLvl w:val="1"/>
        <w:rPr>
          <w:rFonts w:ascii="仿宋" w:hAnsi="仿宋" w:eastAsia="仿宋" w:cs="黑体"/>
          <w:b/>
          <w:bCs/>
          <w:sz w:val="32"/>
          <w:szCs w:val="32"/>
        </w:rPr>
      </w:pPr>
      <w:bookmarkStart w:id="57" w:name="_Toc28934"/>
      <w:bookmarkStart w:id="58" w:name="_Toc913884773"/>
      <w:r>
        <w:rPr>
          <w:rFonts w:hint="eastAsia" w:ascii="仿宋" w:hAnsi="仿宋" w:eastAsia="仿宋" w:cs="黑体"/>
          <w:b/>
          <w:bCs/>
          <w:sz w:val="32"/>
          <w:szCs w:val="32"/>
        </w:rPr>
        <w:t>九、评价开展过程</w:t>
      </w:r>
      <w:bookmarkEnd w:id="57"/>
      <w:bookmarkEnd w:id="58"/>
    </w:p>
    <w:p>
      <w:pPr>
        <w:ind w:firstLine="560" w:firstLineChars="200"/>
        <w:rPr>
          <w:rFonts w:ascii="仿宋" w:hAnsi="仿宋" w:eastAsia="仿宋"/>
          <w:color w:val="333333"/>
          <w:shd w:val="clear" w:color="auto" w:fill="FFFFFF"/>
        </w:rPr>
      </w:pPr>
      <w:bookmarkStart w:id="59" w:name="_Hlk115358607"/>
      <w:r>
        <w:rPr>
          <w:rFonts w:hint="eastAsia" w:ascii="仿宋" w:hAnsi="仿宋" w:eastAsia="仿宋"/>
          <w:color w:val="333333"/>
          <w:shd w:val="clear" w:color="auto" w:fill="FFFFFF"/>
        </w:rPr>
        <w:t>本次绩效评价工作共经历前期准备、组织实施、报告形成三个阶段。</w:t>
      </w:r>
    </w:p>
    <w:p>
      <w:pPr>
        <w:ind w:firstLine="562"/>
        <w:outlineLvl w:val="2"/>
        <w:rPr>
          <w:rFonts w:ascii="仿宋" w:hAnsi="仿宋" w:eastAsia="仿宋" w:cs="Times New Roman"/>
          <w:b/>
          <w:bCs/>
          <w:szCs w:val="28"/>
        </w:rPr>
      </w:pPr>
      <w:bookmarkStart w:id="60" w:name="_Toc32566"/>
      <w:r>
        <w:rPr>
          <w:rFonts w:hint="eastAsia" w:ascii="仿宋" w:hAnsi="仿宋" w:eastAsia="仿宋" w:cs="Times New Roman"/>
          <w:b/>
          <w:bCs/>
          <w:szCs w:val="28"/>
        </w:rPr>
        <w:t>（一）前期准备阶段</w:t>
      </w:r>
      <w:bookmarkEnd w:id="60"/>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1</w:t>
      </w:r>
      <w:r>
        <w:rPr>
          <w:rFonts w:ascii="仿宋" w:hAnsi="仿宋" w:eastAsia="仿宋"/>
          <w:color w:val="333333"/>
          <w:shd w:val="clear" w:color="auto" w:fill="FFFFFF"/>
        </w:rPr>
        <w:t>.</w:t>
      </w:r>
      <w:r>
        <w:rPr>
          <w:rFonts w:hint="eastAsia" w:ascii="仿宋" w:hAnsi="仿宋" w:eastAsia="仿宋"/>
          <w:color w:val="333333"/>
          <w:shd w:val="clear" w:color="auto" w:fill="FFFFFF"/>
        </w:rPr>
        <w:t>成立绩效评价工作组</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为做好项目的预算绩效评价工作，研究中心成立了专门的项目绩效评价工作组：福州市韦兰信息科技有限公司惠安财政重点绩效评价团队。</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2</w:t>
      </w:r>
      <w:r>
        <w:rPr>
          <w:rFonts w:ascii="仿宋" w:hAnsi="仿宋" w:eastAsia="仿宋"/>
          <w:color w:val="333333"/>
          <w:shd w:val="clear" w:color="auto" w:fill="FFFFFF"/>
        </w:rPr>
        <w:t>.</w:t>
      </w:r>
      <w:r>
        <w:rPr>
          <w:rFonts w:hint="eastAsia" w:ascii="仿宋" w:hAnsi="仿宋" w:eastAsia="仿宋"/>
          <w:color w:val="333333"/>
          <w:shd w:val="clear" w:color="auto" w:fill="FFFFFF"/>
        </w:rPr>
        <w:t>资料收集与现场沟通</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工作组在明确委托方要求的基础上，对惠安县相关部门所收集的评价工作所需的基础材料（包括：项目绩效自评报告、绩效目标自评表及相关佐证材料；资金拨付材料；项目实施制度及资金管理办法；项目批复文件，建设项目设计报告、竣工验收报告等有关材料），自行收集省内其他地市的相关政策及政策实施状况，其他相关文献资料等，对收集的数据和资料进行整理、汇总、分析。</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w:t>
      </w:r>
      <w:r>
        <w:rPr>
          <w:rFonts w:ascii="Times New Roman" w:hAnsi="Times New Roman" w:eastAsia="仿宋" w:cs="Times New Roman"/>
          <w:color w:val="333333"/>
          <w:shd w:val="clear" w:color="auto" w:fill="FFFFFF"/>
        </w:rPr>
        <w:t>10</w:t>
      </w:r>
      <w:r>
        <w:rPr>
          <w:rFonts w:hint="eastAsia" w:ascii="仿宋" w:hAnsi="仿宋" w:eastAsia="仿宋" w:cs="Times New Roman"/>
          <w:color w:val="333333"/>
          <w:shd w:val="clear" w:color="auto" w:fill="FFFFFF"/>
        </w:rPr>
        <w:t>月</w:t>
      </w:r>
      <w:r>
        <w:rPr>
          <w:rFonts w:hint="eastAsia" w:ascii="仿宋" w:hAnsi="仿宋" w:eastAsia="仿宋"/>
          <w:color w:val="333333"/>
          <w:shd w:val="clear" w:color="auto" w:fill="FFFFFF"/>
        </w:rPr>
        <w:t>，在惠安市财政局的支持下，通过实地调研和同项目相关部门会谈，初步了解项目设立和具体运行的情况。工作组在对项目相关资料充分收集的基础上，结合项目的实际情况，对评价指标体系进行了初步设置。</w:t>
      </w:r>
    </w:p>
    <w:p>
      <w:pPr>
        <w:ind w:firstLine="560" w:firstLineChars="200"/>
        <w:rPr>
          <w:rFonts w:ascii="仿宋" w:hAnsi="仿宋" w:eastAsia="仿宋"/>
          <w:color w:val="333333"/>
          <w:shd w:val="clear" w:color="auto" w:fill="FFFFFF"/>
        </w:rPr>
      </w:pPr>
      <w:r>
        <w:rPr>
          <w:rFonts w:ascii="Times New Roman" w:hAnsi="Times New Roman" w:eastAsia="仿宋" w:cs="Times New Roman"/>
          <w:color w:val="333333"/>
          <w:shd w:val="clear" w:color="auto" w:fill="FFFFFF"/>
        </w:rPr>
        <w:t>3</w:t>
      </w:r>
      <w:r>
        <w:rPr>
          <w:rFonts w:ascii="仿宋" w:hAnsi="仿宋" w:eastAsia="仿宋"/>
          <w:color w:val="333333"/>
          <w:shd w:val="clear" w:color="auto" w:fill="FFFFFF"/>
        </w:rPr>
        <w:t>.</w:t>
      </w:r>
      <w:r>
        <w:rPr>
          <w:rFonts w:hint="eastAsia" w:ascii="仿宋" w:hAnsi="仿宋" w:eastAsia="仿宋"/>
          <w:color w:val="333333"/>
          <w:shd w:val="clear" w:color="auto" w:fill="FFFFFF"/>
        </w:rPr>
        <w:t>制定实施方案</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在收集和审核项目资料的基础上，根据《第三方机构预算绩效评价业务监督管理暂行办法》（财监〔</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4</w:t>
      </w:r>
      <w:r>
        <w:rPr>
          <w:rFonts w:hint="eastAsia" w:ascii="仿宋" w:hAnsi="仿宋" w:eastAsia="仿宋"/>
          <w:color w:val="333333"/>
          <w:shd w:val="clear" w:color="auto" w:fill="FFFFFF"/>
        </w:rPr>
        <w:t>号）和《财政部关于印发项目支出绩效评价管理办法的通知》（财预〔</w:t>
      </w:r>
      <w:r>
        <w:rPr>
          <w:rFonts w:ascii="Times New Roman" w:hAnsi="Times New Roman" w:eastAsia="仿宋" w:cs="Times New Roman"/>
          <w:color w:val="333333"/>
          <w:shd w:val="clear" w:color="auto" w:fill="FFFFFF"/>
        </w:rPr>
        <w:t>2020</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10</w:t>
      </w:r>
      <w:r>
        <w:rPr>
          <w:rFonts w:hint="eastAsia" w:ascii="仿宋" w:hAnsi="仿宋" w:eastAsia="仿宋"/>
          <w:color w:val="333333"/>
          <w:shd w:val="clear" w:color="auto" w:fill="FFFFFF"/>
        </w:rPr>
        <w:t>号）要求，工作组进一步完善项目绩效评价指标体系并制定实施方案。方案中明确了本次绩效评价的人员配置、时间安排、评价目的、评价内容、评价依据、评价方法、指标体系、评价标准、样本确定、调查问卷、资料清单以及工作纪律等。</w:t>
      </w:r>
    </w:p>
    <w:p>
      <w:pPr>
        <w:ind w:firstLine="562"/>
        <w:outlineLvl w:val="2"/>
        <w:rPr>
          <w:rFonts w:ascii="仿宋" w:hAnsi="仿宋" w:eastAsia="仿宋" w:cs="Times New Roman"/>
          <w:b/>
          <w:bCs/>
          <w:szCs w:val="28"/>
        </w:rPr>
      </w:pPr>
      <w:bookmarkStart w:id="61" w:name="_Toc25005"/>
      <w:r>
        <w:rPr>
          <w:rFonts w:hint="eastAsia" w:ascii="仿宋" w:hAnsi="仿宋" w:eastAsia="仿宋" w:cs="Times New Roman"/>
          <w:b/>
          <w:bCs/>
          <w:szCs w:val="28"/>
        </w:rPr>
        <w:t>（二）组织实施阶段</w:t>
      </w:r>
      <w:bookmarkEnd w:id="61"/>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为获取更多第一手客观的评价依据，工作组在与项目单位进行充分沟通的基础上，赴惠安县紫山镇高标准农田建设项目建设地展开现场调研。在现场调研过程中，工作组充分了解项目实施情况，查看相关材料和工作记录，核实资金支出的方向和用途，并将前期梳理的疑问与项目单位交换了意见。</w:t>
      </w:r>
    </w:p>
    <w:p>
      <w:pPr>
        <w:ind w:firstLine="562"/>
        <w:outlineLvl w:val="2"/>
        <w:rPr>
          <w:rFonts w:ascii="仿宋" w:hAnsi="仿宋" w:eastAsia="仿宋" w:cs="Times New Roman"/>
          <w:b/>
          <w:bCs/>
          <w:szCs w:val="28"/>
        </w:rPr>
      </w:pPr>
      <w:bookmarkStart w:id="62" w:name="_Toc8418"/>
      <w:r>
        <w:rPr>
          <w:rFonts w:hint="eastAsia" w:ascii="仿宋" w:hAnsi="仿宋" w:eastAsia="仿宋" w:cs="Times New Roman"/>
          <w:b/>
          <w:bCs/>
          <w:szCs w:val="28"/>
        </w:rPr>
        <w:t>（三）报告形成阶段</w:t>
      </w:r>
      <w:bookmarkEnd w:id="62"/>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综合前期收集和审核的项目资料、</w:t>
      </w:r>
      <w:r>
        <w:rPr>
          <w:rFonts w:ascii="仿宋" w:hAnsi="仿宋" w:eastAsia="仿宋"/>
          <w:color w:val="333333"/>
          <w:shd w:val="clear" w:color="auto" w:fill="FFFFFF"/>
        </w:rPr>
        <w:drawing>
          <wp:inline distT="0" distB="0" distL="0" distR="0">
            <wp:extent cx="9525" cy="9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hint="eastAsia" w:ascii="仿宋" w:hAnsi="仿宋" w:eastAsia="仿宋"/>
          <w:color w:val="333333"/>
          <w:shd w:val="clear" w:color="auto" w:fill="FFFFFF"/>
        </w:rPr>
        <w:t>现场调研的结果等情况，工作组对项目情况进行了综合分析，并按照规定的文本格式和相关要求撰写了评价报告。工作组根据评价的分值，确定项目最终等级。评价等级分为优、良、中、差四个等级，如表</w:t>
      </w:r>
      <w:r>
        <w:rPr>
          <w:rFonts w:ascii="Times New Roman" w:hAnsi="Times New Roman" w:eastAsia="仿宋" w:cs="Times New Roman"/>
          <w:color w:val="333333"/>
          <w:shd w:val="clear" w:color="auto" w:fill="FFFFFF"/>
        </w:rPr>
        <w:t>6</w:t>
      </w:r>
      <w:r>
        <w:rPr>
          <w:rFonts w:hint="eastAsia" w:ascii="仿宋" w:hAnsi="仿宋" w:eastAsia="仿宋"/>
          <w:color w:val="333333"/>
          <w:shd w:val="clear" w:color="auto" w:fill="FFFFFF"/>
        </w:rPr>
        <w:t>所示。</w:t>
      </w:r>
    </w:p>
    <w:p>
      <w:pPr>
        <w:spacing w:before="312" w:beforeLines="100"/>
        <w:ind w:firstLine="482" w:firstLineChars="200"/>
        <w:jc w:val="center"/>
        <w:rPr>
          <w:rFonts w:ascii="仿宋" w:hAnsi="仿宋" w:eastAsia="仿宋"/>
          <w:b/>
          <w:bCs/>
          <w:sz w:val="24"/>
        </w:rPr>
      </w:pPr>
      <w:r>
        <w:rPr>
          <w:rFonts w:hint="eastAsia" w:ascii="仿宋" w:hAnsi="仿宋" w:eastAsia="仿宋"/>
          <w:b/>
          <w:bCs/>
          <w:sz w:val="24"/>
        </w:rPr>
        <w:t>表</w:t>
      </w:r>
      <w:r>
        <w:rPr>
          <w:rFonts w:ascii="Times New Roman" w:hAnsi="Times New Roman" w:eastAsia="仿宋" w:cs="Times New Roman"/>
          <w:b/>
          <w:bCs/>
          <w:sz w:val="24"/>
        </w:rPr>
        <w:t>6</w:t>
      </w:r>
      <w:r>
        <w:rPr>
          <w:rFonts w:hint="eastAsia" w:ascii="仿宋" w:hAnsi="仿宋" w:eastAsia="仿宋"/>
          <w:b/>
          <w:bCs/>
          <w:sz w:val="24"/>
        </w:rPr>
        <w:t xml:space="preserve"> </w:t>
      </w:r>
      <w:r>
        <w:rPr>
          <w:rFonts w:ascii="仿宋" w:hAnsi="仿宋" w:eastAsia="仿宋"/>
          <w:b/>
          <w:bCs/>
          <w:sz w:val="24"/>
        </w:rPr>
        <w:t xml:space="preserve"> </w:t>
      </w:r>
      <w:r>
        <w:rPr>
          <w:rFonts w:hint="eastAsia" w:ascii="仿宋" w:hAnsi="仿宋" w:eastAsia="仿宋"/>
          <w:b/>
          <w:bCs/>
          <w:sz w:val="24"/>
        </w:rPr>
        <w:t>评价得分与等级对应表</w:t>
      </w:r>
    </w:p>
    <w:tbl>
      <w:tblPr>
        <w:tblStyle w:val="10"/>
        <w:tblW w:w="87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1525"/>
        <w:gridCol w:w="2270"/>
        <w:gridCol w:w="2193"/>
        <w:gridCol w:w="191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bottom w:val="single" w:color="auto" w:sz="4" w:space="0"/>
            </w:tcBorders>
            <w:vAlign w:val="center"/>
          </w:tcPr>
          <w:p>
            <w:pPr>
              <w:spacing w:line="240" w:lineRule="auto"/>
              <w:rPr>
                <w:rFonts w:ascii="仿宋" w:hAnsi="仿宋" w:eastAsia="仿宋"/>
                <w:kern w:val="44"/>
                <w:sz w:val="22"/>
                <w:szCs w:val="22"/>
              </w:rPr>
            </w:pPr>
            <w:bookmarkStart w:id="63" w:name="_Hlk126509438"/>
            <w:r>
              <w:rPr>
                <w:rFonts w:hint="eastAsia" w:ascii="仿宋" w:hAnsi="仿宋" w:eastAsia="仿宋"/>
                <w:kern w:val="44"/>
                <w:sz w:val="22"/>
                <w:szCs w:val="22"/>
              </w:rPr>
              <w:t>等级</w:t>
            </w:r>
          </w:p>
        </w:tc>
        <w:tc>
          <w:tcPr>
            <w:tcW w:w="1525" w:type="dxa"/>
            <w:tcBorders>
              <w:bottom w:val="single" w:color="auto" w:sz="4" w:space="0"/>
            </w:tcBorders>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优</w:t>
            </w:r>
          </w:p>
        </w:tc>
        <w:tc>
          <w:tcPr>
            <w:tcW w:w="2270" w:type="dxa"/>
            <w:tcBorders>
              <w:bottom w:val="single" w:color="auto" w:sz="4" w:space="0"/>
            </w:tcBorders>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良</w:t>
            </w:r>
          </w:p>
        </w:tc>
        <w:tc>
          <w:tcPr>
            <w:tcW w:w="2193" w:type="dxa"/>
            <w:tcBorders>
              <w:bottom w:val="single" w:color="auto" w:sz="4" w:space="0"/>
            </w:tcBorders>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中</w:t>
            </w:r>
          </w:p>
        </w:tc>
        <w:tc>
          <w:tcPr>
            <w:tcW w:w="1918" w:type="dxa"/>
            <w:tcBorders>
              <w:bottom w:val="single" w:color="auto" w:sz="4" w:space="0"/>
            </w:tcBorders>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差</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top w:val="single" w:color="auto" w:sz="4" w:space="0"/>
              <w:bottom w:val="single" w:color="auto" w:sz="12" w:space="0"/>
            </w:tcBorders>
            <w:vAlign w:val="center"/>
          </w:tcPr>
          <w:p>
            <w:pPr>
              <w:spacing w:line="240" w:lineRule="auto"/>
              <w:rPr>
                <w:rFonts w:ascii="仿宋" w:hAnsi="仿宋" w:eastAsia="仿宋"/>
                <w:kern w:val="44"/>
                <w:sz w:val="22"/>
                <w:szCs w:val="22"/>
              </w:rPr>
            </w:pPr>
            <w:r>
              <w:rPr>
                <w:rFonts w:hint="eastAsia" w:ascii="仿宋" w:hAnsi="仿宋" w:eastAsia="仿宋"/>
                <w:kern w:val="44"/>
                <w:sz w:val="22"/>
                <w:szCs w:val="22"/>
              </w:rPr>
              <w:t>标准</w:t>
            </w:r>
          </w:p>
        </w:tc>
        <w:tc>
          <w:tcPr>
            <w:tcW w:w="1525" w:type="dxa"/>
            <w:tcBorders>
              <w:top w:val="single" w:color="auto" w:sz="4" w:space="0"/>
              <w:bottom w:val="single" w:color="auto" w:sz="12" w:space="0"/>
            </w:tcBorders>
            <w:vAlign w:val="center"/>
          </w:tcPr>
          <w:p>
            <w:pPr>
              <w:spacing w:line="240" w:lineRule="auto"/>
              <w:jc w:val="center"/>
              <w:rPr>
                <w:rFonts w:ascii="仿宋" w:hAnsi="仿宋" w:eastAsia="仿宋"/>
                <w:kern w:val="44"/>
                <w:sz w:val="22"/>
                <w:szCs w:val="22"/>
              </w:rPr>
            </w:pPr>
            <w:r>
              <w:rPr>
                <w:rFonts w:ascii="仿宋" w:hAnsi="仿宋" w:eastAsia="仿宋"/>
                <w:kern w:val="44"/>
                <w:sz w:val="22"/>
                <w:szCs w:val="22"/>
              </w:rPr>
              <w:t>≥</w:t>
            </w:r>
            <w:r>
              <w:rPr>
                <w:rFonts w:ascii="Times New Roman" w:hAnsi="Times New Roman" w:eastAsia="仿宋" w:cs="Times New Roman"/>
                <w:kern w:val="44"/>
                <w:sz w:val="22"/>
                <w:szCs w:val="22"/>
              </w:rPr>
              <w:t>90</w:t>
            </w:r>
            <w:r>
              <w:rPr>
                <w:rFonts w:hint="eastAsia" w:ascii="仿宋" w:hAnsi="仿宋" w:eastAsia="仿宋"/>
                <w:kern w:val="44"/>
                <w:sz w:val="22"/>
                <w:szCs w:val="22"/>
              </w:rPr>
              <w:t>分</w:t>
            </w:r>
          </w:p>
        </w:tc>
        <w:tc>
          <w:tcPr>
            <w:tcW w:w="2270" w:type="dxa"/>
            <w:tcBorders>
              <w:top w:val="single" w:color="auto" w:sz="4" w:space="0"/>
              <w:bottom w:val="single" w:color="auto" w:sz="12" w:space="0"/>
            </w:tcBorders>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90</w:t>
            </w:r>
            <w:r>
              <w:rPr>
                <w:rFonts w:ascii="仿宋" w:hAnsi="仿宋" w:eastAsia="仿宋"/>
                <w:kern w:val="44"/>
                <w:sz w:val="22"/>
                <w:szCs w:val="22"/>
              </w:rPr>
              <w:t>&gt;</w:t>
            </w:r>
            <w:r>
              <w:rPr>
                <w:rFonts w:hint="eastAsia" w:ascii="仿宋" w:hAnsi="仿宋" w:eastAsia="仿宋"/>
                <w:kern w:val="44"/>
                <w:sz w:val="22"/>
                <w:szCs w:val="22"/>
              </w:rPr>
              <w:t>得分</w:t>
            </w:r>
            <w:r>
              <w:rPr>
                <w:rFonts w:ascii="仿宋" w:hAnsi="仿宋" w:eastAsia="仿宋"/>
                <w:kern w:val="44"/>
                <w:sz w:val="22"/>
                <w:szCs w:val="22"/>
              </w:rPr>
              <w:t>≥</w:t>
            </w:r>
            <w:r>
              <w:rPr>
                <w:rFonts w:ascii="Times New Roman" w:hAnsi="Times New Roman" w:eastAsia="仿宋" w:cs="Times New Roman"/>
                <w:kern w:val="44"/>
                <w:sz w:val="22"/>
                <w:szCs w:val="22"/>
              </w:rPr>
              <w:t>80</w:t>
            </w:r>
            <w:r>
              <w:rPr>
                <w:rFonts w:hint="eastAsia" w:ascii="仿宋" w:hAnsi="仿宋" w:eastAsia="仿宋"/>
                <w:kern w:val="44"/>
                <w:sz w:val="22"/>
                <w:szCs w:val="22"/>
              </w:rPr>
              <w:t>分</w:t>
            </w:r>
          </w:p>
        </w:tc>
        <w:tc>
          <w:tcPr>
            <w:tcW w:w="2193" w:type="dxa"/>
            <w:tcBorders>
              <w:top w:val="single" w:color="auto" w:sz="4" w:space="0"/>
              <w:bottom w:val="single" w:color="auto" w:sz="12" w:space="0"/>
            </w:tcBorders>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80</w:t>
            </w:r>
            <w:r>
              <w:rPr>
                <w:rFonts w:ascii="仿宋" w:hAnsi="仿宋" w:eastAsia="仿宋"/>
                <w:kern w:val="44"/>
                <w:sz w:val="22"/>
                <w:szCs w:val="22"/>
              </w:rPr>
              <w:t>&gt;</w:t>
            </w:r>
            <w:r>
              <w:rPr>
                <w:rFonts w:hint="eastAsia" w:ascii="仿宋" w:hAnsi="仿宋" w:eastAsia="仿宋"/>
                <w:kern w:val="44"/>
                <w:sz w:val="22"/>
                <w:szCs w:val="22"/>
              </w:rPr>
              <w:t>得分</w:t>
            </w:r>
            <w:r>
              <w:rPr>
                <w:rFonts w:ascii="仿宋" w:hAnsi="仿宋" w:eastAsia="仿宋"/>
                <w:kern w:val="44"/>
                <w:sz w:val="22"/>
                <w:szCs w:val="22"/>
              </w:rPr>
              <w:t>≥</w:t>
            </w:r>
            <w:r>
              <w:rPr>
                <w:rFonts w:ascii="Times New Roman" w:hAnsi="Times New Roman" w:eastAsia="仿宋" w:cs="Times New Roman"/>
                <w:kern w:val="44"/>
                <w:sz w:val="22"/>
                <w:szCs w:val="22"/>
              </w:rPr>
              <w:t>60</w:t>
            </w:r>
            <w:r>
              <w:rPr>
                <w:rFonts w:hint="eastAsia" w:ascii="仿宋" w:hAnsi="仿宋" w:eastAsia="仿宋"/>
                <w:kern w:val="44"/>
                <w:sz w:val="22"/>
                <w:szCs w:val="22"/>
              </w:rPr>
              <w:t>分</w:t>
            </w:r>
          </w:p>
        </w:tc>
        <w:tc>
          <w:tcPr>
            <w:tcW w:w="1918" w:type="dxa"/>
            <w:tcBorders>
              <w:top w:val="single" w:color="auto" w:sz="4" w:space="0"/>
              <w:bottom w:val="single" w:color="auto" w:sz="12" w:space="0"/>
            </w:tcBorders>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得分＜</w:t>
            </w:r>
            <w:r>
              <w:rPr>
                <w:rFonts w:ascii="Times New Roman" w:hAnsi="Times New Roman" w:eastAsia="仿宋" w:cs="Times New Roman"/>
                <w:kern w:val="44"/>
                <w:sz w:val="22"/>
                <w:szCs w:val="22"/>
              </w:rPr>
              <w:t>60</w:t>
            </w:r>
            <w:r>
              <w:rPr>
                <w:rFonts w:hint="eastAsia" w:ascii="仿宋" w:hAnsi="仿宋" w:eastAsia="仿宋"/>
                <w:kern w:val="44"/>
                <w:sz w:val="22"/>
                <w:szCs w:val="22"/>
              </w:rPr>
              <w:t>分</w:t>
            </w:r>
          </w:p>
        </w:tc>
      </w:tr>
      <w:bookmarkEnd w:id="59"/>
      <w:bookmarkEnd w:id="63"/>
    </w:tbl>
    <w:p>
      <w:pPr>
        <w:ind w:firstLine="640" w:firstLineChars="200"/>
        <w:rPr>
          <w:rFonts w:ascii="仿宋" w:hAnsi="仿宋" w:eastAsia="仿宋" w:cs="黑体"/>
          <w:sz w:val="32"/>
          <w:szCs w:val="32"/>
        </w:rPr>
      </w:pPr>
    </w:p>
    <w:p>
      <w:pPr>
        <w:widowControl/>
        <w:spacing w:line="240" w:lineRule="auto"/>
        <w:jc w:val="left"/>
        <w:rPr>
          <w:rFonts w:ascii="仿宋" w:hAnsi="仿宋" w:eastAsia="仿宋" w:cs="Times New Roman"/>
          <w:szCs w:val="28"/>
        </w:rPr>
      </w:pPr>
      <w:r>
        <w:rPr>
          <w:rFonts w:ascii="仿宋" w:hAnsi="仿宋" w:eastAsia="仿宋" w:cs="Times New Roman"/>
          <w:szCs w:val="28"/>
        </w:rPr>
        <w:br w:type="page"/>
      </w:r>
    </w:p>
    <w:p>
      <w:pPr>
        <w:widowControl/>
        <w:spacing w:line="240" w:lineRule="auto"/>
        <w:jc w:val="left"/>
        <w:rPr>
          <w:rFonts w:ascii="仿宋" w:hAnsi="仿宋" w:eastAsia="仿宋" w:cs="Times New Roman"/>
          <w:szCs w:val="28"/>
        </w:rPr>
      </w:pPr>
    </w:p>
    <w:p>
      <w:pPr>
        <w:jc w:val="center"/>
        <w:outlineLvl w:val="0"/>
        <w:rPr>
          <w:rFonts w:ascii="仿宋" w:hAnsi="仿宋" w:eastAsia="仿宋" w:cs="Times New Roman"/>
          <w:b/>
          <w:bCs/>
          <w:sz w:val="36"/>
          <w:szCs w:val="36"/>
        </w:rPr>
      </w:pPr>
      <w:bookmarkStart w:id="64" w:name="_Toc449078767"/>
      <w:bookmarkStart w:id="65" w:name="_Toc29041"/>
      <w:bookmarkStart w:id="66" w:name="_Toc18023"/>
      <w:bookmarkStart w:id="67" w:name="_Toc91072325"/>
      <w:r>
        <w:rPr>
          <w:rFonts w:ascii="仿宋" w:hAnsi="仿宋" w:eastAsia="仿宋" w:cs="Times New Roman"/>
          <w:b/>
          <w:bCs/>
          <w:sz w:val="36"/>
          <w:szCs w:val="36"/>
        </w:rPr>
        <w:t>第三部分 绩效评价结果</w:t>
      </w:r>
      <w:bookmarkEnd w:id="64"/>
      <w:bookmarkEnd w:id="65"/>
      <w:bookmarkEnd w:id="66"/>
      <w:bookmarkEnd w:id="67"/>
    </w:p>
    <w:p>
      <w:pPr>
        <w:rPr>
          <w:rFonts w:ascii="仿宋" w:hAnsi="仿宋" w:eastAsia="仿宋" w:cs="Times New Roman"/>
          <w:sz w:val="24"/>
        </w:rPr>
      </w:pPr>
    </w:p>
    <w:p>
      <w:pPr>
        <w:spacing w:before="156" w:beforeLines="50" w:after="156" w:afterLines="50"/>
        <w:ind w:firstLine="643" w:firstLineChars="200"/>
        <w:outlineLvl w:val="1"/>
        <w:rPr>
          <w:rFonts w:ascii="仿宋" w:hAnsi="仿宋" w:eastAsia="仿宋" w:cs="Times New Roman"/>
          <w:b/>
          <w:bCs/>
          <w:sz w:val="32"/>
          <w:szCs w:val="32"/>
        </w:rPr>
      </w:pPr>
      <w:bookmarkStart w:id="68" w:name="_Toc9061"/>
      <w:bookmarkStart w:id="69" w:name="_Toc91072330"/>
      <w:bookmarkStart w:id="70" w:name="_Toc10138"/>
      <w:bookmarkStart w:id="71" w:name="_Toc427430873"/>
      <w:r>
        <w:rPr>
          <w:rFonts w:hint="eastAsia" w:ascii="仿宋" w:hAnsi="仿宋" w:eastAsia="仿宋" w:cs="Times New Roman"/>
          <w:b/>
          <w:bCs/>
          <w:sz w:val="32"/>
          <w:szCs w:val="32"/>
        </w:rPr>
        <w:t>一</w:t>
      </w:r>
      <w:r>
        <w:rPr>
          <w:rFonts w:ascii="仿宋" w:hAnsi="仿宋" w:eastAsia="仿宋" w:cs="Times New Roman"/>
          <w:b/>
          <w:bCs/>
          <w:sz w:val="32"/>
          <w:szCs w:val="32"/>
        </w:rPr>
        <w:t>、绩效评价得分情况</w:t>
      </w:r>
      <w:bookmarkEnd w:id="68"/>
      <w:bookmarkEnd w:id="69"/>
      <w:bookmarkEnd w:id="70"/>
      <w:bookmarkEnd w:id="71"/>
    </w:p>
    <w:p>
      <w:pPr>
        <w:ind w:firstLine="560" w:firstLineChars="200"/>
        <w:rPr>
          <w:rFonts w:ascii="仿宋" w:hAnsi="仿宋" w:eastAsia="仿宋"/>
          <w:color w:val="333333"/>
          <w:shd w:val="clear" w:color="auto" w:fill="FFFFFF"/>
        </w:rPr>
      </w:pPr>
      <w:r>
        <w:rPr>
          <w:rFonts w:hint="eastAsia" w:ascii="仿宋" w:hAnsi="仿宋" w:eastAsia="仿宋" w:cs="Times New Roman"/>
          <w:color w:val="333333"/>
          <w:shd w:val="clear" w:color="auto" w:fill="FFFFFF"/>
        </w:rPr>
        <w:t>惠安县</w:t>
      </w:r>
      <w:r>
        <w:rPr>
          <w:rFonts w:ascii="Times New Roman" w:hAnsi="Times New Roman" w:eastAsia="仿宋" w:cs="Times New Roman"/>
          <w:color w:val="333333"/>
          <w:shd w:val="clear" w:color="auto" w:fill="FFFFFF"/>
        </w:rPr>
        <w:t>2019</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s="Times New Roman"/>
          <w:color w:val="333333"/>
          <w:shd w:val="clear" w:color="auto" w:fill="FFFFFF"/>
        </w:rPr>
        <w:t>年“高标准农田建设”</w:t>
      </w:r>
      <w:r>
        <w:rPr>
          <w:rFonts w:ascii="仿宋" w:hAnsi="仿宋" w:eastAsia="仿宋"/>
          <w:color w:val="333333"/>
          <w:shd w:val="clear" w:color="auto" w:fill="FFFFFF"/>
        </w:rPr>
        <w:t>专项资金绩效评价得分为</w:t>
      </w:r>
      <w:r>
        <w:rPr>
          <w:rFonts w:ascii="Times New Roman" w:hAnsi="Times New Roman" w:eastAsia="仿宋" w:cs="Times New Roman"/>
          <w:color w:val="333333"/>
          <w:shd w:val="clear" w:color="auto" w:fill="FFFFFF"/>
        </w:rPr>
        <w:t>89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45</w:t>
      </w:r>
      <w:r>
        <w:rPr>
          <w:rFonts w:ascii="仿宋" w:hAnsi="仿宋" w:eastAsia="仿宋"/>
          <w:color w:val="333333"/>
          <w:shd w:val="clear" w:color="auto" w:fill="FFFFFF"/>
        </w:rPr>
        <w:t>分，评价等级为“</w:t>
      </w:r>
      <w:r>
        <w:rPr>
          <w:rFonts w:hint="eastAsia" w:ascii="仿宋" w:hAnsi="仿宋" w:eastAsia="仿宋"/>
          <w:color w:val="333333"/>
          <w:shd w:val="clear" w:color="auto" w:fill="FFFFFF"/>
        </w:rPr>
        <w:t>良好</w:t>
      </w:r>
      <w:r>
        <w:rPr>
          <w:rFonts w:ascii="仿宋" w:hAnsi="仿宋" w:eastAsia="仿宋"/>
          <w:color w:val="333333"/>
          <w:shd w:val="clear" w:color="auto" w:fill="FFFFFF"/>
        </w:rPr>
        <w:t>”。具体得分情况如表</w:t>
      </w:r>
      <w:r>
        <w:rPr>
          <w:rFonts w:ascii="Times New Roman" w:hAnsi="Times New Roman" w:eastAsia="仿宋" w:cs="Times New Roman"/>
          <w:color w:val="333333"/>
          <w:shd w:val="clear" w:color="auto" w:fill="FFFFFF"/>
        </w:rPr>
        <w:t>7</w:t>
      </w:r>
      <w:r>
        <w:rPr>
          <w:rFonts w:ascii="仿宋" w:hAnsi="仿宋" w:eastAsia="仿宋"/>
          <w:color w:val="333333"/>
          <w:shd w:val="clear" w:color="auto" w:fill="FFFFFF"/>
        </w:rPr>
        <w:t>所示：</w:t>
      </w:r>
    </w:p>
    <w:p>
      <w:pPr>
        <w:spacing w:before="312" w:beforeLines="100"/>
        <w:ind w:firstLine="482" w:firstLineChars="2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7</w:t>
      </w:r>
      <w:r>
        <w:rPr>
          <w:rFonts w:ascii="仿宋" w:hAnsi="仿宋" w:eastAsia="仿宋" w:cs="Times New Roman"/>
          <w:b/>
          <w:bCs/>
          <w:sz w:val="24"/>
        </w:rPr>
        <w:t xml:space="preserve">  “</w:t>
      </w:r>
      <w:r>
        <w:rPr>
          <w:rFonts w:hint="eastAsia" w:ascii="仿宋" w:hAnsi="仿宋" w:eastAsia="仿宋" w:cs="Times New Roman"/>
          <w:b/>
          <w:bCs/>
          <w:sz w:val="24"/>
        </w:rPr>
        <w:t>高标准农田建设</w:t>
      </w:r>
      <w:r>
        <w:rPr>
          <w:rFonts w:ascii="仿宋" w:hAnsi="仿宋" w:eastAsia="仿宋" w:cs="Times New Roman"/>
          <w:b/>
          <w:bCs/>
          <w:sz w:val="24"/>
        </w:rPr>
        <w:t>”专项资金绩效评价综合得分</w:t>
      </w:r>
    </w:p>
    <w:tbl>
      <w:tblPr>
        <w:tblStyle w:val="10"/>
        <w:tblW w:w="4998"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01"/>
        <w:gridCol w:w="2176"/>
        <w:gridCol w:w="3175"/>
        <w:gridCol w:w="867"/>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trPr>
        <w:tc>
          <w:tcPr>
            <w:tcW w:w="1350" w:type="pct"/>
            <w:tcBorders>
              <w:top w:val="single" w:color="000000" w:sz="12" w:space="0"/>
              <w:bottom w:val="single" w:color="000000" w:sz="4" w:space="0"/>
              <w:tl2br w:val="nil"/>
              <w:tr2bl w:val="nil"/>
            </w:tcBorders>
            <w:shd w:val="clear" w:color="auto" w:fill="auto"/>
            <w:vAlign w:val="center"/>
          </w:tcPr>
          <w:p>
            <w:pPr>
              <w:spacing w:line="240" w:lineRule="auto"/>
              <w:jc w:val="center"/>
              <w:rPr>
                <w:rFonts w:ascii="仿宋" w:hAnsi="仿宋" w:eastAsia="仿宋"/>
                <w:b/>
                <w:bCs/>
                <w:kern w:val="44"/>
                <w:sz w:val="22"/>
                <w:szCs w:val="22"/>
              </w:rPr>
            </w:pPr>
            <w:r>
              <w:rPr>
                <w:rFonts w:hint="eastAsia" w:ascii="仿宋" w:hAnsi="仿宋" w:eastAsia="仿宋"/>
                <w:b/>
                <w:bCs/>
                <w:kern w:val="44"/>
                <w:sz w:val="22"/>
                <w:szCs w:val="22"/>
              </w:rPr>
              <w:t>一级指标</w:t>
            </w:r>
          </w:p>
        </w:tc>
        <w:tc>
          <w:tcPr>
            <w:tcW w:w="1277" w:type="pct"/>
            <w:tcBorders>
              <w:top w:val="single" w:color="000000" w:sz="12" w:space="0"/>
              <w:bottom w:val="single" w:color="000000" w:sz="4" w:space="0"/>
              <w:tl2br w:val="nil"/>
              <w:tr2bl w:val="nil"/>
            </w:tcBorders>
            <w:shd w:val="clear" w:color="auto" w:fill="auto"/>
            <w:vAlign w:val="center"/>
          </w:tcPr>
          <w:p>
            <w:pPr>
              <w:spacing w:line="240" w:lineRule="auto"/>
              <w:jc w:val="center"/>
              <w:rPr>
                <w:rFonts w:ascii="仿宋" w:hAnsi="仿宋" w:eastAsia="仿宋"/>
                <w:b/>
                <w:bCs/>
                <w:kern w:val="44"/>
                <w:sz w:val="22"/>
                <w:szCs w:val="22"/>
              </w:rPr>
            </w:pPr>
            <w:r>
              <w:rPr>
                <w:rFonts w:hint="eastAsia" w:ascii="仿宋" w:hAnsi="仿宋" w:eastAsia="仿宋"/>
                <w:b/>
                <w:bCs/>
                <w:kern w:val="44"/>
                <w:sz w:val="22"/>
                <w:szCs w:val="22"/>
              </w:rPr>
              <w:t>二级指标</w:t>
            </w:r>
          </w:p>
        </w:tc>
        <w:tc>
          <w:tcPr>
            <w:tcW w:w="1862" w:type="pct"/>
            <w:tcBorders>
              <w:top w:val="single" w:color="000000" w:sz="12" w:space="0"/>
              <w:bottom w:val="single" w:color="000000" w:sz="4" w:space="0"/>
              <w:tl2br w:val="nil"/>
              <w:tr2bl w:val="nil"/>
            </w:tcBorders>
            <w:shd w:val="clear" w:color="auto" w:fill="auto"/>
            <w:vAlign w:val="center"/>
          </w:tcPr>
          <w:p>
            <w:pPr>
              <w:spacing w:line="240" w:lineRule="auto"/>
              <w:jc w:val="center"/>
              <w:rPr>
                <w:rFonts w:ascii="仿宋" w:hAnsi="仿宋" w:eastAsia="仿宋"/>
                <w:b/>
                <w:bCs/>
                <w:kern w:val="44"/>
                <w:sz w:val="22"/>
                <w:szCs w:val="22"/>
              </w:rPr>
            </w:pPr>
            <w:r>
              <w:rPr>
                <w:rFonts w:hint="eastAsia" w:ascii="仿宋" w:hAnsi="仿宋" w:eastAsia="仿宋"/>
                <w:b/>
                <w:bCs/>
                <w:kern w:val="44"/>
                <w:sz w:val="22"/>
                <w:szCs w:val="22"/>
              </w:rPr>
              <w:t>三级指标</w:t>
            </w:r>
          </w:p>
        </w:tc>
        <w:tc>
          <w:tcPr>
            <w:tcW w:w="509" w:type="pct"/>
            <w:tcBorders>
              <w:top w:val="single" w:color="000000" w:sz="12" w:space="0"/>
              <w:bottom w:val="single" w:color="000000" w:sz="4" w:space="0"/>
              <w:tl2br w:val="nil"/>
              <w:tr2bl w:val="nil"/>
            </w:tcBorders>
            <w:shd w:val="clear" w:color="auto" w:fill="auto"/>
            <w:vAlign w:val="center"/>
          </w:tcPr>
          <w:p>
            <w:pPr>
              <w:spacing w:line="240" w:lineRule="auto"/>
              <w:jc w:val="center"/>
              <w:rPr>
                <w:rFonts w:ascii="仿宋" w:hAnsi="仿宋" w:eastAsia="仿宋"/>
                <w:b/>
                <w:bCs/>
                <w:kern w:val="44"/>
                <w:sz w:val="22"/>
                <w:szCs w:val="22"/>
              </w:rPr>
            </w:pPr>
            <w:r>
              <w:rPr>
                <w:rFonts w:hint="eastAsia" w:ascii="仿宋" w:hAnsi="仿宋" w:eastAsia="仿宋"/>
                <w:b/>
                <w:bCs/>
                <w:kern w:val="44"/>
                <w:sz w:val="22"/>
                <w:szCs w:val="22"/>
              </w:rPr>
              <w:t>评分</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restart"/>
            <w:tcBorders>
              <w:top w:val="single" w:color="000000" w:sz="4" w:space="0"/>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b/>
                <w:bCs/>
                <w:kern w:val="44"/>
                <w:sz w:val="22"/>
                <w:szCs w:val="22"/>
              </w:rPr>
              <w:t>决策指标（</w:t>
            </w:r>
            <w:r>
              <w:rPr>
                <w:rFonts w:ascii="Times New Roman" w:hAnsi="Times New Roman" w:eastAsia="仿宋" w:cs="Times New Roman"/>
                <w:b/>
                <w:bCs/>
                <w:kern w:val="44"/>
                <w:sz w:val="22"/>
                <w:szCs w:val="22"/>
              </w:rPr>
              <w:t>15</w:t>
            </w:r>
            <w:r>
              <w:rPr>
                <w:rFonts w:hint="eastAsia" w:ascii="仿宋" w:hAnsi="仿宋" w:eastAsia="仿宋"/>
                <w:b/>
                <w:bCs/>
                <w:kern w:val="44"/>
                <w:sz w:val="22"/>
                <w:szCs w:val="22"/>
              </w:rPr>
              <w:t>分）</w:t>
            </w:r>
          </w:p>
        </w:tc>
        <w:tc>
          <w:tcPr>
            <w:tcW w:w="1277" w:type="pct"/>
            <w:vMerge w:val="restart"/>
            <w:tcBorders>
              <w:top w:val="single" w:color="000000" w:sz="4" w:space="0"/>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项目立项（</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op w:val="single" w:color="000000" w:sz="4" w:space="0"/>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立项依据充分性（</w:t>
            </w:r>
            <w:r>
              <w:rPr>
                <w:rFonts w:ascii="Times New Roman" w:hAnsi="Times New Roman" w:eastAsia="仿宋" w:cs="Times New Roman"/>
                <w:kern w:val="44"/>
                <w:sz w:val="22"/>
                <w:szCs w:val="22"/>
              </w:rPr>
              <w:t>3</w:t>
            </w:r>
            <w:r>
              <w:rPr>
                <w:rFonts w:hint="eastAsia" w:ascii="仿宋" w:hAnsi="仿宋" w:eastAsia="仿宋"/>
                <w:kern w:val="44"/>
                <w:sz w:val="22"/>
                <w:szCs w:val="22"/>
              </w:rPr>
              <w:t>分）</w:t>
            </w:r>
          </w:p>
        </w:tc>
        <w:tc>
          <w:tcPr>
            <w:tcW w:w="867" w:type="dxa"/>
            <w:tcBorders>
              <w:top w:val="single" w:color="000000" w:sz="4" w:space="0"/>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立项程序规范性（</w:t>
            </w:r>
            <w:r>
              <w:rPr>
                <w:rFonts w:ascii="Times New Roman" w:hAnsi="Times New Roman" w:eastAsia="仿宋" w:cs="Times New Roman"/>
                <w:kern w:val="44"/>
                <w:sz w:val="22"/>
                <w:szCs w:val="22"/>
              </w:rPr>
              <w:t>2</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2</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restar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绩效目标（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绩效目标合理性（</w:t>
            </w:r>
            <w:r>
              <w:rPr>
                <w:rFonts w:ascii="Times New Roman" w:hAnsi="Times New Roman" w:eastAsia="仿宋" w:cs="Times New Roman"/>
                <w:kern w:val="44"/>
                <w:sz w:val="22"/>
                <w:szCs w:val="22"/>
              </w:rPr>
              <w:t>3</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绩效指标明确性（</w:t>
            </w:r>
            <w:r>
              <w:rPr>
                <w:rFonts w:ascii="Times New Roman" w:hAnsi="Times New Roman" w:eastAsia="仿宋" w:cs="Times New Roman"/>
                <w:kern w:val="44"/>
                <w:sz w:val="22"/>
                <w:szCs w:val="22"/>
              </w:rPr>
              <w:t>2</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1</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restar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资金投入（</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预算编制科学性（</w:t>
            </w:r>
            <w:r>
              <w:rPr>
                <w:rFonts w:ascii="Times New Roman" w:hAnsi="Times New Roman" w:eastAsia="仿宋" w:cs="Times New Roman"/>
                <w:kern w:val="44"/>
                <w:sz w:val="22"/>
                <w:szCs w:val="22"/>
              </w:rPr>
              <w:t>2</w:t>
            </w:r>
            <w:r>
              <w:rPr>
                <w:rFonts w:hint="eastAsia" w:ascii="仿宋" w:hAnsi="仿宋" w:eastAsia="仿宋"/>
                <w:kern w:val="44"/>
                <w:sz w:val="22"/>
                <w:szCs w:val="22"/>
              </w:rPr>
              <w:t>.</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2</w:t>
            </w:r>
            <w:r>
              <w:rPr>
                <w:rFonts w:ascii="仿宋" w:hAnsi="仿宋" w:eastAsia="仿宋"/>
                <w:kern w:val="44"/>
                <w:sz w:val="22"/>
                <w:szCs w:val="22"/>
              </w:rPr>
              <w:t>.</w:t>
            </w:r>
            <w:r>
              <w:rPr>
                <w:rFonts w:ascii="Times New Roman" w:hAnsi="Times New Roman" w:eastAsia="仿宋" w:cs="Times New Roman"/>
                <w:kern w:val="44"/>
                <w:sz w:val="22"/>
                <w:szCs w:val="22"/>
              </w:rPr>
              <w:t>50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资金分配合理性（</w:t>
            </w:r>
            <w:r>
              <w:rPr>
                <w:rFonts w:ascii="Times New Roman" w:hAnsi="Times New Roman" w:eastAsia="仿宋" w:cs="Times New Roman"/>
                <w:kern w:val="44"/>
                <w:sz w:val="22"/>
                <w:szCs w:val="22"/>
              </w:rPr>
              <w:t>2</w:t>
            </w:r>
            <w:r>
              <w:rPr>
                <w:rFonts w:hint="eastAsia" w:ascii="仿宋" w:hAnsi="仿宋" w:eastAsia="仿宋"/>
                <w:kern w:val="44"/>
                <w:sz w:val="22"/>
                <w:szCs w:val="22"/>
              </w:rPr>
              <w:t>.</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2</w:t>
            </w:r>
            <w:r>
              <w:rPr>
                <w:rFonts w:ascii="仿宋" w:hAnsi="仿宋" w:eastAsia="仿宋"/>
                <w:kern w:val="44"/>
                <w:sz w:val="22"/>
                <w:szCs w:val="22"/>
              </w:rPr>
              <w:t>.</w:t>
            </w:r>
            <w:r>
              <w:rPr>
                <w:rFonts w:ascii="Times New Roman" w:hAnsi="Times New Roman" w:eastAsia="仿宋" w:cs="Times New Roman"/>
                <w:kern w:val="44"/>
                <w:sz w:val="22"/>
                <w:szCs w:val="22"/>
              </w:rPr>
              <w:t>50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restart"/>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b/>
                <w:bCs/>
                <w:kern w:val="44"/>
                <w:sz w:val="22"/>
                <w:szCs w:val="22"/>
              </w:rPr>
              <w:t>过程指标（</w:t>
            </w:r>
            <w:r>
              <w:rPr>
                <w:rFonts w:ascii="Times New Roman" w:hAnsi="Times New Roman" w:eastAsia="仿宋" w:cs="Times New Roman"/>
                <w:b/>
                <w:bCs/>
                <w:kern w:val="44"/>
                <w:sz w:val="22"/>
                <w:szCs w:val="22"/>
              </w:rPr>
              <w:t>15</w:t>
            </w:r>
            <w:r>
              <w:rPr>
                <w:rFonts w:hint="eastAsia" w:ascii="仿宋" w:hAnsi="仿宋" w:eastAsia="仿宋"/>
                <w:b/>
                <w:bCs/>
                <w:kern w:val="44"/>
                <w:sz w:val="22"/>
                <w:szCs w:val="22"/>
              </w:rPr>
              <w:t>分）</w:t>
            </w:r>
          </w:p>
        </w:tc>
        <w:tc>
          <w:tcPr>
            <w:tcW w:w="1277" w:type="pct"/>
            <w:vMerge w:val="restart"/>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资金管理（</w:t>
            </w:r>
            <w:r>
              <w:rPr>
                <w:rFonts w:ascii="Times New Roman" w:hAnsi="Times New Roman" w:eastAsia="仿宋" w:cs="Times New Roman"/>
                <w:kern w:val="44"/>
                <w:sz w:val="22"/>
                <w:szCs w:val="22"/>
              </w:rPr>
              <w:t>8</w:t>
            </w:r>
            <w:r>
              <w:rPr>
                <w:rFonts w:hint="eastAsia" w:ascii="仿宋" w:hAnsi="仿宋" w:eastAsia="仿宋"/>
                <w:kern w:val="44"/>
                <w:sz w:val="22"/>
                <w:szCs w:val="22"/>
              </w:rPr>
              <w:t>分）</w:t>
            </w:r>
          </w:p>
        </w:tc>
        <w:tc>
          <w:tcPr>
            <w:tcW w:w="1862" w:type="pct"/>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预算执行率（</w:t>
            </w:r>
            <w:r>
              <w:rPr>
                <w:rFonts w:ascii="Times New Roman" w:hAnsi="Times New Roman" w:eastAsia="仿宋" w:cs="Times New Roman"/>
                <w:kern w:val="44"/>
                <w:sz w:val="22"/>
                <w:szCs w:val="22"/>
              </w:rPr>
              <w:t>4</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83</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资金使用合规性（</w:t>
            </w:r>
            <w:r>
              <w:rPr>
                <w:rFonts w:ascii="Times New Roman" w:hAnsi="Times New Roman" w:eastAsia="仿宋" w:cs="Times New Roman"/>
                <w:kern w:val="44"/>
                <w:sz w:val="22"/>
                <w:szCs w:val="22"/>
              </w:rPr>
              <w:t>4</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4</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restar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组织实施（</w:t>
            </w:r>
            <w:r>
              <w:rPr>
                <w:rFonts w:ascii="Times New Roman" w:hAnsi="Times New Roman" w:eastAsia="仿宋" w:cs="Times New Roman"/>
                <w:kern w:val="44"/>
                <w:sz w:val="22"/>
                <w:szCs w:val="22"/>
              </w:rPr>
              <w:t>7</w:t>
            </w:r>
            <w:r>
              <w:rPr>
                <w:rFonts w:hint="eastAsia" w:ascii="仿宋" w:hAnsi="仿宋" w:eastAsia="仿宋"/>
                <w:kern w:val="44"/>
                <w:sz w:val="22"/>
                <w:szCs w:val="22"/>
              </w:rPr>
              <w:t>分）</w:t>
            </w: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管理制度健全性（</w:t>
            </w:r>
            <w:r>
              <w:rPr>
                <w:rFonts w:ascii="Times New Roman" w:hAnsi="Times New Roman" w:eastAsia="仿宋" w:cs="Times New Roman"/>
                <w:kern w:val="44"/>
                <w:sz w:val="22"/>
                <w:szCs w:val="22"/>
              </w:rPr>
              <w:t>3</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noWrap/>
            <w:vAlign w:val="center"/>
          </w:tcPr>
          <w:p>
            <w:pPr>
              <w:jc w:val="center"/>
              <w:rPr>
                <w:rFonts w:ascii="仿宋" w:hAnsi="仿宋" w:eastAsia="仿宋"/>
                <w:kern w:val="44"/>
                <w:sz w:val="22"/>
                <w:szCs w:val="22"/>
              </w:rPr>
            </w:pPr>
          </w:p>
        </w:tc>
        <w:tc>
          <w:tcPr>
            <w:tcW w:w="1862" w:type="pct"/>
            <w:tcBorders>
              <w:tl2br w:val="nil"/>
              <w:tr2bl w:val="nil"/>
            </w:tcBorders>
            <w:shd w:val="clear" w:color="auto" w:fill="auto"/>
            <w:noWrap/>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制度执行有效性（</w:t>
            </w:r>
            <w:r>
              <w:rPr>
                <w:rFonts w:ascii="Times New Roman" w:hAnsi="Times New Roman" w:eastAsia="仿宋" w:cs="Times New Roman"/>
                <w:kern w:val="44"/>
                <w:sz w:val="22"/>
                <w:szCs w:val="22"/>
              </w:rPr>
              <w:t>4</w:t>
            </w:r>
            <w:r>
              <w:rPr>
                <w:rFonts w:hint="eastAsia" w:ascii="仿宋" w:hAnsi="仿宋" w:eastAsia="仿宋"/>
                <w:kern w:val="44"/>
                <w:sz w:val="22"/>
                <w:szCs w:val="22"/>
              </w:rPr>
              <w:t>分）</w:t>
            </w:r>
          </w:p>
        </w:tc>
        <w:tc>
          <w:tcPr>
            <w:tcW w:w="867" w:type="dxa"/>
            <w:tcBorders>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restar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b/>
                <w:bCs/>
                <w:kern w:val="44"/>
                <w:sz w:val="22"/>
                <w:szCs w:val="22"/>
              </w:rPr>
              <w:t>产出指标（</w:t>
            </w:r>
            <w:r>
              <w:rPr>
                <w:rFonts w:ascii="Times New Roman" w:hAnsi="Times New Roman" w:eastAsia="仿宋" w:cs="Times New Roman"/>
                <w:b/>
                <w:bCs/>
                <w:kern w:val="44"/>
                <w:sz w:val="22"/>
                <w:szCs w:val="22"/>
              </w:rPr>
              <w:t>30</w:t>
            </w:r>
            <w:r>
              <w:rPr>
                <w:rFonts w:hint="eastAsia" w:ascii="仿宋" w:hAnsi="仿宋" w:eastAsia="仿宋"/>
                <w:b/>
                <w:bCs/>
                <w:kern w:val="44"/>
                <w:sz w:val="22"/>
                <w:szCs w:val="22"/>
              </w:rPr>
              <w:t>分）</w:t>
            </w:r>
          </w:p>
        </w:tc>
        <w:tc>
          <w:tcPr>
            <w:tcW w:w="1277" w:type="pct"/>
            <w:vMerge w:val="restar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数量指标（</w:t>
            </w:r>
            <w:r>
              <w:rPr>
                <w:rFonts w:ascii="Times New Roman" w:hAnsi="Times New Roman" w:eastAsia="仿宋" w:cs="Times New Roman"/>
                <w:kern w:val="44"/>
                <w:sz w:val="22"/>
                <w:szCs w:val="22"/>
              </w:rPr>
              <w:t>10</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新增高标准农田建设面积（</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新增高效节水灌溉面积（</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0</w:t>
            </w:r>
            <w:r>
              <w:rPr>
                <w:rFonts w:ascii="仿宋" w:hAnsi="仿宋" w:eastAsia="仿宋"/>
                <w:kern w:val="44"/>
                <w:sz w:val="22"/>
                <w:szCs w:val="22"/>
              </w:rPr>
              <w:t>.</w:t>
            </w:r>
            <w:r>
              <w:rPr>
                <w:rFonts w:ascii="Times New Roman" w:hAnsi="Times New Roman" w:eastAsia="仿宋" w:cs="Times New Roman"/>
                <w:kern w:val="44"/>
                <w:sz w:val="22"/>
                <w:szCs w:val="22"/>
              </w:rPr>
              <w:t>01</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质量指标（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项目验收合格率（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restar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时效指标（</w:t>
            </w:r>
            <w:r>
              <w:rPr>
                <w:rFonts w:ascii="Times New Roman" w:hAnsi="Times New Roman" w:eastAsia="仿宋" w:cs="Times New Roman"/>
                <w:kern w:val="44"/>
                <w:sz w:val="22"/>
                <w:szCs w:val="22"/>
              </w:rPr>
              <w:t>10</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项目建设期（</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项目验收及时率（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成本指标（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财政资金亩均补助水平（</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restar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b/>
                <w:bCs/>
                <w:kern w:val="44"/>
                <w:sz w:val="22"/>
                <w:szCs w:val="22"/>
              </w:rPr>
              <w:t>效益指标（</w:t>
            </w:r>
            <w:r>
              <w:rPr>
                <w:rFonts w:ascii="Times New Roman" w:hAnsi="Times New Roman" w:eastAsia="仿宋" w:cs="Times New Roman"/>
                <w:b/>
                <w:bCs/>
                <w:kern w:val="44"/>
                <w:sz w:val="22"/>
                <w:szCs w:val="22"/>
              </w:rPr>
              <w:t>40</w:t>
            </w:r>
            <w:r>
              <w:rPr>
                <w:rFonts w:hint="eastAsia" w:ascii="仿宋" w:hAnsi="仿宋" w:eastAsia="仿宋"/>
                <w:b/>
                <w:bCs/>
                <w:kern w:val="44"/>
                <w:sz w:val="22"/>
                <w:szCs w:val="22"/>
              </w:rPr>
              <w:t>分）</w:t>
            </w:r>
          </w:p>
        </w:tc>
        <w:tc>
          <w:tcPr>
            <w:tcW w:w="1277" w:type="pct"/>
            <w:vMerge w:val="restar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社会效益（</w:t>
            </w:r>
            <w:r>
              <w:rPr>
                <w:rFonts w:ascii="Times New Roman" w:hAnsi="Times New Roman" w:eastAsia="仿宋" w:cs="Times New Roman"/>
                <w:kern w:val="44"/>
                <w:sz w:val="22"/>
                <w:szCs w:val="22"/>
              </w:rPr>
              <w:t>20</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hint="eastAsia" w:ascii="仿宋" w:hAnsi="仿宋" w:eastAsia="仿宋"/>
                <w:kern w:val="44"/>
                <w:sz w:val="22"/>
                <w:szCs w:val="22"/>
              </w:rPr>
              <w:t>粮食综合生产能力（</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耕地质量提高值（</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水资源利用率提升（</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农业种植结构优化（</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restar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经济效益（</w:t>
            </w:r>
            <w:r>
              <w:rPr>
                <w:rFonts w:ascii="Times New Roman" w:hAnsi="Times New Roman" w:eastAsia="仿宋" w:cs="Times New Roman"/>
                <w:kern w:val="44"/>
                <w:sz w:val="22"/>
                <w:szCs w:val="22"/>
              </w:rPr>
              <w:t>10</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农业人均增加年收入（</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4</w:t>
            </w:r>
            <w:r>
              <w:rPr>
                <w:rFonts w:ascii="仿宋" w:hAnsi="仿宋" w:eastAsia="仿宋"/>
                <w:kern w:val="44"/>
                <w:sz w:val="22"/>
                <w:szCs w:val="22"/>
              </w:rPr>
              <w:t>.</w:t>
            </w:r>
            <w:r>
              <w:rPr>
                <w:rFonts w:ascii="Times New Roman" w:hAnsi="Times New Roman" w:eastAsia="仿宋" w:cs="Times New Roman"/>
                <w:kern w:val="44"/>
                <w:sz w:val="22"/>
                <w:szCs w:val="22"/>
              </w:rPr>
              <w:t>86</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旱涝保收情况（</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tl2br w:val="nil"/>
              <w:tr2bl w:val="nil"/>
            </w:tcBorders>
            <w:shd w:val="clear" w:color="auto" w:fill="auto"/>
            <w:vAlign w:val="center"/>
          </w:tcPr>
          <w:p>
            <w:pPr>
              <w:jc w:val="center"/>
              <w:rPr>
                <w:rFonts w:ascii="仿宋" w:hAnsi="仿宋" w:eastAsia="仿宋"/>
                <w:kern w:val="44"/>
                <w:sz w:val="22"/>
                <w:szCs w:val="22"/>
              </w:rPr>
            </w:pPr>
          </w:p>
        </w:tc>
        <w:tc>
          <w:tcPr>
            <w:tcW w:w="1277"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可持续影响（</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管护机制有效性（</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3</w:t>
            </w:r>
            <w:r>
              <w:rPr>
                <w:rFonts w:ascii="仿宋" w:hAnsi="仿宋" w:eastAsia="仿宋"/>
                <w:kern w:val="44"/>
                <w:sz w:val="22"/>
                <w:szCs w:val="22"/>
              </w:rPr>
              <w:t>.</w:t>
            </w:r>
            <w:r>
              <w:rPr>
                <w:rFonts w:ascii="Times New Roman" w:hAnsi="Times New Roman" w:eastAsia="仿宋" w:cs="Times New Roman"/>
                <w:kern w:val="44"/>
                <w:sz w:val="22"/>
                <w:szCs w:val="22"/>
              </w:rPr>
              <w:t>75</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50" w:type="pct"/>
            <w:vMerge w:val="continue"/>
            <w:tcBorders>
              <w:bottom w:val="single" w:color="000000" w:sz="4" w:space="0"/>
              <w:tl2br w:val="nil"/>
              <w:tr2bl w:val="nil"/>
            </w:tcBorders>
            <w:shd w:val="clear" w:color="auto" w:fill="auto"/>
            <w:vAlign w:val="center"/>
          </w:tcPr>
          <w:p>
            <w:pPr>
              <w:jc w:val="center"/>
              <w:rPr>
                <w:rFonts w:ascii="仿宋" w:hAnsi="仿宋" w:eastAsia="仿宋"/>
                <w:kern w:val="44"/>
                <w:sz w:val="22"/>
                <w:szCs w:val="22"/>
              </w:rPr>
            </w:pPr>
          </w:p>
        </w:tc>
        <w:tc>
          <w:tcPr>
            <w:tcW w:w="1277" w:type="pct"/>
            <w:tcBorders>
              <w:bottom w:val="single" w:color="000000" w:sz="4" w:space="0"/>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满意度（</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1862" w:type="pct"/>
            <w:tcBorders>
              <w:bottom w:val="single" w:color="000000" w:sz="4" w:space="0"/>
              <w:tl2br w:val="nil"/>
              <w:tr2bl w:val="nil"/>
            </w:tcBorders>
            <w:shd w:val="clear" w:color="auto" w:fill="auto"/>
            <w:vAlign w:val="center"/>
          </w:tcPr>
          <w:p>
            <w:pPr>
              <w:widowControl/>
              <w:jc w:val="center"/>
              <w:textAlignment w:val="center"/>
              <w:rPr>
                <w:rFonts w:ascii="仿宋" w:hAnsi="仿宋" w:eastAsia="仿宋"/>
                <w:kern w:val="44"/>
                <w:sz w:val="22"/>
                <w:szCs w:val="22"/>
              </w:rPr>
            </w:pPr>
            <w:r>
              <w:rPr>
                <w:rFonts w:hint="eastAsia" w:ascii="仿宋" w:hAnsi="仿宋" w:eastAsia="仿宋"/>
                <w:kern w:val="44"/>
                <w:sz w:val="22"/>
                <w:szCs w:val="22"/>
              </w:rPr>
              <w:t>项目区公众满意度（</w:t>
            </w:r>
            <w:r>
              <w:rPr>
                <w:rFonts w:ascii="Times New Roman" w:hAnsi="Times New Roman" w:eastAsia="仿宋" w:cs="Times New Roman"/>
                <w:kern w:val="44"/>
                <w:sz w:val="22"/>
                <w:szCs w:val="22"/>
              </w:rPr>
              <w:t>5</w:t>
            </w:r>
            <w:r>
              <w:rPr>
                <w:rFonts w:hint="eastAsia" w:ascii="仿宋" w:hAnsi="仿宋" w:eastAsia="仿宋"/>
                <w:kern w:val="44"/>
                <w:sz w:val="22"/>
                <w:szCs w:val="22"/>
              </w:rPr>
              <w:t>分）</w:t>
            </w:r>
          </w:p>
        </w:tc>
        <w:tc>
          <w:tcPr>
            <w:tcW w:w="867" w:type="dxa"/>
            <w:tcBorders>
              <w:bottom w:val="single" w:color="000000" w:sz="4" w:space="0"/>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5</w:t>
            </w:r>
            <w:r>
              <w:rPr>
                <w:rFonts w:ascii="仿宋" w:hAnsi="仿宋" w:eastAsia="仿宋"/>
                <w:kern w:val="44"/>
                <w:sz w:val="22"/>
                <w:szCs w:val="22"/>
              </w:rPr>
              <w:t>.</w:t>
            </w:r>
            <w:r>
              <w:rPr>
                <w:rFonts w:ascii="Times New Roman" w:hAnsi="Times New Roman" w:eastAsia="仿宋" w:cs="Times New Roman"/>
                <w:kern w:val="44"/>
                <w:sz w:val="22"/>
                <w:szCs w:val="22"/>
              </w:rPr>
              <w:t>00</w:t>
            </w:r>
            <w:r>
              <w:rPr>
                <w:rFonts w:ascii="仿宋" w:hAnsi="仿宋" w:eastAsia="仿宋"/>
                <w:kern w:val="44"/>
                <w:sz w:val="22"/>
                <w:szCs w:val="22"/>
              </w:rPr>
              <w:t xml:space="preserve">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490" w:type="pct"/>
            <w:gridSpan w:val="3"/>
            <w:tcBorders>
              <w:top w:val="single" w:color="000000" w:sz="4" w:space="0"/>
              <w:tl2br w:val="nil"/>
              <w:tr2bl w:val="nil"/>
            </w:tcBorders>
            <w:shd w:val="clear" w:color="auto" w:fill="auto"/>
            <w:noWrap/>
            <w:vAlign w:val="center"/>
          </w:tcPr>
          <w:p>
            <w:pPr>
              <w:spacing w:line="240" w:lineRule="auto"/>
              <w:jc w:val="center"/>
              <w:rPr>
                <w:rFonts w:ascii="仿宋" w:hAnsi="仿宋" w:eastAsia="仿宋"/>
                <w:kern w:val="44"/>
                <w:sz w:val="22"/>
                <w:szCs w:val="22"/>
              </w:rPr>
            </w:pPr>
            <w:r>
              <w:rPr>
                <w:rFonts w:hint="eastAsia" w:ascii="仿宋" w:hAnsi="仿宋" w:eastAsia="仿宋"/>
                <w:b/>
                <w:bCs/>
                <w:kern w:val="44"/>
                <w:sz w:val="22"/>
                <w:szCs w:val="22"/>
              </w:rPr>
              <w:t>总分</w:t>
            </w:r>
          </w:p>
        </w:tc>
        <w:tc>
          <w:tcPr>
            <w:tcW w:w="509" w:type="pct"/>
            <w:tcBorders>
              <w:top w:val="single" w:color="000000" w:sz="4" w:space="0"/>
              <w:tl2br w:val="nil"/>
              <w:tr2bl w:val="nil"/>
            </w:tcBorders>
            <w:shd w:val="clear" w:color="auto" w:fill="auto"/>
            <w:vAlign w:val="center"/>
          </w:tcPr>
          <w:p>
            <w:pPr>
              <w:spacing w:line="240" w:lineRule="auto"/>
              <w:jc w:val="center"/>
              <w:rPr>
                <w:rFonts w:ascii="仿宋" w:hAnsi="仿宋" w:eastAsia="仿宋"/>
                <w:kern w:val="44"/>
                <w:sz w:val="22"/>
                <w:szCs w:val="22"/>
              </w:rPr>
            </w:pPr>
            <w:r>
              <w:rPr>
                <w:rFonts w:ascii="Times New Roman" w:hAnsi="Times New Roman" w:eastAsia="仿宋" w:cs="Times New Roman"/>
                <w:kern w:val="44"/>
                <w:sz w:val="22"/>
                <w:szCs w:val="22"/>
              </w:rPr>
              <w:t>89</w:t>
            </w:r>
            <w:r>
              <w:rPr>
                <w:rFonts w:ascii="仿宋" w:hAnsi="仿宋" w:eastAsia="仿宋"/>
                <w:kern w:val="44"/>
                <w:sz w:val="22"/>
                <w:szCs w:val="22"/>
              </w:rPr>
              <w:t>.</w:t>
            </w:r>
            <w:r>
              <w:rPr>
                <w:rFonts w:ascii="Times New Roman" w:hAnsi="Times New Roman" w:eastAsia="仿宋" w:cs="Times New Roman"/>
                <w:kern w:val="44"/>
                <w:sz w:val="22"/>
                <w:szCs w:val="22"/>
              </w:rPr>
              <w:t>45</w:t>
            </w:r>
          </w:p>
        </w:tc>
      </w:tr>
    </w:tbl>
    <w:p>
      <w:pPr>
        <w:spacing w:before="312" w:beforeLines="100" w:after="156" w:afterLines="50"/>
        <w:ind w:firstLine="643" w:firstLineChars="200"/>
        <w:outlineLvl w:val="1"/>
        <w:rPr>
          <w:rFonts w:ascii="仿宋" w:hAnsi="仿宋" w:eastAsia="仿宋" w:cs="Times New Roman"/>
          <w:b/>
          <w:bCs/>
          <w:sz w:val="32"/>
          <w:szCs w:val="32"/>
        </w:rPr>
      </w:pPr>
      <w:bookmarkStart w:id="72" w:name="_Toc91072331"/>
      <w:bookmarkStart w:id="73" w:name="_Toc23853"/>
      <w:bookmarkStart w:id="74" w:name="_Toc5288"/>
      <w:bookmarkStart w:id="75" w:name="_Toc1437774290"/>
      <w:r>
        <w:rPr>
          <w:rFonts w:hint="eastAsia" w:ascii="仿宋" w:hAnsi="仿宋" w:eastAsia="仿宋" w:cs="Times New Roman"/>
          <w:b/>
          <w:bCs/>
          <w:sz w:val="32"/>
          <w:szCs w:val="32"/>
        </w:rPr>
        <w:t>二</w:t>
      </w:r>
      <w:r>
        <w:rPr>
          <w:rFonts w:ascii="仿宋" w:hAnsi="仿宋" w:eastAsia="仿宋" w:cs="Times New Roman"/>
          <w:b/>
          <w:bCs/>
          <w:sz w:val="32"/>
          <w:szCs w:val="32"/>
        </w:rPr>
        <w:t>、绩效评价指标分析</w:t>
      </w:r>
      <w:bookmarkEnd w:id="72"/>
      <w:bookmarkEnd w:id="73"/>
      <w:bookmarkEnd w:id="74"/>
      <w:bookmarkEnd w:id="75"/>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从整体来看，</w:t>
      </w:r>
      <w:r>
        <w:rPr>
          <w:rFonts w:ascii="Times New Roman" w:hAnsi="Times New Roman" w:eastAsia="仿宋" w:cs="Times New Roman"/>
          <w:color w:val="333333"/>
          <w:shd w:val="clear" w:color="auto" w:fill="FFFFFF"/>
        </w:rPr>
        <w:t>2019</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年惠安县高标准农田建设</w:t>
      </w:r>
      <w:r>
        <w:rPr>
          <w:rFonts w:ascii="仿宋" w:hAnsi="仿宋" w:eastAsia="仿宋"/>
          <w:color w:val="333333"/>
          <w:shd w:val="clear" w:color="auto" w:fill="FFFFFF"/>
        </w:rPr>
        <w:t>资金运作较规范，资金使用及时，整体实施情况良好，较好地完成了项目设定的各项目标。下面从项目决策、过程、产出、效益</w:t>
      </w:r>
      <w:r>
        <w:rPr>
          <w:rFonts w:hint="eastAsia" w:ascii="仿宋" w:hAnsi="仿宋" w:eastAsia="仿宋"/>
          <w:color w:val="333333"/>
          <w:shd w:val="clear" w:color="auto" w:fill="FFFFFF"/>
        </w:rPr>
        <w:t>四</w:t>
      </w:r>
      <w:r>
        <w:rPr>
          <w:rFonts w:ascii="仿宋" w:hAnsi="仿宋" w:eastAsia="仿宋"/>
          <w:color w:val="333333"/>
          <w:shd w:val="clear" w:color="auto" w:fill="FFFFFF"/>
        </w:rPr>
        <w:t>个维度具体分析项目运行情况：</w:t>
      </w:r>
    </w:p>
    <w:p>
      <w:pPr>
        <w:ind w:firstLine="562" w:firstLineChars="200"/>
        <w:outlineLvl w:val="2"/>
        <w:rPr>
          <w:rFonts w:ascii="仿宋" w:hAnsi="仿宋" w:eastAsia="仿宋" w:cs="Times New Roman"/>
          <w:b/>
          <w:bCs/>
          <w:szCs w:val="28"/>
        </w:rPr>
      </w:pPr>
      <w:bookmarkStart w:id="76" w:name="_Toc4755"/>
      <w:bookmarkStart w:id="77" w:name="_Toc91072332"/>
      <w:bookmarkStart w:id="78" w:name="_Toc1112479117"/>
      <w:bookmarkStart w:id="79" w:name="_Toc1438"/>
      <w:r>
        <w:rPr>
          <w:rFonts w:ascii="仿宋" w:hAnsi="仿宋" w:eastAsia="仿宋" w:cs="Times New Roman"/>
          <w:b/>
          <w:bCs/>
          <w:szCs w:val="28"/>
        </w:rPr>
        <w:t>（一）项目决策情况</w:t>
      </w:r>
      <w:bookmarkEnd w:id="76"/>
      <w:bookmarkEnd w:id="77"/>
      <w:bookmarkEnd w:id="78"/>
      <w:bookmarkEnd w:id="79"/>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项目决策维度的评价主要从项目立项、绩效目标和资金投入三个方面展开。</w:t>
      </w:r>
      <w:r>
        <w:rPr>
          <w:rFonts w:hint="eastAsia" w:ascii="仿宋" w:hAnsi="仿宋" w:eastAsia="仿宋"/>
          <w:color w:val="333333"/>
          <w:shd w:val="clear" w:color="auto" w:fill="FFFFFF"/>
        </w:rPr>
        <w:t>项目立项合规合法，资金投入科学合理，但绩效目标设置有待改进。该部分总分</w:t>
      </w:r>
      <w:r>
        <w:rPr>
          <w:rFonts w:ascii="Times New Roman" w:hAnsi="Times New Roman" w:eastAsia="仿宋" w:cs="Times New Roman"/>
          <w:color w:val="333333"/>
          <w:shd w:val="clear" w:color="auto" w:fill="FFFFFF"/>
        </w:rPr>
        <w:t>15</w:t>
      </w:r>
      <w:r>
        <w:rPr>
          <w:rFonts w:hint="eastAsia" w:ascii="仿宋" w:hAnsi="仿宋" w:eastAsia="仿宋"/>
          <w:color w:val="333333"/>
          <w:shd w:val="clear" w:color="auto" w:fill="FFFFFF"/>
        </w:rPr>
        <w:t>分，得分</w:t>
      </w:r>
      <w:r>
        <w:rPr>
          <w:rFonts w:ascii="Times New Roman" w:hAnsi="Times New Roman" w:eastAsia="仿宋" w:cs="Times New Roman"/>
          <w:color w:val="333333"/>
          <w:shd w:val="clear" w:color="auto" w:fill="FFFFFF"/>
        </w:rPr>
        <w:t>14</w:t>
      </w:r>
      <w:r>
        <w:rPr>
          <w:rFonts w:hint="eastAsia" w:ascii="仿宋" w:hAnsi="仿宋" w:eastAsia="仿宋"/>
          <w:color w:val="333333"/>
          <w:shd w:val="clear" w:color="auto" w:fill="FFFFFF"/>
        </w:rPr>
        <w:t>分，扣分</w:t>
      </w:r>
      <w:r>
        <w:rPr>
          <w:rFonts w:ascii="Times New Roman" w:hAnsi="Times New Roman" w:eastAsia="仿宋" w:cs="Times New Roman"/>
          <w:color w:val="333333"/>
          <w:shd w:val="clear" w:color="auto" w:fill="FFFFFF"/>
        </w:rPr>
        <w:t>1</w:t>
      </w:r>
      <w:r>
        <w:rPr>
          <w:rFonts w:hint="eastAsia" w:ascii="仿宋" w:hAnsi="仿宋" w:eastAsia="仿宋"/>
          <w:color w:val="333333"/>
          <w:shd w:val="clear" w:color="auto" w:fill="FFFFFF"/>
        </w:rPr>
        <w:t>分。</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在项目立项方面，</w:t>
      </w:r>
      <w:r>
        <w:rPr>
          <w:rFonts w:ascii="Times New Roman" w:hAnsi="Times New Roman" w:eastAsia="仿宋" w:cs="Times New Roman"/>
          <w:color w:val="333333"/>
          <w:shd w:val="clear" w:color="auto" w:fill="FFFFFF"/>
        </w:rPr>
        <w:t>2019</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年惠安县高标准农田建设</w:t>
      </w:r>
      <w:r>
        <w:rPr>
          <w:rFonts w:ascii="仿宋" w:hAnsi="仿宋" w:eastAsia="仿宋"/>
          <w:color w:val="333333"/>
          <w:shd w:val="clear" w:color="auto" w:fill="FFFFFF"/>
        </w:rPr>
        <w:t>资金</w:t>
      </w:r>
      <w:r>
        <w:rPr>
          <w:rFonts w:hint="eastAsia" w:ascii="仿宋" w:hAnsi="仿宋" w:eastAsia="仿宋"/>
          <w:color w:val="333333"/>
          <w:shd w:val="clear" w:color="auto" w:fill="FFFFFF"/>
        </w:rPr>
        <w:t>从项目立项起便依据《福建省农田建设补助资金管理办法实施细则》（闽财农〔</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40</w:t>
      </w:r>
      <w:r>
        <w:rPr>
          <w:rFonts w:hint="eastAsia" w:ascii="仿宋" w:hAnsi="仿宋" w:eastAsia="仿宋"/>
          <w:color w:val="333333"/>
          <w:shd w:val="clear" w:color="auto" w:fill="FFFFFF"/>
        </w:rPr>
        <w:t>号）、《福建省农田建设项目管理实施办法》（闽农综〔</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127</w:t>
      </w:r>
      <w:r>
        <w:rPr>
          <w:rFonts w:hint="eastAsia" w:ascii="仿宋" w:hAnsi="仿宋" w:eastAsia="仿宋"/>
          <w:color w:val="333333"/>
          <w:shd w:val="clear" w:color="auto" w:fill="FFFFFF"/>
        </w:rPr>
        <w:t>号）等政策文件，农田建设项目实施项目库管理，均在征求项目区农村集体经济组织和农户意见后，在完成项目区实地测绘和勘察的基础上，编制项目初步设计文件，项目立项依据充分，程序规范。</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在绩效目标方面，</w:t>
      </w:r>
      <w:r>
        <w:rPr>
          <w:rFonts w:ascii="Times New Roman" w:hAnsi="Times New Roman" w:eastAsia="仿宋" w:cs="Times New Roman"/>
          <w:color w:val="333333"/>
          <w:shd w:val="clear" w:color="auto" w:fill="FFFFFF"/>
        </w:rPr>
        <w:t>2020</w:t>
      </w:r>
      <w:r>
        <w:rPr>
          <w:rFonts w:hint="eastAsia" w:ascii="仿宋" w:hAnsi="仿宋" w:eastAsia="仿宋"/>
          <w:color w:val="333333"/>
          <w:shd w:val="clear" w:color="auto" w:fill="FFFFFF"/>
        </w:rPr>
        <w:t>年和</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年惠安县高标准农田建设绩效自评材料缺失，部分年份绩效自评材料在绩效目标设置方面有所欠缺。例如，</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年高标准农田建设项目的县级预算项目绩效自评报告中，“新增高标准农田面积”指标的目标值为</w:t>
      </w:r>
      <w:r>
        <w:rPr>
          <w:rFonts w:ascii="Times New Roman" w:hAnsi="Times New Roman" w:eastAsia="仿宋" w:cs="Times New Roman"/>
          <w:color w:val="333333"/>
          <w:shd w:val="clear" w:color="auto" w:fill="FFFFFF"/>
        </w:rPr>
        <w:t>21000</w:t>
      </w:r>
      <w:r>
        <w:rPr>
          <w:rFonts w:hint="eastAsia" w:ascii="仿宋" w:hAnsi="仿宋" w:eastAsia="仿宋"/>
          <w:color w:val="333333"/>
          <w:shd w:val="clear" w:color="auto" w:fill="FFFFFF"/>
        </w:rPr>
        <w:t>亩，与</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年任务数的</w:t>
      </w:r>
      <w:r>
        <w:rPr>
          <w:rFonts w:ascii="Times New Roman" w:hAnsi="Times New Roman" w:eastAsia="仿宋" w:cs="Times New Roman"/>
          <w:color w:val="333333"/>
          <w:shd w:val="clear" w:color="auto" w:fill="FFFFFF"/>
        </w:rPr>
        <w:t>10000</w:t>
      </w:r>
      <w:r>
        <w:rPr>
          <w:rFonts w:hint="eastAsia" w:ascii="仿宋" w:hAnsi="仿宋" w:eastAsia="仿宋"/>
          <w:color w:val="333333"/>
          <w:shd w:val="clear" w:color="auto" w:fill="FFFFFF"/>
        </w:rPr>
        <w:t>亩相差较大，</w:t>
      </w:r>
      <w:r>
        <w:rPr>
          <w:rFonts w:ascii="仿宋" w:hAnsi="仿宋" w:eastAsia="仿宋"/>
          <w:color w:val="333333"/>
          <w:shd w:val="clear" w:color="auto" w:fill="FFFFFF"/>
        </w:rPr>
        <w:t>预算绩效目标设置</w:t>
      </w:r>
      <w:r>
        <w:rPr>
          <w:rFonts w:hint="eastAsia" w:ascii="仿宋" w:hAnsi="仿宋" w:eastAsia="仿宋"/>
          <w:color w:val="333333"/>
          <w:shd w:val="clear" w:color="auto" w:fill="FFFFFF"/>
        </w:rPr>
        <w:t>与项目任务数未相对应，因此此项扣</w:t>
      </w:r>
      <w:r>
        <w:rPr>
          <w:rFonts w:ascii="Times New Roman" w:hAnsi="Times New Roman" w:eastAsia="仿宋" w:cs="Times New Roman"/>
          <w:color w:val="333333"/>
          <w:shd w:val="clear" w:color="auto" w:fill="FFFFFF"/>
        </w:rPr>
        <w:t>1</w:t>
      </w:r>
      <w:r>
        <w:rPr>
          <w:rFonts w:hint="eastAsia" w:ascii="仿宋" w:hAnsi="仿宋" w:eastAsia="仿宋"/>
          <w:color w:val="333333"/>
          <w:shd w:val="clear" w:color="auto" w:fill="FFFFFF"/>
        </w:rPr>
        <w:t>分</w:t>
      </w:r>
      <w:r>
        <w:rPr>
          <w:rFonts w:ascii="仿宋" w:hAnsi="仿宋" w:eastAsia="仿宋"/>
          <w:color w:val="333333"/>
          <w:shd w:val="clear" w:color="auto" w:fill="FFFFFF"/>
        </w:rPr>
        <w:t>。</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在资金投入方面，根据各年项目批复相关文件，项目预算编制经过科学论证；</w:t>
      </w:r>
      <w:r>
        <w:rPr>
          <w:rFonts w:ascii="仿宋" w:hAnsi="仿宋" w:eastAsia="仿宋"/>
          <w:color w:val="333333"/>
          <w:shd w:val="clear" w:color="auto" w:fill="FFFFFF"/>
        </w:rPr>
        <w:t>预算内容与项目内容匹配；预算额度测算依据充分，</w:t>
      </w:r>
      <w:r>
        <w:rPr>
          <w:rFonts w:hint="eastAsia" w:ascii="仿宋" w:hAnsi="仿宋" w:eastAsia="仿宋"/>
          <w:color w:val="333333"/>
          <w:shd w:val="clear" w:color="auto" w:fill="FFFFFF"/>
        </w:rPr>
        <w:t>并</w:t>
      </w:r>
      <w:r>
        <w:rPr>
          <w:rFonts w:ascii="仿宋" w:hAnsi="仿宋" w:eastAsia="仿宋"/>
          <w:color w:val="333333"/>
          <w:shd w:val="clear" w:color="auto" w:fill="FFFFFF"/>
        </w:rPr>
        <w:t>按照标准编制；预算确定的项目投资额</w:t>
      </w:r>
      <w:r>
        <w:rPr>
          <w:rFonts w:hint="eastAsia" w:ascii="仿宋" w:hAnsi="仿宋" w:eastAsia="仿宋"/>
          <w:color w:val="333333"/>
          <w:shd w:val="clear" w:color="auto" w:fill="FFFFFF"/>
        </w:rPr>
        <w:t>或资金量</w:t>
      </w:r>
      <w:r>
        <w:rPr>
          <w:rFonts w:ascii="仿宋" w:hAnsi="仿宋" w:eastAsia="仿宋"/>
          <w:color w:val="333333"/>
          <w:shd w:val="clear" w:color="auto" w:fill="FFFFFF"/>
        </w:rPr>
        <w:t>与工作任务相匹配。</w:t>
      </w:r>
    </w:p>
    <w:p>
      <w:pPr>
        <w:ind w:firstLine="562" w:firstLineChars="200"/>
        <w:outlineLvl w:val="2"/>
        <w:rPr>
          <w:rFonts w:ascii="仿宋" w:hAnsi="仿宋" w:eastAsia="仿宋" w:cs="Times New Roman"/>
          <w:b/>
          <w:bCs/>
          <w:szCs w:val="28"/>
        </w:rPr>
      </w:pPr>
      <w:bookmarkStart w:id="80" w:name="_Toc1906621488"/>
      <w:bookmarkStart w:id="81" w:name="_Toc91072333"/>
      <w:bookmarkStart w:id="82" w:name="_Toc29380"/>
      <w:bookmarkStart w:id="83" w:name="_Toc5544"/>
      <w:r>
        <w:rPr>
          <w:rFonts w:ascii="仿宋" w:hAnsi="仿宋" w:eastAsia="仿宋" w:cs="Times New Roman"/>
          <w:b/>
          <w:bCs/>
          <w:szCs w:val="28"/>
        </w:rPr>
        <w:t>（二）项目过程情况</w:t>
      </w:r>
      <w:bookmarkEnd w:id="80"/>
      <w:bookmarkEnd w:id="81"/>
      <w:bookmarkEnd w:id="82"/>
      <w:bookmarkEnd w:id="83"/>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项目过程维度的评价主要从资金管理和组织实施两个方面展开。</w:t>
      </w:r>
      <w:bookmarkStart w:id="84" w:name="_Hlk152013271"/>
      <w:r>
        <w:rPr>
          <w:rFonts w:hint="eastAsia" w:ascii="仿宋" w:hAnsi="仿宋" w:eastAsia="仿宋"/>
          <w:color w:val="333333"/>
          <w:shd w:val="clear" w:color="auto" w:fill="FFFFFF"/>
        </w:rPr>
        <w:t>项目资金管理合规，组织实施有据可依，但资金执行进度有待优化，工程材料管理工作有待加强。该部分总分</w:t>
      </w:r>
      <w:r>
        <w:rPr>
          <w:rFonts w:ascii="Times New Roman" w:hAnsi="Times New Roman" w:eastAsia="仿宋" w:cs="Times New Roman"/>
          <w:color w:val="333333"/>
          <w:shd w:val="clear" w:color="auto" w:fill="FFFFFF"/>
        </w:rPr>
        <w:t>15</w:t>
      </w:r>
      <w:r>
        <w:rPr>
          <w:rFonts w:hint="eastAsia" w:ascii="仿宋" w:hAnsi="仿宋" w:eastAsia="仿宋"/>
          <w:color w:val="333333"/>
          <w:shd w:val="clear" w:color="auto" w:fill="FFFFFF"/>
        </w:rPr>
        <w:t>分，得分</w:t>
      </w:r>
      <w:r>
        <w:rPr>
          <w:rFonts w:ascii="Times New Roman" w:hAnsi="Times New Roman" w:eastAsia="仿宋" w:cs="Times New Roman"/>
          <w:color w:val="333333"/>
          <w:shd w:val="clear" w:color="auto" w:fill="FFFFFF"/>
        </w:rPr>
        <w:t>13</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83</w:t>
      </w:r>
      <w:r>
        <w:rPr>
          <w:rFonts w:hint="eastAsia" w:ascii="仿宋" w:hAnsi="仿宋" w:eastAsia="仿宋"/>
          <w:color w:val="333333"/>
          <w:shd w:val="clear" w:color="auto" w:fill="FFFFFF"/>
        </w:rPr>
        <w:t>分，扣分</w:t>
      </w:r>
      <w:r>
        <w:rPr>
          <w:rFonts w:ascii="Times New Roman" w:hAnsi="Times New Roman" w:eastAsia="仿宋" w:cs="Times New Roman"/>
          <w:color w:val="333333"/>
          <w:shd w:val="clear" w:color="auto" w:fill="FFFFFF"/>
        </w:rPr>
        <w:t>1</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17</w:t>
      </w:r>
      <w:r>
        <w:rPr>
          <w:rFonts w:hint="eastAsia" w:ascii="仿宋" w:hAnsi="仿宋" w:eastAsia="仿宋"/>
          <w:color w:val="333333"/>
          <w:shd w:val="clear" w:color="auto" w:fill="FFFFFF"/>
        </w:rPr>
        <w:t>分。</w:t>
      </w:r>
      <w:bookmarkEnd w:id="84"/>
    </w:p>
    <w:p>
      <w:pPr>
        <w:ind w:firstLine="560" w:firstLineChars="200"/>
        <w:rPr>
          <w:rFonts w:ascii="仿宋" w:hAnsi="仿宋" w:eastAsia="仿宋"/>
          <w:shd w:val="clear" w:color="auto" w:fill="FFFFFF"/>
        </w:rPr>
      </w:pPr>
      <w:r>
        <w:rPr>
          <w:rFonts w:hint="eastAsia" w:ascii="仿宋" w:hAnsi="仿宋" w:eastAsia="仿宋"/>
          <w:color w:val="333333"/>
          <w:shd w:val="clear" w:color="auto" w:fill="FFFFFF"/>
        </w:rPr>
        <w:t>在资金管理上，专项资金总预算执行率为</w:t>
      </w:r>
      <w:r>
        <w:rPr>
          <w:rFonts w:ascii="Times New Roman" w:hAnsi="Times New Roman" w:eastAsia="仿宋" w:cs="Times New Roman"/>
          <w:color w:val="333333"/>
          <w:shd w:val="clear" w:color="auto" w:fill="FFFFFF"/>
        </w:rPr>
        <w:t>95</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78</w:t>
      </w:r>
      <w:r>
        <w:rPr>
          <w:rFonts w:hint="eastAsia" w:ascii="仿宋" w:hAnsi="仿宋" w:eastAsia="仿宋"/>
          <w:color w:val="333333"/>
          <w:shd w:val="clear" w:color="auto" w:fill="FFFFFF"/>
        </w:rPr>
        <w:t>%，资金执行率未达</w:t>
      </w:r>
      <w:r>
        <w:rPr>
          <w:rFonts w:ascii="Times New Roman" w:hAnsi="Times New Roman" w:eastAsia="仿宋" w:cs="Times New Roman"/>
          <w:color w:val="333333"/>
          <w:shd w:val="clear" w:color="auto" w:fill="FFFFFF"/>
        </w:rPr>
        <w:t>100</w:t>
      </w:r>
      <w:r>
        <w:rPr>
          <w:rFonts w:hint="eastAsia" w:ascii="仿宋" w:hAnsi="仿宋" w:eastAsia="仿宋"/>
          <w:color w:val="333333"/>
          <w:shd w:val="clear" w:color="auto" w:fill="FFFFFF"/>
        </w:rPr>
        <w:t>%，因此此项扣</w:t>
      </w:r>
      <w:r>
        <w:rPr>
          <w:rFonts w:ascii="Times New Roman" w:hAnsi="Times New Roman" w:eastAsia="仿宋" w:cs="Times New Roman"/>
          <w:color w:val="333333"/>
          <w:shd w:val="clear" w:color="auto" w:fill="FFFFFF"/>
        </w:rPr>
        <w:t>0</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17</w:t>
      </w:r>
      <w:r>
        <w:rPr>
          <w:rFonts w:hint="eastAsia" w:ascii="仿宋" w:hAnsi="仿宋" w:eastAsia="仿宋"/>
          <w:color w:val="333333"/>
          <w:shd w:val="clear" w:color="auto" w:fill="FFFFFF"/>
        </w:rPr>
        <w:t>分</w:t>
      </w:r>
      <w:r>
        <w:rPr>
          <w:rFonts w:hint="eastAsia"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4</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4</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95</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78</w:t>
      </w:r>
      <w:r>
        <w:rPr>
          <w:rFonts w:ascii="仿宋" w:hAnsi="仿宋" w:eastAsia="仿宋" w:cs="Times New Roman"/>
          <w:color w:val="333333"/>
          <w:shd w:val="clear" w:color="auto" w:fill="FFFFFF"/>
        </w:rPr>
        <w:t>%</w:t>
      </w:r>
      <w:r>
        <w:rPr>
          <w:rFonts w:hint="eastAsia" w:ascii="仿宋" w:hAnsi="仿宋" w:eastAsia="仿宋" w:cs="Times New Roman"/>
          <w:color w:val="333333"/>
          <w:shd w:val="clear" w:color="auto" w:fill="FFFFFF"/>
        </w:rPr>
        <w:t>）</w:t>
      </w:r>
      <w:r>
        <w:rPr>
          <w:rFonts w:hint="eastAsia" w:ascii="仿宋" w:hAnsi="仿宋" w:eastAsia="仿宋"/>
          <w:color w:val="333333"/>
          <w:shd w:val="clear" w:color="auto" w:fill="FFFFFF"/>
        </w:rPr>
        <w:t>。专项</w:t>
      </w:r>
      <w:r>
        <w:rPr>
          <w:rFonts w:ascii="仿宋" w:hAnsi="仿宋" w:eastAsia="仿宋"/>
          <w:color w:val="333333"/>
          <w:shd w:val="clear" w:color="auto" w:fill="FFFFFF"/>
        </w:rPr>
        <w:t>资金使用符合国家财经法规和财务管理制度以及有关专项资金管理办法的规定；资金的拨付有完整的审批程序和手续；资金使用符合项目资金批复或合同规定的用途；不存在挤占、挪用、虚列支出等情况。</w:t>
      </w:r>
    </w:p>
    <w:p>
      <w:pPr>
        <w:ind w:firstLine="560" w:firstLineChars="200"/>
        <w:rPr>
          <w:rFonts w:ascii="仿宋" w:hAnsi="仿宋" w:eastAsia="仿宋"/>
          <w:shd w:val="clear" w:color="auto" w:fill="FFFFFF"/>
        </w:rPr>
      </w:pPr>
      <w:r>
        <w:rPr>
          <w:rFonts w:hint="eastAsia" w:ascii="仿宋" w:hAnsi="仿宋" w:eastAsia="仿宋"/>
          <w:color w:val="333333"/>
          <w:shd w:val="clear" w:color="auto" w:fill="FFFFFF"/>
        </w:rPr>
        <w:t>在组织实施上，</w:t>
      </w:r>
      <w:r>
        <w:rPr>
          <w:rFonts w:ascii="仿宋" w:hAnsi="仿宋" w:eastAsia="仿宋"/>
          <w:color w:val="333333"/>
          <w:shd w:val="clear" w:color="auto" w:fill="FFFFFF"/>
        </w:rPr>
        <w:t>已具有相应的财务和业务管理制度；财务和业务管理制度合法、合规、完整</w:t>
      </w:r>
      <w:r>
        <w:rPr>
          <w:rFonts w:hint="eastAsia" w:ascii="仿宋" w:hAnsi="仿宋" w:eastAsia="仿宋"/>
          <w:color w:val="333333"/>
          <w:shd w:val="clear" w:color="auto" w:fill="FFFFFF"/>
        </w:rPr>
        <w:t>，</w:t>
      </w:r>
      <w:r>
        <w:rPr>
          <w:rFonts w:ascii="仿宋" w:hAnsi="仿宋" w:eastAsia="仿宋"/>
          <w:color w:val="333333"/>
          <w:shd w:val="clear" w:color="auto" w:fill="FFFFFF"/>
        </w:rPr>
        <w:t>对项目顺利实施提供了保障。</w:t>
      </w:r>
      <w:r>
        <w:rPr>
          <w:rFonts w:hint="eastAsia" w:ascii="仿宋" w:hAnsi="仿宋" w:eastAsia="仿宋"/>
          <w:color w:val="333333"/>
          <w:shd w:val="clear" w:color="auto" w:fill="FFFFFF"/>
        </w:rPr>
        <w:t>县农业农村局</w:t>
      </w:r>
      <w:r>
        <w:rPr>
          <w:rFonts w:ascii="仿宋" w:hAnsi="仿宋" w:eastAsia="仿宋"/>
          <w:color w:val="333333"/>
          <w:shd w:val="clear" w:color="auto" w:fill="FFFFFF"/>
        </w:rPr>
        <w:t>依据相关法律法规和相关管理规定实施项目</w:t>
      </w:r>
      <w:r>
        <w:rPr>
          <w:rFonts w:hint="eastAsia" w:ascii="仿宋" w:hAnsi="仿宋" w:eastAsia="仿宋"/>
          <w:color w:val="333333"/>
          <w:shd w:val="clear" w:color="auto" w:fill="FFFFFF"/>
        </w:rPr>
        <w:t>，然而部分项目的验收报告中提出优化项目资料管理的意见，即</w:t>
      </w:r>
      <w:r>
        <w:rPr>
          <w:rFonts w:hint="eastAsia" w:ascii="仿宋" w:hAnsi="仿宋" w:eastAsia="仿宋"/>
          <w:shd w:val="clear" w:color="auto" w:fill="FFFFFF"/>
        </w:rPr>
        <w:t>建设单位资料、监理单位资料或施工单位</w:t>
      </w:r>
      <w:r>
        <w:rPr>
          <w:rFonts w:ascii="仿宋" w:hAnsi="仿宋" w:eastAsia="仿宋"/>
          <w:color w:val="333333"/>
          <w:shd w:val="clear" w:color="auto" w:fill="FFFFFF"/>
        </w:rPr>
        <w:t>资料</w:t>
      </w:r>
      <w:r>
        <w:rPr>
          <w:rFonts w:hint="eastAsia" w:ascii="仿宋" w:hAnsi="仿宋" w:eastAsia="仿宋"/>
          <w:color w:val="333333"/>
          <w:shd w:val="clear" w:color="auto" w:fill="FFFFFF"/>
        </w:rPr>
        <w:t>等需要补充</w:t>
      </w:r>
      <w:r>
        <w:rPr>
          <w:rFonts w:ascii="仿宋" w:hAnsi="仿宋" w:eastAsia="仿宋"/>
          <w:color w:val="333333"/>
          <w:shd w:val="clear" w:color="auto" w:fill="FFFFFF"/>
        </w:rPr>
        <w:t>归档</w:t>
      </w:r>
      <w:r>
        <w:rPr>
          <w:rFonts w:hint="eastAsia" w:ascii="仿宋" w:hAnsi="仿宋" w:eastAsia="仿宋"/>
          <w:color w:val="333333"/>
          <w:shd w:val="clear" w:color="auto" w:fill="FFFFFF"/>
        </w:rPr>
        <w:t>，因此此项扣</w:t>
      </w:r>
      <w:r>
        <w:rPr>
          <w:rFonts w:ascii="Times New Roman" w:hAnsi="Times New Roman" w:eastAsia="仿宋" w:cs="Times New Roman"/>
          <w:color w:val="333333"/>
          <w:shd w:val="clear" w:color="auto" w:fill="FFFFFF"/>
        </w:rPr>
        <w:t>1</w:t>
      </w:r>
      <w:r>
        <w:rPr>
          <w:rFonts w:hint="eastAsia" w:ascii="仿宋" w:hAnsi="仿宋" w:eastAsia="仿宋"/>
          <w:color w:val="333333"/>
          <w:shd w:val="clear" w:color="auto" w:fill="FFFFFF"/>
        </w:rPr>
        <w:t>分</w:t>
      </w:r>
      <w:r>
        <w:rPr>
          <w:rFonts w:ascii="仿宋" w:hAnsi="仿宋" w:eastAsia="仿宋"/>
          <w:color w:val="333333"/>
          <w:shd w:val="clear" w:color="auto" w:fill="FFFFFF"/>
        </w:rPr>
        <w:t>；项目实施的人员条件、场地设备、信息支撑等落实到位。</w:t>
      </w:r>
    </w:p>
    <w:p>
      <w:pPr>
        <w:ind w:firstLine="562" w:firstLineChars="200"/>
        <w:outlineLvl w:val="2"/>
        <w:rPr>
          <w:rFonts w:ascii="仿宋" w:hAnsi="仿宋" w:eastAsia="仿宋" w:cs="Times New Roman"/>
          <w:b/>
          <w:bCs/>
          <w:szCs w:val="28"/>
        </w:rPr>
      </w:pPr>
      <w:bookmarkStart w:id="85" w:name="_Toc29206"/>
      <w:r>
        <w:rPr>
          <w:rFonts w:hint="eastAsia" w:ascii="仿宋" w:hAnsi="仿宋" w:eastAsia="仿宋" w:cs="Times New Roman"/>
          <w:b/>
          <w:bCs/>
          <w:szCs w:val="28"/>
        </w:rPr>
        <w:t>（</w:t>
      </w:r>
      <w:r>
        <w:rPr>
          <w:rFonts w:ascii="仿宋" w:hAnsi="仿宋" w:eastAsia="仿宋" w:cs="Times New Roman"/>
          <w:b/>
          <w:bCs/>
          <w:szCs w:val="28"/>
        </w:rPr>
        <w:t>三）项目产出情况</w:t>
      </w:r>
      <w:bookmarkEnd w:id="85"/>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项目产出维度的评价主要从项目产出数量、质量、时效和成本四个方面展开</w:t>
      </w:r>
      <w:r>
        <w:rPr>
          <w:rFonts w:hint="eastAsia" w:ascii="仿宋" w:hAnsi="仿宋" w:eastAsia="仿宋"/>
          <w:color w:val="333333"/>
          <w:shd w:val="clear" w:color="auto" w:fill="FFFFFF"/>
        </w:rPr>
        <w:t>。项目高标准农田建设规模基本达标，质量合格，投入合理，但还存在部分建设任务未达到目标，完成及时性有待提高的问题。</w:t>
      </w:r>
      <w:r>
        <w:rPr>
          <w:rFonts w:ascii="仿宋" w:hAnsi="仿宋" w:eastAsia="仿宋"/>
          <w:color w:val="333333"/>
          <w:shd w:val="clear" w:color="auto" w:fill="FFFFFF"/>
        </w:rPr>
        <w:t>本部分</w:t>
      </w:r>
      <w:r>
        <w:rPr>
          <w:rFonts w:hint="eastAsia" w:ascii="仿宋" w:hAnsi="仿宋" w:eastAsia="仿宋"/>
          <w:color w:val="333333"/>
          <w:shd w:val="clear" w:color="auto" w:fill="FFFFFF"/>
        </w:rPr>
        <w:t>总分</w:t>
      </w:r>
      <w:r>
        <w:rPr>
          <w:rFonts w:ascii="Times New Roman" w:hAnsi="Times New Roman" w:eastAsia="仿宋" w:cs="Times New Roman"/>
          <w:color w:val="333333"/>
          <w:shd w:val="clear" w:color="auto" w:fill="FFFFFF"/>
        </w:rPr>
        <w:t>30</w:t>
      </w:r>
      <w:r>
        <w:rPr>
          <w:rFonts w:ascii="仿宋" w:hAnsi="仿宋" w:eastAsia="仿宋"/>
          <w:color w:val="333333"/>
          <w:shd w:val="clear" w:color="auto" w:fill="FFFFFF"/>
        </w:rPr>
        <w:t>分，得分</w:t>
      </w:r>
      <w:r>
        <w:rPr>
          <w:rFonts w:ascii="Times New Roman" w:hAnsi="Times New Roman" w:eastAsia="仿宋" w:cs="Times New Roman"/>
          <w:color w:val="333333"/>
          <w:shd w:val="clear" w:color="auto" w:fill="FFFFFF"/>
        </w:rPr>
        <w:t>23</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01</w:t>
      </w:r>
      <w:r>
        <w:rPr>
          <w:rFonts w:ascii="仿宋" w:hAnsi="仿宋" w:eastAsia="仿宋"/>
          <w:color w:val="333333"/>
          <w:shd w:val="clear" w:color="auto" w:fill="FFFFFF"/>
        </w:rPr>
        <w:t>分</w:t>
      </w:r>
      <w:r>
        <w:rPr>
          <w:rFonts w:hint="eastAsia" w:ascii="仿宋" w:hAnsi="仿宋" w:eastAsia="仿宋"/>
          <w:color w:val="333333"/>
          <w:shd w:val="clear" w:color="auto" w:fill="FFFFFF"/>
        </w:rPr>
        <w:t>，扣分</w:t>
      </w:r>
      <w:r>
        <w:rPr>
          <w:rFonts w:ascii="Times New Roman" w:hAnsi="Times New Roman" w:eastAsia="仿宋" w:cs="Times New Roman"/>
          <w:color w:val="333333"/>
          <w:shd w:val="clear" w:color="auto" w:fill="FFFFFF"/>
        </w:rPr>
        <w:t>6</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99</w:t>
      </w:r>
      <w:r>
        <w:rPr>
          <w:rFonts w:hint="eastAsia" w:ascii="仿宋" w:hAnsi="仿宋" w:eastAsia="仿宋"/>
          <w:color w:val="333333"/>
          <w:shd w:val="clear" w:color="auto" w:fill="FFFFFF"/>
        </w:rPr>
        <w:t>分。</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数量上，</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年惠安县高标准农田建设规划规模为</w:t>
      </w:r>
      <w:r>
        <w:rPr>
          <w:rFonts w:ascii="Times New Roman" w:hAnsi="Times New Roman" w:eastAsia="仿宋" w:cs="Times New Roman"/>
          <w:color w:val="333333"/>
          <w:shd w:val="clear" w:color="auto" w:fill="FFFFFF"/>
        </w:rPr>
        <w:t>8</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05</w:t>
      </w:r>
      <w:r>
        <w:rPr>
          <w:rFonts w:hint="eastAsia" w:ascii="仿宋" w:hAnsi="仿宋" w:eastAsia="仿宋"/>
          <w:color w:val="333333"/>
          <w:shd w:val="clear" w:color="auto" w:fill="FFFFFF"/>
        </w:rPr>
        <w:t>万亩，根据项目批复文件，</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年惠安县已进行初步设计的高标准农田面积为</w:t>
      </w:r>
      <w:r>
        <w:rPr>
          <w:rFonts w:ascii="Times New Roman" w:hAnsi="Times New Roman" w:eastAsia="仿宋" w:cs="Times New Roman"/>
          <w:color w:val="333333"/>
          <w:shd w:val="clear" w:color="auto" w:fill="FFFFFF"/>
        </w:rPr>
        <w:t>8</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6464</w:t>
      </w:r>
      <w:r>
        <w:rPr>
          <w:rFonts w:hint="eastAsia" w:ascii="仿宋" w:hAnsi="仿宋" w:eastAsia="仿宋"/>
          <w:color w:val="333333"/>
          <w:shd w:val="clear" w:color="auto" w:fill="FFFFFF"/>
        </w:rPr>
        <w:t>万亩，其中，已上图入库高标准农田面积为</w:t>
      </w:r>
      <w:r>
        <w:rPr>
          <w:rFonts w:ascii="Times New Roman" w:hAnsi="Times New Roman" w:eastAsia="仿宋" w:cs="Times New Roman"/>
          <w:color w:val="333333"/>
          <w:shd w:val="clear" w:color="auto" w:fill="FFFFFF"/>
        </w:rPr>
        <w:t>6</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6564</w:t>
      </w:r>
      <w:r>
        <w:rPr>
          <w:rFonts w:hint="eastAsia" w:ascii="仿宋" w:hAnsi="仿宋" w:eastAsia="仿宋"/>
          <w:color w:val="333333"/>
          <w:shd w:val="clear" w:color="auto" w:fill="FFFFFF"/>
        </w:rPr>
        <w:t>万亩，已完工尚未验收的高标准农田面积为</w:t>
      </w:r>
      <w:r>
        <w:rPr>
          <w:rFonts w:ascii="Times New Roman" w:hAnsi="Times New Roman" w:eastAsia="仿宋" w:cs="Times New Roman"/>
          <w:color w:val="333333"/>
          <w:shd w:val="clear" w:color="auto" w:fill="FFFFFF"/>
        </w:rPr>
        <w:t>1</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05</w:t>
      </w:r>
      <w:r>
        <w:rPr>
          <w:rFonts w:hint="eastAsia" w:ascii="仿宋" w:hAnsi="仿宋" w:eastAsia="仿宋"/>
          <w:color w:val="333333"/>
          <w:shd w:val="clear" w:color="auto" w:fill="FFFFFF"/>
        </w:rPr>
        <w:t>万亩，有</w:t>
      </w:r>
      <w:r>
        <w:rPr>
          <w:rFonts w:ascii="Times New Roman" w:hAnsi="Times New Roman" w:eastAsia="仿宋" w:cs="Times New Roman"/>
          <w:color w:val="333333"/>
          <w:shd w:val="clear" w:color="auto" w:fill="FFFFFF"/>
        </w:rPr>
        <w:t>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90</w:t>
      </w:r>
      <w:r>
        <w:rPr>
          <w:rFonts w:hint="eastAsia" w:ascii="仿宋" w:hAnsi="仿宋" w:eastAsia="仿宋"/>
          <w:color w:val="333333"/>
          <w:shd w:val="clear" w:color="auto" w:fill="FFFFFF"/>
        </w:rPr>
        <w:t>万亩的高标准农田处于在建状态。</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年完成率均超过</w:t>
      </w:r>
      <w:r>
        <w:rPr>
          <w:rFonts w:ascii="Times New Roman" w:hAnsi="Times New Roman" w:eastAsia="仿宋" w:cs="Times New Roman"/>
          <w:color w:val="333333"/>
          <w:shd w:val="clear" w:color="auto" w:fill="FFFFFF"/>
        </w:rPr>
        <w:t>100</w:t>
      </w:r>
      <w:r>
        <w:rPr>
          <w:rFonts w:ascii="仿宋" w:hAnsi="仿宋" w:eastAsia="仿宋"/>
          <w:color w:val="333333"/>
          <w:shd w:val="clear" w:color="auto" w:fill="FFFFFF"/>
        </w:rPr>
        <w:t>%</w:t>
      </w:r>
      <w:r>
        <w:rPr>
          <w:rFonts w:hint="eastAsia" w:ascii="仿宋" w:hAnsi="仿宋" w:eastAsia="仿宋"/>
          <w:color w:val="333333"/>
          <w:shd w:val="clear" w:color="auto" w:fill="FFFFFF"/>
        </w:rPr>
        <w:t>，且累计新增高标准农田数已超过规划任务数。（详见表</w:t>
      </w:r>
      <w:r>
        <w:rPr>
          <w:rFonts w:ascii="Times New Roman" w:hAnsi="Times New Roman" w:eastAsia="仿宋" w:cs="Times New Roman"/>
          <w:color w:val="333333"/>
          <w:shd w:val="clear" w:color="auto" w:fill="FFFFFF"/>
        </w:rPr>
        <w:t>8</w:t>
      </w:r>
      <w:r>
        <w:rPr>
          <w:rFonts w:hint="eastAsia" w:ascii="仿宋" w:hAnsi="仿宋" w:eastAsia="仿宋"/>
          <w:color w:val="333333"/>
          <w:shd w:val="clear" w:color="auto" w:fill="FFFFFF"/>
        </w:rPr>
        <w:t>）。然而，新增高效节水灌溉面积任务的完成情况未达到目标值。根据项目进展情况表，</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年惠安县高标准农田建设项目实际新增高效节水灌溉面积</w:t>
      </w:r>
      <w:r>
        <w:rPr>
          <w:rFonts w:ascii="Times New Roman" w:hAnsi="Times New Roman" w:eastAsia="仿宋" w:cs="Times New Roman"/>
          <w:color w:val="333333"/>
          <w:shd w:val="clear" w:color="auto" w:fill="FFFFFF"/>
        </w:rPr>
        <w:t>58</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5</w:t>
      </w:r>
      <w:r>
        <w:rPr>
          <w:rFonts w:hint="eastAsia" w:ascii="仿宋" w:hAnsi="仿宋" w:eastAsia="仿宋"/>
          <w:color w:val="333333"/>
          <w:shd w:val="clear" w:color="auto" w:fill="FFFFFF"/>
        </w:rPr>
        <w:t>亩，因此该项扣</w:t>
      </w:r>
      <w:r>
        <w:rPr>
          <w:rFonts w:ascii="Times New Roman" w:hAnsi="Times New Roman" w:eastAsia="仿宋" w:cs="Times New Roman"/>
          <w:color w:val="333333"/>
          <w:shd w:val="clear" w:color="auto" w:fill="FFFFFF"/>
        </w:rPr>
        <w:t>4</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99</w:t>
      </w:r>
      <w:r>
        <w:rPr>
          <w:rFonts w:hint="eastAsia" w:ascii="仿宋" w:hAnsi="仿宋" w:eastAsia="仿宋"/>
          <w:color w:val="333333"/>
          <w:shd w:val="clear" w:color="auto" w:fill="FFFFFF"/>
        </w:rPr>
        <w:t>分。</w:t>
      </w:r>
    </w:p>
    <w:p>
      <w:pPr>
        <w:spacing w:before="312" w:beforeLines="1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8</w:t>
      </w:r>
      <w:r>
        <w:rPr>
          <w:rFonts w:ascii="仿宋" w:hAnsi="仿宋" w:eastAsia="仿宋" w:cs="Times New Roman"/>
          <w:b/>
          <w:bCs/>
          <w:sz w:val="24"/>
        </w:rPr>
        <w:t xml:space="preserve">  </w:t>
      </w:r>
      <w:r>
        <w:rPr>
          <w:rFonts w:ascii="Times New Roman" w:hAnsi="Times New Roman" w:eastAsia="仿宋" w:cs="Times New Roman"/>
          <w:b/>
          <w:bCs/>
          <w:sz w:val="24"/>
        </w:rPr>
        <w:t>2019</w:t>
      </w:r>
      <w:r>
        <w:rPr>
          <w:rFonts w:ascii="仿宋" w:hAnsi="仿宋" w:eastAsia="仿宋" w:cs="Times New Roman"/>
          <w:b/>
          <w:bCs/>
          <w:sz w:val="24"/>
        </w:rPr>
        <w:t>-</w:t>
      </w:r>
      <w:r>
        <w:rPr>
          <w:rFonts w:ascii="Times New Roman" w:hAnsi="Times New Roman" w:eastAsia="仿宋" w:cs="Times New Roman"/>
          <w:b/>
          <w:bCs/>
          <w:sz w:val="24"/>
        </w:rPr>
        <w:t>2023</w:t>
      </w:r>
      <w:r>
        <w:rPr>
          <w:rFonts w:hint="eastAsia" w:ascii="仿宋" w:hAnsi="仿宋" w:eastAsia="仿宋" w:cs="Times New Roman"/>
          <w:b/>
          <w:bCs/>
          <w:sz w:val="24"/>
        </w:rPr>
        <w:t>年惠安县高标准农田建设任务完成情况（单位：万亩）</w:t>
      </w:r>
    </w:p>
    <w:tbl>
      <w:tblPr>
        <w:tblStyle w:val="10"/>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16"/>
        <w:gridCol w:w="1117"/>
        <w:gridCol w:w="1117"/>
        <w:gridCol w:w="1119"/>
        <w:gridCol w:w="1116"/>
        <w:gridCol w:w="1116"/>
        <w:gridCol w:w="111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blHeader/>
        </w:trPr>
        <w:tc>
          <w:tcPr>
            <w:tcW w:w="1065" w:type="pct"/>
            <w:tcBorders>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655"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655"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655"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655"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655"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657"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1065" w:type="pct"/>
            <w:tcBorders>
              <w:top w:val="single" w:color="auto" w:sz="4" w:space="0"/>
              <w:bottom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高标准农田建设任务</w:t>
            </w:r>
          </w:p>
        </w:tc>
        <w:tc>
          <w:tcPr>
            <w:tcW w:w="655" w:type="pct"/>
            <w:tcBorders>
              <w:top w:val="single" w:color="auto" w:sz="4" w:space="0"/>
              <w:bottom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2</w:t>
            </w:r>
            <w:r>
              <w:rPr>
                <w:rFonts w:hint="eastAsia" w:ascii="仿宋" w:hAnsi="仿宋" w:eastAsia="仿宋"/>
                <w:color w:val="000000"/>
                <w:sz w:val="22"/>
                <w:szCs w:val="22"/>
              </w:rPr>
              <w:t>.</w:t>
            </w:r>
            <w:r>
              <w:rPr>
                <w:rFonts w:ascii="Times New Roman" w:hAnsi="Times New Roman" w:eastAsia="仿宋" w:cs="Times New Roman"/>
                <w:color w:val="000000"/>
                <w:sz w:val="22"/>
                <w:szCs w:val="22"/>
              </w:rPr>
              <w:t>3800</w:t>
            </w:r>
          </w:p>
        </w:tc>
        <w:tc>
          <w:tcPr>
            <w:tcW w:w="655" w:type="pct"/>
            <w:tcBorders>
              <w:top w:val="single" w:color="auto" w:sz="4" w:space="0"/>
              <w:bottom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2</w:t>
            </w:r>
            <w:r>
              <w:rPr>
                <w:rFonts w:hint="eastAsia" w:ascii="仿宋" w:hAnsi="仿宋" w:eastAsia="仿宋"/>
                <w:color w:val="000000"/>
                <w:sz w:val="22"/>
                <w:szCs w:val="22"/>
              </w:rPr>
              <w:t>.</w:t>
            </w:r>
            <w:r>
              <w:rPr>
                <w:rFonts w:ascii="Times New Roman" w:hAnsi="Times New Roman" w:eastAsia="仿宋" w:cs="Times New Roman"/>
                <w:color w:val="000000"/>
                <w:sz w:val="22"/>
                <w:szCs w:val="22"/>
              </w:rPr>
              <w:t>2700</w:t>
            </w:r>
          </w:p>
        </w:tc>
        <w:tc>
          <w:tcPr>
            <w:tcW w:w="655" w:type="pct"/>
            <w:tcBorders>
              <w:top w:val="single" w:color="auto" w:sz="4" w:space="0"/>
              <w:bottom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1</w:t>
            </w:r>
            <w:r>
              <w:rPr>
                <w:rFonts w:hint="eastAsia" w:ascii="仿宋" w:hAnsi="仿宋" w:eastAsia="仿宋"/>
                <w:color w:val="000000"/>
                <w:sz w:val="22"/>
                <w:szCs w:val="22"/>
              </w:rPr>
              <w:t>.</w:t>
            </w:r>
            <w:r>
              <w:rPr>
                <w:rFonts w:ascii="Times New Roman" w:hAnsi="Times New Roman" w:eastAsia="仿宋" w:cs="Times New Roman"/>
                <w:color w:val="000000"/>
                <w:sz w:val="22"/>
                <w:szCs w:val="22"/>
              </w:rPr>
              <w:t>3500</w:t>
            </w:r>
          </w:p>
        </w:tc>
        <w:tc>
          <w:tcPr>
            <w:tcW w:w="655" w:type="pct"/>
            <w:tcBorders>
              <w:top w:val="single" w:color="auto" w:sz="4" w:space="0"/>
              <w:bottom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1</w:t>
            </w:r>
            <w:r>
              <w:rPr>
                <w:rFonts w:hint="eastAsia" w:ascii="仿宋" w:hAnsi="仿宋" w:eastAsia="仿宋"/>
                <w:color w:val="000000"/>
                <w:sz w:val="22"/>
                <w:szCs w:val="22"/>
              </w:rPr>
              <w:t>.</w:t>
            </w:r>
            <w:r>
              <w:rPr>
                <w:rFonts w:ascii="Times New Roman" w:hAnsi="Times New Roman" w:eastAsia="仿宋" w:cs="Times New Roman"/>
                <w:color w:val="000000"/>
                <w:sz w:val="22"/>
                <w:szCs w:val="22"/>
              </w:rPr>
              <w:t>0000</w:t>
            </w:r>
          </w:p>
        </w:tc>
        <w:tc>
          <w:tcPr>
            <w:tcW w:w="655" w:type="pct"/>
            <w:tcBorders>
              <w:top w:val="single" w:color="auto" w:sz="4" w:space="0"/>
              <w:bottom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1</w:t>
            </w:r>
            <w:r>
              <w:rPr>
                <w:rFonts w:hint="eastAsia" w:ascii="仿宋" w:hAnsi="仿宋" w:eastAsia="仿宋"/>
                <w:color w:val="000000"/>
                <w:sz w:val="22"/>
                <w:szCs w:val="22"/>
              </w:rPr>
              <w:t>.</w:t>
            </w:r>
            <w:r>
              <w:rPr>
                <w:rFonts w:ascii="Times New Roman" w:hAnsi="Times New Roman" w:eastAsia="仿宋" w:cs="Times New Roman"/>
                <w:color w:val="000000"/>
                <w:sz w:val="22"/>
                <w:szCs w:val="22"/>
              </w:rPr>
              <w:t>0500</w:t>
            </w:r>
          </w:p>
        </w:tc>
        <w:tc>
          <w:tcPr>
            <w:tcW w:w="657"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8</w:t>
            </w:r>
            <w:r>
              <w:rPr>
                <w:rFonts w:hint="eastAsia" w:ascii="仿宋" w:hAnsi="仿宋" w:eastAsia="仿宋"/>
                <w:color w:val="000000"/>
                <w:sz w:val="22"/>
                <w:szCs w:val="22"/>
              </w:rPr>
              <w:t>.</w:t>
            </w:r>
            <w:r>
              <w:rPr>
                <w:rFonts w:ascii="Times New Roman" w:hAnsi="Times New Roman" w:eastAsia="仿宋" w:cs="Times New Roman"/>
                <w:color w:val="000000"/>
                <w:sz w:val="22"/>
                <w:szCs w:val="22"/>
              </w:rPr>
              <w:t>0500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065" w:type="pct"/>
            <w:tcBorders>
              <w:top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建设规模</w:t>
            </w:r>
          </w:p>
        </w:tc>
        <w:tc>
          <w:tcPr>
            <w:tcW w:w="655"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2</w:t>
            </w:r>
            <w:r>
              <w:rPr>
                <w:rFonts w:hint="eastAsia" w:ascii="仿宋" w:hAnsi="仿宋" w:eastAsia="仿宋"/>
                <w:color w:val="000000"/>
                <w:sz w:val="22"/>
                <w:szCs w:val="22"/>
              </w:rPr>
              <w:t>.</w:t>
            </w:r>
            <w:r>
              <w:rPr>
                <w:rFonts w:ascii="Times New Roman" w:hAnsi="Times New Roman" w:eastAsia="仿宋" w:cs="Times New Roman"/>
                <w:color w:val="000000"/>
                <w:sz w:val="22"/>
                <w:szCs w:val="22"/>
              </w:rPr>
              <w:t>4351</w:t>
            </w:r>
          </w:p>
        </w:tc>
        <w:tc>
          <w:tcPr>
            <w:tcW w:w="655" w:type="pct"/>
            <w:tcBorders>
              <w:top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2</w:t>
            </w:r>
            <w:r>
              <w:rPr>
                <w:rFonts w:hint="eastAsia" w:ascii="仿宋" w:hAnsi="仿宋" w:eastAsia="仿宋"/>
                <w:color w:val="000000"/>
                <w:sz w:val="22"/>
                <w:szCs w:val="22"/>
              </w:rPr>
              <w:t>.</w:t>
            </w:r>
            <w:r>
              <w:rPr>
                <w:rFonts w:ascii="Times New Roman" w:hAnsi="Times New Roman" w:eastAsia="仿宋" w:cs="Times New Roman"/>
                <w:color w:val="000000"/>
                <w:sz w:val="22"/>
                <w:szCs w:val="22"/>
              </w:rPr>
              <w:t>7355</w:t>
            </w:r>
          </w:p>
        </w:tc>
        <w:tc>
          <w:tcPr>
            <w:tcW w:w="655"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1</w:t>
            </w:r>
            <w:r>
              <w:rPr>
                <w:rFonts w:hint="eastAsia" w:ascii="仿宋" w:hAnsi="仿宋" w:eastAsia="仿宋"/>
                <w:color w:val="000000"/>
                <w:sz w:val="22"/>
                <w:szCs w:val="22"/>
              </w:rPr>
              <w:t>.</w:t>
            </w:r>
            <w:r>
              <w:rPr>
                <w:rFonts w:ascii="Times New Roman" w:hAnsi="Times New Roman" w:eastAsia="仿宋" w:cs="Times New Roman"/>
                <w:color w:val="000000"/>
                <w:sz w:val="22"/>
                <w:szCs w:val="22"/>
              </w:rPr>
              <w:t>4858</w:t>
            </w:r>
          </w:p>
        </w:tc>
        <w:tc>
          <w:tcPr>
            <w:tcW w:w="655"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1</w:t>
            </w:r>
            <w:r>
              <w:rPr>
                <w:rFonts w:hint="eastAsia" w:ascii="仿宋" w:hAnsi="仿宋" w:eastAsia="仿宋"/>
                <w:color w:val="000000"/>
                <w:sz w:val="22"/>
                <w:szCs w:val="22"/>
              </w:rPr>
              <w:t>.</w:t>
            </w:r>
            <w:r>
              <w:rPr>
                <w:rFonts w:ascii="Times New Roman" w:hAnsi="Times New Roman" w:eastAsia="仿宋" w:cs="Times New Roman"/>
                <w:color w:val="000000"/>
                <w:sz w:val="22"/>
                <w:szCs w:val="22"/>
              </w:rPr>
              <w:t>0500</w:t>
            </w:r>
          </w:p>
        </w:tc>
        <w:tc>
          <w:tcPr>
            <w:tcW w:w="655"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0</w:t>
            </w:r>
            <w:r>
              <w:rPr>
                <w:rFonts w:hint="eastAsia" w:ascii="仿宋" w:hAnsi="仿宋" w:eastAsia="仿宋"/>
                <w:color w:val="000000"/>
                <w:sz w:val="22"/>
                <w:szCs w:val="22"/>
              </w:rPr>
              <w:t>.</w:t>
            </w:r>
            <w:r>
              <w:rPr>
                <w:rFonts w:ascii="Times New Roman" w:hAnsi="Times New Roman" w:eastAsia="仿宋" w:cs="Times New Roman"/>
                <w:color w:val="000000"/>
                <w:sz w:val="22"/>
                <w:szCs w:val="22"/>
              </w:rPr>
              <w:t>9400</w:t>
            </w:r>
          </w:p>
        </w:tc>
        <w:tc>
          <w:tcPr>
            <w:tcW w:w="657"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sz w:val="22"/>
                <w:szCs w:val="22"/>
              </w:rPr>
              <w:t>8</w:t>
            </w:r>
            <w:r>
              <w:rPr>
                <w:rFonts w:hint="eastAsia" w:ascii="仿宋" w:hAnsi="仿宋" w:eastAsia="仿宋"/>
                <w:color w:val="000000"/>
                <w:sz w:val="22"/>
                <w:szCs w:val="22"/>
              </w:rPr>
              <w:t>.</w:t>
            </w:r>
            <w:r>
              <w:rPr>
                <w:rFonts w:ascii="Times New Roman" w:hAnsi="Times New Roman" w:eastAsia="仿宋" w:cs="Times New Roman"/>
                <w:color w:val="000000"/>
                <w:sz w:val="22"/>
                <w:szCs w:val="22"/>
              </w:rPr>
              <w:t>6464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65" w:type="pct"/>
            <w:shd w:val="clear" w:color="auto" w:fill="auto"/>
            <w:noWrap/>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完成率</w:t>
            </w:r>
          </w:p>
        </w:tc>
        <w:tc>
          <w:tcPr>
            <w:tcW w:w="655" w:type="pct"/>
            <w:shd w:val="clear" w:color="auto" w:fill="auto"/>
            <w:noWrap/>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102</w:t>
            </w:r>
            <w:r>
              <w:rPr>
                <w:rFonts w:hint="eastAsia" w:ascii="仿宋" w:hAnsi="仿宋" w:eastAsia="仿宋"/>
                <w:color w:val="000000"/>
                <w:sz w:val="22"/>
                <w:szCs w:val="22"/>
              </w:rPr>
              <w:t>.</w:t>
            </w:r>
            <w:r>
              <w:rPr>
                <w:rFonts w:ascii="Times New Roman" w:hAnsi="Times New Roman" w:eastAsia="仿宋" w:cs="Times New Roman"/>
                <w:color w:val="000000"/>
                <w:sz w:val="22"/>
                <w:szCs w:val="22"/>
              </w:rPr>
              <w:t>32</w:t>
            </w:r>
            <w:r>
              <w:rPr>
                <w:rFonts w:hint="eastAsia" w:ascii="仿宋" w:hAnsi="仿宋" w:eastAsia="仿宋"/>
                <w:color w:val="000000"/>
                <w:sz w:val="22"/>
                <w:szCs w:val="22"/>
              </w:rPr>
              <w:t>%</w:t>
            </w:r>
          </w:p>
        </w:tc>
        <w:tc>
          <w:tcPr>
            <w:tcW w:w="655" w:type="pct"/>
            <w:shd w:val="clear" w:color="auto" w:fill="auto"/>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120</w:t>
            </w:r>
            <w:r>
              <w:rPr>
                <w:rFonts w:hint="eastAsia" w:ascii="仿宋" w:hAnsi="仿宋" w:eastAsia="仿宋"/>
                <w:color w:val="000000"/>
                <w:sz w:val="22"/>
                <w:szCs w:val="22"/>
              </w:rPr>
              <w:t>.</w:t>
            </w:r>
            <w:r>
              <w:rPr>
                <w:rFonts w:ascii="Times New Roman" w:hAnsi="Times New Roman" w:eastAsia="仿宋" w:cs="Times New Roman"/>
                <w:color w:val="000000"/>
                <w:sz w:val="22"/>
                <w:szCs w:val="22"/>
              </w:rPr>
              <w:t>51</w:t>
            </w:r>
            <w:r>
              <w:rPr>
                <w:rFonts w:hint="eastAsia" w:ascii="仿宋" w:hAnsi="仿宋" w:eastAsia="仿宋"/>
                <w:color w:val="000000"/>
                <w:sz w:val="22"/>
                <w:szCs w:val="22"/>
              </w:rPr>
              <w:t>%</w:t>
            </w:r>
          </w:p>
        </w:tc>
        <w:tc>
          <w:tcPr>
            <w:tcW w:w="655" w:type="pct"/>
            <w:shd w:val="clear" w:color="auto" w:fill="auto"/>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110</w:t>
            </w:r>
            <w:r>
              <w:rPr>
                <w:rFonts w:hint="eastAsia" w:ascii="仿宋" w:hAnsi="仿宋" w:eastAsia="仿宋"/>
                <w:color w:val="000000"/>
                <w:sz w:val="22"/>
                <w:szCs w:val="22"/>
              </w:rPr>
              <w:t>.</w:t>
            </w:r>
            <w:r>
              <w:rPr>
                <w:rFonts w:ascii="Times New Roman" w:hAnsi="Times New Roman" w:eastAsia="仿宋" w:cs="Times New Roman"/>
                <w:color w:val="000000"/>
                <w:sz w:val="22"/>
                <w:szCs w:val="22"/>
              </w:rPr>
              <w:t>06</w:t>
            </w:r>
            <w:r>
              <w:rPr>
                <w:rFonts w:hint="eastAsia" w:ascii="仿宋" w:hAnsi="仿宋" w:eastAsia="仿宋"/>
                <w:color w:val="000000"/>
                <w:sz w:val="22"/>
                <w:szCs w:val="22"/>
              </w:rPr>
              <w:t>%</w:t>
            </w:r>
          </w:p>
        </w:tc>
        <w:tc>
          <w:tcPr>
            <w:tcW w:w="655" w:type="pct"/>
            <w:shd w:val="clear" w:color="auto" w:fill="auto"/>
            <w:noWrap/>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105</w:t>
            </w:r>
            <w:r>
              <w:rPr>
                <w:rFonts w:hint="eastAsia" w:ascii="仿宋" w:hAnsi="仿宋" w:eastAsia="仿宋"/>
                <w:color w:val="000000"/>
                <w:sz w:val="22"/>
                <w:szCs w:val="22"/>
              </w:rPr>
              <w:t>.</w:t>
            </w:r>
            <w:r>
              <w:rPr>
                <w:rFonts w:ascii="Times New Roman" w:hAnsi="Times New Roman" w:eastAsia="仿宋" w:cs="Times New Roman"/>
                <w:color w:val="000000"/>
                <w:sz w:val="22"/>
                <w:szCs w:val="22"/>
              </w:rPr>
              <w:t>00</w:t>
            </w:r>
            <w:r>
              <w:rPr>
                <w:rFonts w:hint="eastAsia" w:ascii="仿宋" w:hAnsi="仿宋" w:eastAsia="仿宋"/>
                <w:color w:val="000000"/>
                <w:sz w:val="22"/>
                <w:szCs w:val="22"/>
              </w:rPr>
              <w:t>%</w:t>
            </w:r>
          </w:p>
        </w:tc>
        <w:tc>
          <w:tcPr>
            <w:tcW w:w="655" w:type="pct"/>
            <w:shd w:val="clear" w:color="auto" w:fill="auto"/>
            <w:noWrap/>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89</w:t>
            </w:r>
            <w:r>
              <w:rPr>
                <w:rFonts w:hint="eastAsia" w:ascii="仿宋" w:hAnsi="仿宋" w:eastAsia="仿宋"/>
                <w:color w:val="000000"/>
                <w:sz w:val="22"/>
                <w:szCs w:val="22"/>
              </w:rPr>
              <w:t>.</w:t>
            </w:r>
            <w:r>
              <w:rPr>
                <w:rFonts w:ascii="Times New Roman" w:hAnsi="Times New Roman" w:eastAsia="仿宋" w:cs="Times New Roman"/>
                <w:color w:val="000000"/>
                <w:sz w:val="22"/>
                <w:szCs w:val="22"/>
              </w:rPr>
              <w:t>52</w:t>
            </w:r>
            <w:r>
              <w:rPr>
                <w:rFonts w:hint="eastAsia" w:ascii="仿宋" w:hAnsi="仿宋" w:eastAsia="仿宋"/>
                <w:color w:val="000000"/>
                <w:sz w:val="22"/>
                <w:szCs w:val="22"/>
              </w:rPr>
              <w:t>%</w:t>
            </w:r>
          </w:p>
        </w:tc>
        <w:tc>
          <w:tcPr>
            <w:tcW w:w="657" w:type="pct"/>
            <w:shd w:val="clear" w:color="auto" w:fill="auto"/>
            <w:noWrap/>
            <w:vAlign w:val="center"/>
          </w:tcPr>
          <w:p>
            <w:pPr>
              <w:widowControl/>
              <w:spacing w:line="240" w:lineRule="auto"/>
              <w:jc w:val="center"/>
              <w:rPr>
                <w:rFonts w:ascii="仿宋" w:hAnsi="仿宋" w:eastAsia="仿宋"/>
                <w:color w:val="000000"/>
                <w:sz w:val="22"/>
                <w:szCs w:val="22"/>
              </w:rPr>
            </w:pPr>
            <w:r>
              <w:rPr>
                <w:rFonts w:ascii="Times New Roman" w:hAnsi="Times New Roman" w:eastAsia="仿宋" w:cs="Times New Roman"/>
                <w:color w:val="000000"/>
                <w:sz w:val="22"/>
                <w:szCs w:val="22"/>
              </w:rPr>
              <w:t>107</w:t>
            </w:r>
            <w:r>
              <w:rPr>
                <w:rFonts w:hint="eastAsia" w:ascii="仿宋" w:hAnsi="仿宋" w:eastAsia="仿宋"/>
                <w:color w:val="000000"/>
                <w:sz w:val="22"/>
                <w:szCs w:val="22"/>
              </w:rPr>
              <w:t>.</w:t>
            </w:r>
            <w:r>
              <w:rPr>
                <w:rFonts w:ascii="Times New Roman" w:hAnsi="Times New Roman" w:eastAsia="仿宋" w:cs="Times New Roman"/>
                <w:color w:val="000000"/>
                <w:sz w:val="22"/>
                <w:szCs w:val="22"/>
              </w:rPr>
              <w:t>41</w:t>
            </w:r>
            <w:r>
              <w:rPr>
                <w:rFonts w:hint="eastAsia" w:ascii="仿宋" w:hAnsi="仿宋" w:eastAsia="仿宋"/>
                <w:color w:val="000000"/>
                <w:sz w:val="22"/>
                <w:szCs w:val="22"/>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65" w:type="pct"/>
            <w:shd w:val="clear" w:color="auto" w:fill="auto"/>
            <w:noWrap/>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项目进展情况</w:t>
            </w:r>
          </w:p>
        </w:tc>
        <w:tc>
          <w:tcPr>
            <w:tcW w:w="1966" w:type="pct"/>
            <w:gridSpan w:val="3"/>
            <w:shd w:val="clear" w:color="auto" w:fill="auto"/>
            <w:noWrap/>
            <w:vAlign w:val="center"/>
          </w:tcPr>
          <w:p>
            <w:pPr>
              <w:widowControl/>
              <w:spacing w:line="240" w:lineRule="auto"/>
              <w:jc w:val="center"/>
              <w:rPr>
                <w:rFonts w:ascii="仿宋" w:hAnsi="仿宋" w:eastAsia="仿宋"/>
                <w:color w:val="000000"/>
                <w:sz w:val="22"/>
                <w:szCs w:val="22"/>
              </w:rPr>
            </w:pPr>
            <w:r>
              <w:rPr>
                <w:rFonts w:hint="eastAsia" w:ascii="仿宋" w:hAnsi="仿宋" w:eastAsia="仿宋"/>
                <w:color w:val="000000"/>
                <w:sz w:val="22"/>
                <w:szCs w:val="22"/>
              </w:rPr>
              <w:t>已上图入库</w:t>
            </w:r>
          </w:p>
        </w:tc>
        <w:tc>
          <w:tcPr>
            <w:tcW w:w="655" w:type="pct"/>
            <w:shd w:val="clear" w:color="auto" w:fill="auto"/>
            <w:noWrap/>
            <w:vAlign w:val="center"/>
          </w:tcPr>
          <w:p>
            <w:pPr>
              <w:widowControl/>
              <w:spacing w:line="240" w:lineRule="auto"/>
              <w:jc w:val="center"/>
              <w:rPr>
                <w:rFonts w:ascii="仿宋" w:hAnsi="仿宋" w:eastAsia="仿宋"/>
                <w:color w:val="000000"/>
                <w:sz w:val="22"/>
                <w:szCs w:val="22"/>
              </w:rPr>
            </w:pPr>
            <w:r>
              <w:rPr>
                <w:rFonts w:hint="eastAsia" w:ascii="仿宋" w:hAnsi="仿宋" w:eastAsia="仿宋"/>
                <w:color w:val="000000"/>
                <w:sz w:val="22"/>
                <w:szCs w:val="22"/>
              </w:rPr>
              <w:t>已完工未验收</w:t>
            </w:r>
          </w:p>
        </w:tc>
        <w:tc>
          <w:tcPr>
            <w:tcW w:w="655" w:type="pct"/>
            <w:shd w:val="clear" w:color="auto" w:fill="auto"/>
            <w:noWrap/>
            <w:vAlign w:val="center"/>
          </w:tcPr>
          <w:p>
            <w:pPr>
              <w:widowControl/>
              <w:spacing w:line="240" w:lineRule="auto"/>
              <w:jc w:val="center"/>
              <w:rPr>
                <w:rFonts w:ascii="仿宋" w:hAnsi="仿宋" w:eastAsia="仿宋"/>
                <w:color w:val="000000"/>
                <w:sz w:val="22"/>
                <w:szCs w:val="22"/>
              </w:rPr>
            </w:pPr>
            <w:r>
              <w:rPr>
                <w:rFonts w:hint="eastAsia" w:ascii="仿宋" w:hAnsi="仿宋" w:eastAsia="仿宋"/>
                <w:color w:val="000000"/>
                <w:sz w:val="22"/>
                <w:szCs w:val="22"/>
              </w:rPr>
              <w:t>在建</w:t>
            </w:r>
          </w:p>
        </w:tc>
        <w:tc>
          <w:tcPr>
            <w:tcW w:w="657" w:type="pct"/>
            <w:shd w:val="clear" w:color="auto" w:fill="auto"/>
            <w:noWrap/>
            <w:vAlign w:val="center"/>
          </w:tcPr>
          <w:p>
            <w:pPr>
              <w:widowControl/>
              <w:spacing w:line="240" w:lineRule="auto"/>
              <w:jc w:val="center"/>
              <w:rPr>
                <w:rFonts w:ascii="仿宋" w:hAnsi="仿宋" w:eastAsia="仿宋"/>
                <w:color w:val="000000"/>
                <w:sz w:val="22"/>
                <w:szCs w:val="22"/>
              </w:rPr>
            </w:pPr>
            <w:r>
              <w:rPr>
                <w:rFonts w:hint="eastAsia" w:ascii="仿宋" w:hAnsi="仿宋" w:eastAsia="仿宋"/>
                <w:color w:val="000000"/>
                <w:sz w:val="22"/>
                <w:szCs w:val="22"/>
              </w:rPr>
              <w:t>\</w:t>
            </w:r>
          </w:p>
        </w:tc>
      </w:tr>
    </w:tbl>
    <w:p>
      <w:pPr>
        <w:spacing w:before="312" w:beforeLines="1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9</w:t>
      </w:r>
      <w:r>
        <w:rPr>
          <w:rFonts w:ascii="仿宋" w:hAnsi="仿宋" w:eastAsia="仿宋" w:cs="Times New Roman"/>
          <w:b/>
          <w:bCs/>
          <w:sz w:val="24"/>
        </w:rPr>
        <w:t xml:space="preserve">  </w:t>
      </w:r>
      <w:r>
        <w:rPr>
          <w:rFonts w:ascii="Times New Roman" w:hAnsi="Times New Roman" w:eastAsia="仿宋" w:cs="Times New Roman"/>
          <w:b/>
          <w:bCs/>
          <w:sz w:val="24"/>
        </w:rPr>
        <w:t>2019</w:t>
      </w:r>
      <w:r>
        <w:rPr>
          <w:rFonts w:ascii="仿宋" w:hAnsi="仿宋" w:eastAsia="仿宋" w:cs="Times New Roman"/>
          <w:b/>
          <w:bCs/>
          <w:sz w:val="24"/>
        </w:rPr>
        <w:t>-</w:t>
      </w:r>
      <w:r>
        <w:rPr>
          <w:rFonts w:ascii="Times New Roman" w:hAnsi="Times New Roman" w:eastAsia="仿宋" w:cs="Times New Roman"/>
          <w:b/>
          <w:bCs/>
          <w:sz w:val="24"/>
        </w:rPr>
        <w:t>2023</w:t>
      </w:r>
      <w:r>
        <w:rPr>
          <w:rFonts w:hint="eastAsia" w:ascii="仿宋" w:hAnsi="仿宋" w:eastAsia="仿宋" w:cs="Times New Roman"/>
          <w:b/>
          <w:bCs/>
          <w:sz w:val="24"/>
        </w:rPr>
        <w:t>年惠安县高效节水灌溉建设任务（单位：万亩）</w:t>
      </w:r>
    </w:p>
    <w:tbl>
      <w:tblPr>
        <w:tblStyle w:val="10"/>
        <w:tblW w:w="5000" w:type="pct"/>
        <w:tblInd w:w="0" w:type="dxa"/>
        <w:tblLayout w:type="autofit"/>
        <w:tblCellMar>
          <w:top w:w="0" w:type="dxa"/>
          <w:left w:w="108" w:type="dxa"/>
          <w:bottom w:w="0" w:type="dxa"/>
          <w:right w:w="108" w:type="dxa"/>
        </w:tblCellMar>
      </w:tblPr>
      <w:tblGrid>
        <w:gridCol w:w="2584"/>
        <w:gridCol w:w="1002"/>
        <w:gridCol w:w="1000"/>
        <w:gridCol w:w="1000"/>
        <w:gridCol w:w="1000"/>
        <w:gridCol w:w="1001"/>
        <w:gridCol w:w="935"/>
      </w:tblGrid>
      <w:tr>
        <w:tblPrEx>
          <w:tblCellMar>
            <w:top w:w="0" w:type="dxa"/>
            <w:left w:w="108" w:type="dxa"/>
            <w:bottom w:w="0" w:type="dxa"/>
            <w:right w:w="108" w:type="dxa"/>
          </w:tblCellMar>
        </w:tblPrEx>
        <w:trPr>
          <w:trHeight w:val="288" w:hRule="atLeast"/>
        </w:trPr>
        <w:tc>
          <w:tcPr>
            <w:tcW w:w="1516" w:type="pct"/>
            <w:tcBorders>
              <w:top w:val="single" w:color="auto" w:sz="12" w:space="0"/>
              <w:bottom w:val="single" w:color="auto" w:sz="4" w:space="0"/>
            </w:tcBorders>
            <w:shd w:val="clear" w:color="auto" w:fill="auto"/>
            <w:noWrap/>
            <w:vAlign w:val="center"/>
          </w:tcPr>
          <w:p>
            <w:pPr>
              <w:widowControl/>
              <w:spacing w:line="240" w:lineRule="auto"/>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588"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587"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587"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587"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587"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549"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CellMar>
            <w:top w:w="0" w:type="dxa"/>
            <w:left w:w="108" w:type="dxa"/>
            <w:bottom w:w="0" w:type="dxa"/>
            <w:right w:w="108" w:type="dxa"/>
          </w:tblCellMar>
        </w:tblPrEx>
        <w:trPr>
          <w:trHeight w:val="864" w:hRule="atLeast"/>
        </w:trPr>
        <w:tc>
          <w:tcPr>
            <w:tcW w:w="1516" w:type="pct"/>
            <w:tcBorders>
              <w:top w:val="single" w:color="auto" w:sz="4" w:space="0"/>
              <w:bottom w:val="single" w:color="auto" w:sz="12" w:space="0"/>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新增高效节水灌溉面积</w:t>
            </w:r>
          </w:p>
        </w:tc>
        <w:tc>
          <w:tcPr>
            <w:tcW w:w="588" w:type="pct"/>
            <w:tcBorders>
              <w:top w:val="single" w:color="auto" w:sz="4" w:space="0"/>
              <w:bottom w:val="single" w:color="auto" w:sz="12" w:space="0"/>
            </w:tcBorders>
            <w:shd w:val="clear" w:color="auto" w:fill="auto"/>
            <w:vAlign w:val="center"/>
          </w:tcPr>
          <w:p>
            <w:pPr>
              <w:widowControl/>
              <w:spacing w:line="240" w:lineRule="auto"/>
              <w:jc w:val="righ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3600</w:t>
            </w:r>
          </w:p>
        </w:tc>
        <w:tc>
          <w:tcPr>
            <w:tcW w:w="587" w:type="pct"/>
            <w:tcBorders>
              <w:top w:val="single" w:color="auto" w:sz="4" w:space="0"/>
              <w:bottom w:val="single" w:color="auto" w:sz="12" w:space="0"/>
            </w:tcBorders>
            <w:shd w:val="clear" w:color="auto" w:fill="auto"/>
            <w:vAlign w:val="center"/>
          </w:tcPr>
          <w:p>
            <w:pPr>
              <w:widowControl/>
              <w:spacing w:line="240" w:lineRule="auto"/>
              <w:jc w:val="righ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3000</w:t>
            </w:r>
          </w:p>
        </w:tc>
        <w:tc>
          <w:tcPr>
            <w:tcW w:w="587" w:type="pct"/>
            <w:tcBorders>
              <w:top w:val="single" w:color="auto" w:sz="4" w:space="0"/>
              <w:bottom w:val="single" w:color="auto" w:sz="12" w:space="0"/>
            </w:tcBorders>
            <w:shd w:val="clear" w:color="auto" w:fill="auto"/>
            <w:vAlign w:val="center"/>
          </w:tcPr>
          <w:p>
            <w:pPr>
              <w:widowControl/>
              <w:spacing w:line="240" w:lineRule="auto"/>
              <w:jc w:val="righ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2500</w:t>
            </w:r>
          </w:p>
        </w:tc>
        <w:tc>
          <w:tcPr>
            <w:tcW w:w="587" w:type="pct"/>
            <w:tcBorders>
              <w:top w:val="single" w:color="auto" w:sz="4" w:space="0"/>
              <w:bottom w:val="single" w:color="auto" w:sz="12" w:space="0"/>
            </w:tcBorders>
            <w:shd w:val="clear" w:color="auto" w:fill="auto"/>
            <w:vAlign w:val="center"/>
          </w:tcPr>
          <w:p>
            <w:pPr>
              <w:widowControl/>
              <w:spacing w:line="240" w:lineRule="auto"/>
              <w:jc w:val="righ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1200</w:t>
            </w:r>
          </w:p>
        </w:tc>
        <w:tc>
          <w:tcPr>
            <w:tcW w:w="587" w:type="pct"/>
            <w:tcBorders>
              <w:top w:val="single" w:color="auto" w:sz="4" w:space="0"/>
              <w:bottom w:val="single" w:color="auto" w:sz="12" w:space="0"/>
            </w:tcBorders>
            <w:shd w:val="clear" w:color="auto" w:fill="auto"/>
            <w:vAlign w:val="center"/>
          </w:tcPr>
          <w:p>
            <w:pPr>
              <w:widowControl/>
              <w:spacing w:line="240" w:lineRule="auto"/>
              <w:jc w:val="right"/>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0</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1215</w:t>
            </w:r>
          </w:p>
        </w:tc>
        <w:tc>
          <w:tcPr>
            <w:tcW w:w="549" w:type="pct"/>
            <w:tcBorders>
              <w:top w:val="single" w:color="auto" w:sz="4" w:space="0"/>
              <w:bottom w:val="single" w:color="auto" w:sz="12"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1515</w:t>
            </w:r>
          </w:p>
        </w:tc>
      </w:tr>
    </w:tbl>
    <w:p>
      <w:pPr>
        <w:spacing w:before="312" w:beforeLines="100"/>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质量上，根据各年项目验收报告得知，</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年共实施高标准农田建设项目</w:t>
      </w:r>
      <w:r>
        <w:rPr>
          <w:rFonts w:ascii="Times New Roman" w:hAnsi="Times New Roman" w:eastAsia="仿宋" w:cs="Times New Roman"/>
          <w:color w:val="333333"/>
          <w:shd w:val="clear" w:color="auto" w:fill="FFFFFF"/>
        </w:rPr>
        <w:t>28</w:t>
      </w:r>
      <w:r>
        <w:rPr>
          <w:rFonts w:hint="eastAsia" w:ascii="仿宋" w:hAnsi="仿宋" w:eastAsia="仿宋"/>
          <w:color w:val="333333"/>
          <w:shd w:val="clear" w:color="auto" w:fill="FFFFFF"/>
        </w:rPr>
        <w:t>个，验收意见均为合格，建成高标准农田面积共计</w:t>
      </w:r>
      <w:r>
        <w:rPr>
          <w:rFonts w:ascii="Times New Roman" w:hAnsi="Times New Roman" w:eastAsia="仿宋" w:cs="Times New Roman"/>
          <w:color w:val="333333"/>
          <w:shd w:val="clear" w:color="auto" w:fill="FFFFFF"/>
        </w:rPr>
        <w:t>6</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4629</w:t>
      </w:r>
      <w:r>
        <w:rPr>
          <w:rFonts w:hint="eastAsia" w:ascii="仿宋" w:hAnsi="仿宋" w:eastAsia="仿宋"/>
          <w:color w:val="333333"/>
          <w:shd w:val="clear" w:color="auto" w:fill="FFFFFF"/>
        </w:rPr>
        <w:t>万亩，验收合格率为</w:t>
      </w:r>
      <w:r>
        <w:rPr>
          <w:rFonts w:ascii="Times New Roman" w:hAnsi="Times New Roman" w:eastAsia="仿宋" w:cs="Times New Roman"/>
          <w:color w:val="333333"/>
          <w:shd w:val="clear" w:color="auto" w:fill="FFFFFF"/>
        </w:rPr>
        <w:t>100</w:t>
      </w:r>
      <w:r>
        <w:rPr>
          <w:rFonts w:ascii="仿宋" w:hAnsi="仿宋" w:eastAsia="仿宋"/>
          <w:color w:val="333333"/>
          <w:shd w:val="clear" w:color="auto" w:fill="FFFFFF"/>
        </w:rPr>
        <w:t>%</w:t>
      </w:r>
      <w:r>
        <w:rPr>
          <w:rFonts w:hint="eastAsia" w:ascii="仿宋" w:hAnsi="仿宋" w:eastAsia="仿宋"/>
          <w:color w:val="333333"/>
          <w:shd w:val="clear" w:color="auto" w:fill="FFFFFF"/>
        </w:rPr>
        <w:t>。</w:t>
      </w:r>
    </w:p>
    <w:p>
      <w:pPr>
        <w:ind w:firstLine="560" w:firstLineChars="200"/>
        <w:rPr>
          <w:rFonts w:ascii="仿宋" w:hAnsi="仿宋" w:eastAsia="仿宋"/>
        </w:rPr>
      </w:pPr>
      <w:r>
        <w:rPr>
          <w:rFonts w:hint="eastAsia" w:ascii="仿宋" w:hAnsi="仿宋" w:eastAsia="仿宋"/>
          <w:color w:val="333333"/>
          <w:shd w:val="clear" w:color="auto" w:fill="FFFFFF"/>
        </w:rPr>
        <w:t>时效上，根据《福建省农田建设项目管理实施办法》，高标准农田建设期一般在</w:t>
      </w:r>
      <w:r>
        <w:rPr>
          <w:rFonts w:ascii="Times New Roman" w:hAnsi="Times New Roman" w:eastAsia="仿宋" w:cs="Times New Roman"/>
          <w:color w:val="333333"/>
          <w:shd w:val="clear" w:color="auto" w:fill="FFFFFF"/>
        </w:rPr>
        <w:t>1</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w:t>
      </w:r>
      <w:r>
        <w:rPr>
          <w:rFonts w:hint="eastAsia" w:ascii="仿宋" w:hAnsi="仿宋" w:eastAsia="仿宋"/>
          <w:color w:val="333333"/>
          <w:shd w:val="clear" w:color="auto" w:fill="FFFFFF"/>
        </w:rPr>
        <w:t>年，</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的已验收项目建设期一般在</w:t>
      </w:r>
      <w:r>
        <w:rPr>
          <w:rFonts w:ascii="Times New Roman" w:hAnsi="Times New Roman" w:eastAsia="仿宋" w:cs="Times New Roman"/>
          <w:color w:val="333333"/>
          <w:shd w:val="clear" w:color="auto" w:fill="FFFFFF"/>
        </w:rPr>
        <w:t>6</w:t>
      </w:r>
      <w:r>
        <w:rPr>
          <w:rFonts w:hint="eastAsia" w:ascii="仿宋" w:hAnsi="仿宋" w:eastAsia="仿宋"/>
          <w:color w:val="333333"/>
          <w:shd w:val="clear" w:color="auto" w:fill="FFFFFF"/>
        </w:rPr>
        <w:t>个月左右，</w:t>
      </w:r>
      <w:r>
        <w:rPr>
          <w:rFonts w:ascii="Times New Roman" w:hAnsi="Times New Roman" w:eastAsia="仿宋" w:cs="Times New Roman"/>
          <w:color w:val="333333"/>
          <w:shd w:val="clear" w:color="auto" w:fill="FFFFFF"/>
        </w:rPr>
        <w:t>2022</w:t>
      </w:r>
      <w:r>
        <w:rPr>
          <w:rFonts w:hint="eastAsia" w:ascii="仿宋" w:hAnsi="仿宋" w:eastAsia="仿宋"/>
          <w:color w:val="333333"/>
          <w:shd w:val="clear" w:color="auto" w:fill="FFFFFF"/>
        </w:rPr>
        <w:t>和</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年项目预计建设期也均在一年以内，未超过合理建设期。根据</w:t>
      </w:r>
      <w:r>
        <w:rPr>
          <w:rFonts w:ascii="仿宋" w:hAnsi="仿宋" w:eastAsia="仿宋"/>
        </w:rPr>
        <w:t>《高标准农田建设项目竣工验收办法》</w:t>
      </w:r>
      <w:r>
        <w:rPr>
          <w:rFonts w:hint="eastAsia" w:ascii="仿宋" w:hAnsi="仿宋" w:eastAsia="仿宋"/>
        </w:rPr>
        <w:t>（</w:t>
      </w:r>
      <w:r>
        <w:rPr>
          <w:rFonts w:ascii="仿宋" w:hAnsi="仿宋" w:eastAsia="仿宋"/>
        </w:rPr>
        <w:t>农建发〔</w:t>
      </w:r>
      <w:r>
        <w:rPr>
          <w:rFonts w:ascii="Times New Roman" w:hAnsi="Times New Roman" w:eastAsia="仿宋" w:cs="Times New Roman"/>
        </w:rPr>
        <w:t>2021</w:t>
      </w:r>
      <w:r>
        <w:rPr>
          <w:rFonts w:ascii="仿宋" w:hAnsi="仿宋" w:eastAsia="仿宋"/>
        </w:rPr>
        <w:t>〕</w:t>
      </w:r>
      <w:r>
        <w:rPr>
          <w:rFonts w:ascii="Times New Roman" w:hAnsi="Times New Roman" w:eastAsia="仿宋" w:cs="Times New Roman"/>
        </w:rPr>
        <w:t>5</w:t>
      </w:r>
      <w:r>
        <w:rPr>
          <w:rFonts w:ascii="仿宋" w:hAnsi="仿宋" w:eastAsia="仿宋"/>
        </w:rPr>
        <w:t>号</w:t>
      </w:r>
      <w:r>
        <w:rPr>
          <w:rFonts w:hint="eastAsia" w:ascii="仿宋" w:hAnsi="仿宋" w:eastAsia="仿宋"/>
        </w:rPr>
        <w:t>），</w:t>
      </w:r>
      <w:r>
        <w:rPr>
          <w:rFonts w:ascii="仿宋" w:hAnsi="仿宋" w:eastAsia="仿宋"/>
        </w:rPr>
        <w:t>项目审批单位应在项目完工后半年内组织完成竣工验收工作。</w:t>
      </w:r>
      <w:r>
        <w:rPr>
          <w:rFonts w:hint="eastAsia" w:ascii="仿宋" w:hAnsi="仿宋" w:eastAsia="仿宋"/>
        </w:rPr>
        <w:t>不考虑受疫情影响较明显的项目和相关材料缺失的项目，有惠安县辋川镇庄上等</w:t>
      </w:r>
      <w:r>
        <w:rPr>
          <w:rFonts w:ascii="Times New Roman" w:hAnsi="Times New Roman" w:eastAsia="仿宋" w:cs="Times New Roman"/>
        </w:rPr>
        <w:t>3</w:t>
      </w:r>
      <w:r>
        <w:rPr>
          <w:rFonts w:ascii="仿宋" w:hAnsi="仿宋" w:eastAsia="仿宋"/>
        </w:rPr>
        <w:t>个村</w:t>
      </w:r>
      <w:r>
        <w:rPr>
          <w:rFonts w:ascii="Times New Roman" w:hAnsi="Times New Roman" w:eastAsia="仿宋" w:cs="Times New Roman"/>
        </w:rPr>
        <w:t>2020</w:t>
      </w:r>
      <w:r>
        <w:rPr>
          <w:rFonts w:ascii="仿宋" w:hAnsi="仿宋" w:eastAsia="仿宋"/>
        </w:rPr>
        <w:t>年高标准农田建设</w:t>
      </w:r>
      <w:r>
        <w:rPr>
          <w:rFonts w:hint="eastAsia" w:ascii="仿宋" w:hAnsi="仿宋" w:eastAsia="仿宋"/>
        </w:rPr>
        <w:t>等</w:t>
      </w:r>
      <w:r>
        <w:rPr>
          <w:rFonts w:ascii="Times New Roman" w:hAnsi="Times New Roman" w:eastAsia="仿宋" w:cs="Times New Roman"/>
        </w:rPr>
        <w:t>4</w:t>
      </w:r>
      <w:r>
        <w:rPr>
          <w:rFonts w:hint="eastAsia" w:ascii="仿宋" w:hAnsi="仿宋" w:eastAsia="仿宋"/>
        </w:rPr>
        <w:t>个项目的验收及时性有待加强，因此此项扣</w:t>
      </w:r>
      <w:r>
        <w:rPr>
          <w:rFonts w:ascii="Times New Roman" w:hAnsi="Times New Roman" w:eastAsia="仿宋" w:cs="Times New Roman"/>
        </w:rPr>
        <w:t>2</w:t>
      </w:r>
      <w:r>
        <w:rPr>
          <w:rFonts w:hint="eastAsia" w:ascii="仿宋" w:hAnsi="仿宋" w:eastAsia="仿宋"/>
        </w:rPr>
        <w:t>分。</w:t>
      </w:r>
    </w:p>
    <w:p>
      <w:pPr>
        <w:ind w:firstLine="560" w:firstLineChars="200"/>
        <w:rPr>
          <w:rFonts w:ascii="仿宋" w:hAnsi="仿宋" w:eastAsia="仿宋"/>
          <w:color w:val="333333"/>
          <w:shd w:val="clear" w:color="auto" w:fill="FFFFFF"/>
        </w:rPr>
      </w:pPr>
      <w:r>
        <w:rPr>
          <w:rFonts w:hint="eastAsia" w:ascii="仿宋" w:hAnsi="仿宋" w:eastAsia="仿宋"/>
        </w:rPr>
        <w:t>成本上，根据各年项目批复文件等材料，惠安县</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2022</w:t>
      </w:r>
      <w:r>
        <w:rPr>
          <w:rFonts w:hint="eastAsia" w:ascii="仿宋" w:hAnsi="仿宋" w:eastAsia="仿宋"/>
        </w:rPr>
        <w:t>年高标准农田财政投入标准为</w:t>
      </w:r>
      <w:r>
        <w:rPr>
          <w:rFonts w:ascii="Times New Roman" w:hAnsi="Times New Roman" w:eastAsia="仿宋" w:cs="Times New Roman"/>
        </w:rPr>
        <w:t>60</w:t>
      </w:r>
      <w:r>
        <w:rPr>
          <w:rFonts w:hint="eastAsia" w:ascii="仿宋" w:hAnsi="仿宋" w:eastAsia="仿宋"/>
        </w:rPr>
        <w:t>元</w:t>
      </w:r>
      <w:r>
        <w:rPr>
          <w:rFonts w:ascii="仿宋" w:hAnsi="仿宋" w:eastAsia="仿宋"/>
        </w:rPr>
        <w:t>/</w:t>
      </w:r>
      <w:r>
        <w:rPr>
          <w:rFonts w:hint="eastAsia" w:ascii="仿宋" w:hAnsi="仿宋" w:eastAsia="仿宋"/>
        </w:rPr>
        <w:t>亩，</w:t>
      </w:r>
      <w:r>
        <w:rPr>
          <w:rFonts w:ascii="Times New Roman" w:hAnsi="Times New Roman" w:eastAsia="仿宋" w:cs="Times New Roman"/>
        </w:rPr>
        <w:t>2023</w:t>
      </w:r>
      <w:r>
        <w:rPr>
          <w:rFonts w:hint="eastAsia" w:ascii="仿宋" w:hAnsi="仿宋" w:eastAsia="仿宋"/>
        </w:rPr>
        <w:t>年为</w:t>
      </w:r>
      <w:r>
        <w:rPr>
          <w:rFonts w:ascii="Times New Roman" w:hAnsi="Times New Roman" w:eastAsia="仿宋" w:cs="Times New Roman"/>
        </w:rPr>
        <w:t>340</w:t>
      </w:r>
      <w:r>
        <w:rPr>
          <w:rFonts w:hint="eastAsia" w:ascii="仿宋" w:hAnsi="仿宋" w:eastAsia="仿宋"/>
        </w:rPr>
        <w:t>元/亩，结合市级财政投入情况分析发现财政补助投入满足相关文件要求。</w:t>
      </w:r>
    </w:p>
    <w:p>
      <w:pPr>
        <w:ind w:firstLine="562" w:firstLineChars="200"/>
        <w:outlineLvl w:val="2"/>
        <w:rPr>
          <w:rFonts w:ascii="仿宋" w:hAnsi="仿宋" w:eastAsia="仿宋" w:cs="Times New Roman"/>
          <w:b/>
          <w:bCs/>
          <w:szCs w:val="28"/>
        </w:rPr>
      </w:pPr>
      <w:bookmarkStart w:id="86" w:name="_Toc28990"/>
      <w:bookmarkStart w:id="87" w:name="_Toc91072335"/>
      <w:bookmarkStart w:id="88" w:name="_Toc569217258"/>
      <w:bookmarkStart w:id="89" w:name="_Toc26396"/>
      <w:r>
        <w:rPr>
          <w:rFonts w:ascii="仿宋" w:hAnsi="仿宋" w:eastAsia="仿宋" w:cs="Times New Roman"/>
          <w:b/>
          <w:bCs/>
          <w:szCs w:val="28"/>
        </w:rPr>
        <w:t>（四）项目效益情况</w:t>
      </w:r>
      <w:bookmarkEnd w:id="86"/>
      <w:bookmarkEnd w:id="87"/>
      <w:bookmarkEnd w:id="88"/>
      <w:bookmarkEnd w:id="89"/>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项目效益维度的评价主要从项目社会效益</w:t>
      </w:r>
      <w:r>
        <w:rPr>
          <w:rFonts w:hint="eastAsia" w:ascii="仿宋" w:hAnsi="仿宋" w:eastAsia="仿宋"/>
          <w:color w:val="333333"/>
          <w:shd w:val="clear" w:color="auto" w:fill="FFFFFF"/>
        </w:rPr>
        <w:t>、经济效益和可</w:t>
      </w:r>
      <w:r>
        <w:rPr>
          <w:rFonts w:ascii="仿宋" w:hAnsi="仿宋" w:eastAsia="仿宋"/>
          <w:color w:val="333333"/>
          <w:shd w:val="clear" w:color="auto" w:fill="FFFFFF"/>
        </w:rPr>
        <w:t>持续影响</w:t>
      </w:r>
      <w:r>
        <w:rPr>
          <w:rFonts w:hint="eastAsia" w:ascii="仿宋" w:hAnsi="仿宋" w:eastAsia="仿宋"/>
          <w:color w:val="333333"/>
          <w:shd w:val="clear" w:color="auto" w:fill="FFFFFF"/>
        </w:rPr>
        <w:t>、满意度四</w:t>
      </w:r>
      <w:r>
        <w:rPr>
          <w:rFonts w:ascii="仿宋" w:hAnsi="仿宋" w:eastAsia="仿宋"/>
          <w:color w:val="333333"/>
          <w:shd w:val="clear" w:color="auto" w:fill="FFFFFF"/>
        </w:rPr>
        <w:t>个方面展开</w:t>
      </w:r>
      <w:r>
        <w:rPr>
          <w:rFonts w:hint="eastAsia" w:ascii="仿宋" w:hAnsi="仿宋" w:eastAsia="仿宋"/>
          <w:color w:val="333333"/>
          <w:shd w:val="clear" w:color="auto" w:fill="FFFFFF"/>
        </w:rPr>
        <w:t>。项目效益显著，受益群众满意程度高，但项目后期管护质量有待提高。</w:t>
      </w:r>
      <w:r>
        <w:rPr>
          <w:rFonts w:ascii="仿宋" w:hAnsi="仿宋" w:eastAsia="仿宋"/>
          <w:color w:val="333333"/>
          <w:shd w:val="clear" w:color="auto" w:fill="FFFFFF"/>
        </w:rPr>
        <w:t>本部分</w:t>
      </w:r>
      <w:r>
        <w:rPr>
          <w:rFonts w:hint="eastAsia" w:ascii="仿宋" w:hAnsi="仿宋" w:eastAsia="仿宋"/>
          <w:color w:val="333333"/>
          <w:shd w:val="clear" w:color="auto" w:fill="FFFFFF"/>
        </w:rPr>
        <w:t>总分</w:t>
      </w:r>
      <w:r>
        <w:rPr>
          <w:rFonts w:ascii="Times New Roman" w:hAnsi="Times New Roman" w:eastAsia="仿宋" w:cs="Times New Roman"/>
          <w:color w:val="333333"/>
          <w:shd w:val="clear" w:color="auto" w:fill="FFFFFF"/>
        </w:rPr>
        <w:t>40</w:t>
      </w:r>
      <w:r>
        <w:rPr>
          <w:rFonts w:ascii="仿宋" w:hAnsi="仿宋" w:eastAsia="仿宋"/>
          <w:color w:val="333333"/>
          <w:shd w:val="clear" w:color="auto" w:fill="FFFFFF"/>
        </w:rPr>
        <w:t>分，得分</w:t>
      </w:r>
      <w:r>
        <w:rPr>
          <w:rFonts w:ascii="Times New Roman" w:hAnsi="Times New Roman" w:eastAsia="仿宋" w:cs="Times New Roman"/>
          <w:color w:val="333333"/>
          <w:shd w:val="clear" w:color="auto" w:fill="FFFFFF"/>
        </w:rPr>
        <w:t>38</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61</w:t>
      </w:r>
      <w:r>
        <w:rPr>
          <w:rFonts w:ascii="仿宋" w:hAnsi="仿宋" w:eastAsia="仿宋"/>
          <w:color w:val="333333"/>
          <w:shd w:val="clear" w:color="auto" w:fill="FFFFFF"/>
        </w:rPr>
        <w:t>分</w:t>
      </w:r>
      <w:r>
        <w:rPr>
          <w:rFonts w:hint="eastAsia" w:ascii="仿宋" w:hAnsi="仿宋" w:eastAsia="仿宋"/>
          <w:color w:val="333333"/>
          <w:shd w:val="clear" w:color="auto" w:fill="FFFFFF"/>
        </w:rPr>
        <w:t>，扣分</w:t>
      </w:r>
      <w:r>
        <w:rPr>
          <w:rFonts w:ascii="Times New Roman" w:hAnsi="Times New Roman" w:eastAsia="仿宋" w:cs="Times New Roman"/>
          <w:color w:val="333333"/>
          <w:shd w:val="clear" w:color="auto" w:fill="FFFFFF"/>
        </w:rPr>
        <w:t>1</w:t>
      </w:r>
      <w:r>
        <w:rPr>
          <w:rFonts w:ascii="仿宋" w:hAnsi="仿宋" w:eastAsia="仿宋" w:cs="Times New Roman"/>
          <w:color w:val="333333"/>
          <w:shd w:val="clear" w:color="auto" w:fill="FFFFFF"/>
        </w:rPr>
        <w:t>.</w:t>
      </w:r>
      <w:r>
        <w:rPr>
          <w:rFonts w:ascii="Times New Roman" w:hAnsi="Times New Roman" w:eastAsia="仿宋" w:cs="Times New Roman"/>
          <w:color w:val="333333"/>
          <w:shd w:val="clear" w:color="auto" w:fill="FFFFFF"/>
        </w:rPr>
        <w:t>39</w:t>
      </w:r>
      <w:r>
        <w:rPr>
          <w:rFonts w:hint="eastAsia" w:ascii="仿宋" w:hAnsi="仿宋" w:eastAsia="仿宋"/>
          <w:color w:val="333333"/>
          <w:shd w:val="clear" w:color="auto" w:fill="FFFFFF"/>
        </w:rPr>
        <w:t>分。</w:t>
      </w:r>
    </w:p>
    <w:p>
      <w:pPr>
        <w:ind w:firstLine="560" w:firstLineChars="200"/>
        <w:rPr>
          <w:rFonts w:ascii="仿宋" w:hAnsi="仿宋" w:eastAsia="仿宋"/>
          <w:color w:val="333333"/>
          <w:shd w:val="clear" w:color="auto" w:fill="FFFFFF"/>
        </w:rPr>
      </w:pPr>
      <w:r>
        <w:rPr>
          <w:rFonts w:ascii="仿宋" w:hAnsi="仿宋" w:eastAsia="仿宋"/>
          <w:color w:val="333333"/>
          <w:shd w:val="clear" w:color="auto" w:fill="FFFFFF"/>
        </w:rPr>
        <w:t>社会</w:t>
      </w:r>
      <w:r>
        <w:rPr>
          <w:rFonts w:hint="eastAsia" w:ascii="仿宋" w:hAnsi="仿宋" w:eastAsia="仿宋"/>
          <w:color w:val="333333"/>
          <w:shd w:val="clear" w:color="auto" w:fill="FFFFFF"/>
        </w:rPr>
        <w:t>效益方面，</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w:t>
      </w:r>
      <w:r>
        <w:rPr>
          <w:rFonts w:ascii="仿宋" w:hAnsi="仿宋" w:eastAsia="仿宋"/>
          <w:color w:val="333333"/>
          <w:shd w:val="clear" w:color="auto" w:fill="FFFFFF"/>
        </w:rPr>
        <w:t>高标准农田建设项目</w:t>
      </w:r>
      <w:r>
        <w:rPr>
          <w:rFonts w:hint="eastAsia" w:ascii="仿宋" w:hAnsi="仿宋" w:eastAsia="仿宋"/>
          <w:color w:val="333333"/>
          <w:shd w:val="clear" w:color="auto" w:fill="FFFFFF"/>
        </w:rPr>
        <w:t>粮食</w:t>
      </w:r>
      <w:r>
        <w:rPr>
          <w:rFonts w:ascii="仿宋" w:hAnsi="仿宋" w:eastAsia="仿宋"/>
          <w:color w:val="333333"/>
          <w:shd w:val="clear" w:color="auto" w:fill="FFFFFF"/>
        </w:rPr>
        <w:t>产量均达到计划目</w:t>
      </w:r>
      <w:r>
        <w:rPr>
          <w:rFonts w:hint="eastAsia" w:ascii="仿宋" w:hAnsi="仿宋" w:eastAsia="仿宋"/>
          <w:color w:val="333333"/>
          <w:shd w:val="clear" w:color="auto" w:fill="FFFFFF"/>
        </w:rPr>
        <w:t>标值，粮食综合生产能力提高显著，年均新增粮食产量为</w:t>
      </w:r>
      <w:r>
        <w:rPr>
          <w:rFonts w:ascii="Times New Roman" w:hAnsi="Times New Roman" w:eastAsia="仿宋" w:cs="Times New Roman"/>
          <w:color w:val="333333"/>
          <w:shd w:val="clear" w:color="auto" w:fill="FFFFFF"/>
        </w:rPr>
        <w:t>1907</w:t>
      </w:r>
      <w:r>
        <w:rPr>
          <w:rFonts w:hint="eastAsia" w:ascii="仿宋" w:hAnsi="仿宋" w:eastAsia="仿宋"/>
          <w:color w:val="333333"/>
          <w:shd w:val="clear" w:color="auto" w:fill="FFFFFF"/>
        </w:rPr>
        <w:t>万元。（详见表</w:t>
      </w:r>
      <w:r>
        <w:rPr>
          <w:rFonts w:ascii="Times New Roman" w:hAnsi="Times New Roman" w:eastAsia="仿宋" w:cs="Times New Roman"/>
          <w:color w:val="333333"/>
          <w:shd w:val="clear" w:color="auto" w:fill="FFFFFF"/>
        </w:rPr>
        <w:t>10</w:t>
      </w:r>
      <w:r>
        <w:rPr>
          <w:rFonts w:ascii="仿宋" w:hAnsi="仿宋" w:eastAsia="仿宋"/>
          <w:color w:val="333333"/>
          <w:shd w:val="clear" w:color="auto" w:fill="FFFFFF"/>
        </w:rPr>
        <w:t>）</w:t>
      </w:r>
      <w:r>
        <w:rPr>
          <w:rFonts w:hint="eastAsia" w:ascii="仿宋" w:hAnsi="仿宋" w:eastAsia="仿宋"/>
          <w:color w:val="333333"/>
          <w:shd w:val="clear" w:color="auto" w:fill="FFFFFF"/>
        </w:rPr>
        <w:t>。根据项目初步设计等文件，惠安县</w:t>
      </w:r>
      <w:r>
        <w:rPr>
          <w:rFonts w:ascii="仿宋" w:hAnsi="仿宋" w:eastAsia="仿宋"/>
          <w:color w:val="333333"/>
          <w:shd w:val="clear" w:color="auto" w:fill="FFFFFF"/>
        </w:rPr>
        <w:t>项目区耕地等别</w:t>
      </w:r>
      <w:r>
        <w:rPr>
          <w:rFonts w:hint="eastAsia" w:ascii="仿宋" w:hAnsi="仿宋" w:eastAsia="仿宋"/>
          <w:color w:val="333333"/>
          <w:shd w:val="clear" w:color="auto" w:fill="FFFFFF"/>
        </w:rPr>
        <w:t>一般</w:t>
      </w:r>
      <w:r>
        <w:rPr>
          <w:rFonts w:ascii="仿宋" w:hAnsi="仿宋" w:eastAsia="仿宋"/>
          <w:color w:val="333333"/>
          <w:shd w:val="clear" w:color="auto" w:fill="FFFFFF"/>
        </w:rPr>
        <w:t>在</w:t>
      </w:r>
      <w:r>
        <w:rPr>
          <w:rFonts w:ascii="Times New Roman" w:hAnsi="Times New Roman" w:eastAsia="仿宋" w:cs="Times New Roman"/>
          <w:color w:val="333333"/>
          <w:shd w:val="clear" w:color="auto" w:fill="FFFFFF"/>
        </w:rPr>
        <w:t>6</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11</w:t>
      </w:r>
      <w:r>
        <w:rPr>
          <w:rFonts w:ascii="仿宋" w:hAnsi="仿宋" w:eastAsia="仿宋"/>
          <w:color w:val="333333"/>
          <w:shd w:val="clear" w:color="auto" w:fill="FFFFFF"/>
        </w:rPr>
        <w:t>等之间，通过高标农田建设</w:t>
      </w:r>
      <w:r>
        <w:rPr>
          <w:rFonts w:hint="eastAsia" w:ascii="仿宋" w:hAnsi="仿宋" w:eastAsia="仿宋"/>
          <w:color w:val="333333"/>
          <w:shd w:val="clear" w:color="auto" w:fill="FFFFFF"/>
        </w:rPr>
        <w:t>工程实施，</w:t>
      </w:r>
      <w:r>
        <w:rPr>
          <w:rFonts w:ascii="仿宋" w:hAnsi="仿宋" w:eastAsia="仿宋"/>
          <w:color w:val="333333"/>
          <w:shd w:val="clear" w:color="auto" w:fill="FFFFFF"/>
        </w:rPr>
        <w:t>重新布设路、沟、渠，</w:t>
      </w:r>
      <w:r>
        <w:rPr>
          <w:rFonts w:hint="eastAsia" w:ascii="仿宋" w:hAnsi="仿宋" w:eastAsia="仿宋"/>
          <w:color w:val="333333"/>
          <w:shd w:val="clear" w:color="auto" w:fill="FFFFFF"/>
        </w:rPr>
        <w:t>实现</w:t>
      </w:r>
      <w:r>
        <w:rPr>
          <w:rFonts w:ascii="仿宋" w:hAnsi="仿宋" w:eastAsia="仿宋"/>
          <w:color w:val="333333"/>
          <w:shd w:val="clear" w:color="auto" w:fill="FFFFFF"/>
        </w:rPr>
        <w:t>区内耕地旱能灌、涝能排，有效提升</w:t>
      </w:r>
      <w:r>
        <w:rPr>
          <w:rFonts w:hint="eastAsia" w:ascii="仿宋" w:hAnsi="仿宋" w:eastAsia="仿宋"/>
          <w:color w:val="333333"/>
          <w:shd w:val="clear" w:color="auto" w:fill="FFFFFF"/>
        </w:rPr>
        <w:t>了项目区的</w:t>
      </w:r>
      <w:r>
        <w:rPr>
          <w:rFonts w:ascii="仿宋" w:hAnsi="仿宋" w:eastAsia="仿宋"/>
          <w:color w:val="333333"/>
          <w:shd w:val="clear" w:color="auto" w:fill="FFFFFF"/>
        </w:rPr>
        <w:t>耕地质量。</w:t>
      </w:r>
      <w:r>
        <w:rPr>
          <w:rFonts w:hint="eastAsia" w:ascii="仿宋" w:hAnsi="仿宋" w:eastAsia="仿宋"/>
          <w:color w:val="333333"/>
          <w:shd w:val="clear" w:color="auto" w:fill="FFFFFF"/>
        </w:rPr>
        <w:t>此外，高标准农田建设后</w:t>
      </w:r>
      <w:r>
        <w:rPr>
          <w:rFonts w:ascii="仿宋" w:hAnsi="仿宋" w:eastAsia="仿宋"/>
          <w:color w:val="333333"/>
          <w:shd w:val="clear" w:color="auto" w:fill="FFFFFF"/>
        </w:rPr>
        <w:t>排灌渠密度明显增强，</w:t>
      </w:r>
      <w:r>
        <w:rPr>
          <w:rFonts w:hint="eastAsia" w:ascii="仿宋" w:hAnsi="仿宋" w:eastAsia="仿宋"/>
          <w:color w:val="333333"/>
          <w:shd w:val="clear" w:color="auto" w:fill="FFFFFF"/>
        </w:rPr>
        <w:t>新增与改善农田灌溉排水面积累计达到</w:t>
      </w:r>
      <w:r>
        <w:rPr>
          <w:rFonts w:ascii="Times New Roman" w:hAnsi="Times New Roman" w:eastAsia="仿宋" w:cs="Times New Roman"/>
          <w:color w:val="333333"/>
          <w:shd w:val="clear" w:color="auto" w:fill="FFFFFF"/>
        </w:rPr>
        <w:t>5</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59</w:t>
      </w:r>
      <w:r>
        <w:rPr>
          <w:rFonts w:hint="eastAsia" w:ascii="仿宋" w:hAnsi="仿宋" w:eastAsia="仿宋"/>
          <w:color w:val="333333"/>
          <w:shd w:val="clear" w:color="auto" w:fill="FFFFFF"/>
        </w:rPr>
        <w:t>亿万亩（详见表</w:t>
      </w:r>
      <w:r>
        <w:rPr>
          <w:rFonts w:ascii="Times New Roman" w:hAnsi="Times New Roman" w:eastAsia="仿宋" w:cs="Times New Roman"/>
          <w:color w:val="333333"/>
          <w:shd w:val="clear" w:color="auto" w:fill="FFFFFF"/>
        </w:rPr>
        <w:t>11</w:t>
      </w:r>
      <w:r>
        <w:rPr>
          <w:rFonts w:hint="eastAsia" w:ascii="仿宋" w:hAnsi="仿宋" w:eastAsia="仿宋"/>
          <w:color w:val="333333"/>
          <w:shd w:val="clear" w:color="auto" w:fill="FFFFFF"/>
        </w:rPr>
        <w:t>），节水效果显著，水资源利用率有所提升。在农业种植结构方面，工作组抽查未发现农田单一种植现象，项目区轮作制度合理，农产品产出较多元。</w:t>
      </w:r>
    </w:p>
    <w:p>
      <w:pPr>
        <w:spacing w:before="312" w:beforeLines="1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10</w:t>
      </w:r>
      <w:r>
        <w:rPr>
          <w:rFonts w:ascii="仿宋" w:hAnsi="仿宋" w:eastAsia="仿宋" w:cs="Times New Roman"/>
          <w:b/>
          <w:bCs/>
          <w:sz w:val="24"/>
        </w:rPr>
        <w:t xml:space="preserve">  </w:t>
      </w:r>
      <w:r>
        <w:rPr>
          <w:rFonts w:ascii="Times New Roman" w:hAnsi="Times New Roman" w:eastAsia="仿宋" w:cs="Times New Roman"/>
          <w:b/>
          <w:bCs/>
          <w:sz w:val="24"/>
        </w:rPr>
        <w:t>2019</w:t>
      </w:r>
      <w:r>
        <w:rPr>
          <w:rFonts w:ascii="仿宋" w:hAnsi="仿宋" w:eastAsia="仿宋" w:cs="Times New Roman"/>
          <w:b/>
          <w:bCs/>
          <w:sz w:val="24"/>
        </w:rPr>
        <w:t>-</w:t>
      </w:r>
      <w:r>
        <w:rPr>
          <w:rFonts w:ascii="Times New Roman" w:hAnsi="Times New Roman" w:eastAsia="仿宋" w:cs="Times New Roman"/>
          <w:b/>
          <w:bCs/>
          <w:sz w:val="24"/>
        </w:rPr>
        <w:t>2023</w:t>
      </w:r>
      <w:r>
        <w:rPr>
          <w:rFonts w:hint="eastAsia" w:ascii="仿宋" w:hAnsi="仿宋" w:eastAsia="仿宋" w:cs="Times New Roman"/>
          <w:b/>
          <w:bCs/>
          <w:sz w:val="24"/>
        </w:rPr>
        <w:t>年惠安县高标准农田建设项目社会效益情况（单位：万元）</w:t>
      </w:r>
    </w:p>
    <w:tbl>
      <w:tblPr>
        <w:tblStyle w:val="10"/>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8"/>
        <w:gridCol w:w="1230"/>
        <w:gridCol w:w="1230"/>
        <w:gridCol w:w="1231"/>
        <w:gridCol w:w="1231"/>
        <w:gridCol w:w="1231"/>
        <w:gridCol w:w="123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68" w:type="pct"/>
            <w:tcBorders>
              <w:bottom w:val="single" w:color="auto" w:sz="4" w:space="0"/>
            </w:tcBorders>
            <w:shd w:val="clear" w:color="auto" w:fill="auto"/>
            <w:noWrap/>
            <w:vAlign w:val="center"/>
          </w:tcPr>
          <w:p>
            <w:pPr>
              <w:widowControl/>
              <w:spacing w:line="240" w:lineRule="auto"/>
              <w:jc w:val="left"/>
              <w:rPr>
                <w:rFonts w:ascii="仿宋" w:hAnsi="仿宋" w:eastAsia="仿宋" w:cs="宋体"/>
                <w:kern w:val="0"/>
                <w:sz w:val="20"/>
                <w:szCs w:val="20"/>
              </w:rPr>
            </w:pP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722" w:type="pct"/>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668" w:type="pct"/>
            <w:tcBorders>
              <w:top w:val="single" w:color="auto" w:sz="4" w:space="0"/>
              <w:bottom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年新增农业产值</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631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90</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132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78</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458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27</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674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29</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707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14</w:t>
            </w:r>
          </w:p>
        </w:tc>
        <w:tc>
          <w:tcPr>
            <w:tcW w:w="722" w:type="pct"/>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2604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668" w:type="pct"/>
            <w:tcBorders>
              <w:top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年新增粮食产量</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7679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13</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1054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38</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47</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283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22</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433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50</w:t>
            </w:r>
          </w:p>
        </w:tc>
        <w:tc>
          <w:tcPr>
            <w:tcW w:w="722" w:type="pct"/>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9538</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70</w:t>
            </w:r>
          </w:p>
        </w:tc>
      </w:tr>
    </w:tbl>
    <w:p>
      <w:pPr>
        <w:spacing w:before="312" w:beforeLines="1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11</w:t>
      </w:r>
      <w:r>
        <w:rPr>
          <w:rFonts w:ascii="仿宋" w:hAnsi="仿宋" w:eastAsia="仿宋" w:cs="Times New Roman"/>
          <w:b/>
          <w:bCs/>
          <w:sz w:val="24"/>
        </w:rPr>
        <w:t xml:space="preserve">  </w:t>
      </w:r>
      <w:r>
        <w:rPr>
          <w:rFonts w:ascii="Times New Roman" w:hAnsi="Times New Roman" w:eastAsia="仿宋" w:cs="Times New Roman"/>
          <w:b/>
          <w:bCs/>
          <w:sz w:val="24"/>
        </w:rPr>
        <w:t>2019</w:t>
      </w:r>
      <w:r>
        <w:rPr>
          <w:rFonts w:ascii="仿宋" w:hAnsi="仿宋" w:eastAsia="仿宋" w:cs="Times New Roman"/>
          <w:b/>
          <w:bCs/>
          <w:sz w:val="24"/>
        </w:rPr>
        <w:t>-</w:t>
      </w:r>
      <w:r>
        <w:rPr>
          <w:rFonts w:ascii="Times New Roman" w:hAnsi="Times New Roman" w:eastAsia="仿宋" w:cs="Times New Roman"/>
          <w:b/>
          <w:bCs/>
          <w:sz w:val="24"/>
        </w:rPr>
        <w:t>2023</w:t>
      </w:r>
      <w:r>
        <w:rPr>
          <w:rFonts w:hint="eastAsia" w:ascii="仿宋" w:hAnsi="仿宋" w:eastAsia="仿宋" w:cs="Times New Roman"/>
          <w:b/>
          <w:bCs/>
          <w:sz w:val="24"/>
        </w:rPr>
        <w:t>年惠安县高标准农田建设项目生态效益情况（单位：万亩）</w:t>
      </w:r>
    </w:p>
    <w:tbl>
      <w:tblPr>
        <w:tblStyle w:val="10"/>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30"/>
        <w:gridCol w:w="1081"/>
        <w:gridCol w:w="1081"/>
        <w:gridCol w:w="1081"/>
        <w:gridCol w:w="1081"/>
        <w:gridCol w:w="1080"/>
        <w:gridCol w:w="108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1" w:type="pct"/>
            <w:tcBorders>
              <w:top w:val="single" w:color="auto" w:sz="12" w:space="0"/>
              <w:bottom w:val="single" w:color="auto" w:sz="4" w:space="0"/>
            </w:tcBorders>
            <w:shd w:val="clear" w:color="auto" w:fill="auto"/>
            <w:noWrap/>
            <w:vAlign w:val="center"/>
          </w:tcPr>
          <w:p>
            <w:pPr>
              <w:widowControl/>
              <w:spacing w:line="240" w:lineRule="auto"/>
              <w:jc w:val="left"/>
              <w:rPr>
                <w:rFonts w:ascii="仿宋" w:hAnsi="仿宋" w:eastAsia="仿宋" w:cs="宋体"/>
                <w:kern w:val="0"/>
                <w:sz w:val="20"/>
                <w:szCs w:val="20"/>
              </w:rPr>
            </w:pPr>
          </w:p>
        </w:tc>
        <w:tc>
          <w:tcPr>
            <w:tcW w:w="634"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634"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634"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634"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634"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637" w:type="pct"/>
            <w:tcBorders>
              <w:top w:val="single" w:color="auto" w:sz="12" w:space="0"/>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1191" w:type="pct"/>
            <w:tcBorders>
              <w:top w:val="single" w:color="auto" w:sz="4" w:space="0"/>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新增与改善农田灌溉排水面积</w:t>
            </w:r>
          </w:p>
        </w:tc>
        <w:tc>
          <w:tcPr>
            <w:tcW w:w="634"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18664</w:t>
            </w:r>
            <w:r>
              <w:rPr>
                <w:rFonts w:ascii="仿宋" w:hAnsi="仿宋" w:eastAsia="仿宋" w:cs="宋体"/>
                <w:color w:val="000000"/>
                <w:kern w:val="0"/>
                <w:sz w:val="22"/>
                <w:szCs w:val="22"/>
              </w:rPr>
              <w:t>.</w:t>
            </w:r>
            <w:r>
              <w:rPr>
                <w:rFonts w:ascii="Times New Roman" w:hAnsi="Times New Roman" w:eastAsia="仿宋" w:cs="Times New Roman"/>
                <w:color w:val="000000"/>
                <w:kern w:val="0"/>
                <w:sz w:val="22"/>
                <w:szCs w:val="22"/>
              </w:rPr>
              <w:t>0</w:t>
            </w:r>
          </w:p>
        </w:tc>
        <w:tc>
          <w:tcPr>
            <w:tcW w:w="634"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18237</w:t>
            </w:r>
            <w:r>
              <w:rPr>
                <w:rFonts w:ascii="仿宋" w:hAnsi="仿宋" w:eastAsia="仿宋" w:cs="宋体"/>
                <w:color w:val="000000"/>
                <w:kern w:val="0"/>
                <w:sz w:val="22"/>
                <w:szCs w:val="22"/>
              </w:rPr>
              <w:t>.</w:t>
            </w:r>
            <w:r>
              <w:rPr>
                <w:rFonts w:ascii="Times New Roman" w:hAnsi="Times New Roman" w:eastAsia="仿宋" w:cs="Times New Roman"/>
                <w:color w:val="000000"/>
                <w:kern w:val="0"/>
                <w:sz w:val="22"/>
                <w:szCs w:val="22"/>
              </w:rPr>
              <w:t>0</w:t>
            </w:r>
          </w:p>
        </w:tc>
        <w:tc>
          <w:tcPr>
            <w:tcW w:w="634"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8777</w:t>
            </w:r>
            <w:r>
              <w:rPr>
                <w:rFonts w:ascii="仿宋" w:hAnsi="仿宋" w:eastAsia="仿宋" w:cs="宋体"/>
                <w:color w:val="000000"/>
                <w:kern w:val="0"/>
                <w:sz w:val="22"/>
                <w:szCs w:val="22"/>
              </w:rPr>
              <w:t>.</w:t>
            </w:r>
            <w:r>
              <w:rPr>
                <w:rFonts w:ascii="Times New Roman" w:hAnsi="Times New Roman" w:eastAsia="仿宋" w:cs="Times New Roman"/>
                <w:color w:val="000000"/>
                <w:kern w:val="0"/>
                <w:sz w:val="22"/>
                <w:szCs w:val="22"/>
              </w:rPr>
              <w:t>0</w:t>
            </w:r>
          </w:p>
        </w:tc>
        <w:tc>
          <w:tcPr>
            <w:tcW w:w="634"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4994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w:t>
            </w:r>
          </w:p>
        </w:tc>
        <w:tc>
          <w:tcPr>
            <w:tcW w:w="634"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5217</w:t>
            </w:r>
            <w:r>
              <w:rPr>
                <w:rFonts w:ascii="仿宋" w:hAnsi="仿宋" w:eastAsia="仿宋" w:cs="宋体"/>
                <w:color w:val="000000"/>
                <w:kern w:val="0"/>
                <w:sz w:val="22"/>
                <w:szCs w:val="22"/>
              </w:rPr>
              <w:t>.</w:t>
            </w:r>
            <w:r>
              <w:rPr>
                <w:rFonts w:ascii="Times New Roman" w:hAnsi="Times New Roman" w:eastAsia="仿宋" w:cs="Times New Roman"/>
                <w:color w:val="000000"/>
                <w:kern w:val="0"/>
                <w:sz w:val="22"/>
                <w:szCs w:val="22"/>
              </w:rPr>
              <w:t>0</w:t>
            </w:r>
          </w:p>
        </w:tc>
        <w:tc>
          <w:tcPr>
            <w:tcW w:w="637" w:type="pct"/>
            <w:tcBorders>
              <w:top w:val="single" w:color="auto" w:sz="4" w:space="0"/>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55893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1" w:type="pct"/>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占项目总规模的比例</w:t>
            </w:r>
          </w:p>
        </w:tc>
        <w:tc>
          <w:tcPr>
            <w:tcW w:w="634"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92</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49</w:t>
            </w:r>
            <w:r>
              <w:rPr>
                <w:rFonts w:hint="eastAsia" w:ascii="仿宋" w:hAnsi="仿宋" w:eastAsia="仿宋" w:cs="宋体"/>
                <w:color w:val="000000"/>
                <w:kern w:val="0"/>
                <w:sz w:val="22"/>
                <w:szCs w:val="22"/>
              </w:rPr>
              <w:t>%</w:t>
            </w:r>
          </w:p>
        </w:tc>
        <w:tc>
          <w:tcPr>
            <w:tcW w:w="634"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66</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67</w:t>
            </w:r>
            <w:r>
              <w:rPr>
                <w:rFonts w:hint="eastAsia" w:ascii="仿宋" w:hAnsi="仿宋" w:eastAsia="仿宋" w:cs="宋体"/>
                <w:color w:val="000000"/>
                <w:kern w:val="0"/>
                <w:sz w:val="22"/>
                <w:szCs w:val="22"/>
              </w:rPr>
              <w:t>%</w:t>
            </w:r>
          </w:p>
        </w:tc>
        <w:tc>
          <w:tcPr>
            <w:tcW w:w="634"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92</w:t>
            </w:r>
            <w:r>
              <w:rPr>
                <w:rFonts w:hint="eastAsia" w:ascii="仿宋" w:hAnsi="仿宋" w:eastAsia="仿宋" w:cs="宋体"/>
                <w:color w:val="000000"/>
                <w:kern w:val="0"/>
                <w:sz w:val="22"/>
                <w:szCs w:val="22"/>
              </w:rPr>
              <w:t>%</w:t>
            </w:r>
          </w:p>
        </w:tc>
        <w:tc>
          <w:tcPr>
            <w:tcW w:w="634"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57</w:t>
            </w:r>
            <w:r>
              <w:rPr>
                <w:rFonts w:hint="eastAsia" w:ascii="仿宋" w:hAnsi="仿宋" w:eastAsia="仿宋" w:cs="宋体"/>
                <w:color w:val="000000"/>
                <w:kern w:val="0"/>
                <w:sz w:val="22"/>
                <w:szCs w:val="22"/>
              </w:rPr>
              <w:t>%</w:t>
            </w:r>
          </w:p>
        </w:tc>
        <w:tc>
          <w:tcPr>
            <w:tcW w:w="634"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55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50</w:t>
            </w:r>
            <w:r>
              <w:rPr>
                <w:rFonts w:hint="eastAsia" w:ascii="仿宋" w:hAnsi="仿宋" w:eastAsia="仿宋" w:cs="宋体"/>
                <w:color w:val="000000"/>
                <w:kern w:val="0"/>
                <w:sz w:val="22"/>
                <w:szCs w:val="22"/>
              </w:rPr>
              <w:t>%</w:t>
            </w:r>
          </w:p>
        </w:tc>
        <w:tc>
          <w:tcPr>
            <w:tcW w:w="637" w:type="pct"/>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69</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56</w:t>
            </w:r>
            <w:r>
              <w:rPr>
                <w:rFonts w:hint="eastAsia" w:ascii="仿宋" w:hAnsi="仿宋" w:eastAsia="仿宋" w:cs="宋体"/>
                <w:color w:val="000000"/>
                <w:kern w:val="0"/>
                <w:sz w:val="22"/>
                <w:szCs w:val="22"/>
              </w:rPr>
              <w:t>%</w:t>
            </w:r>
          </w:p>
        </w:tc>
      </w:tr>
    </w:tbl>
    <w:p>
      <w:pPr>
        <w:spacing w:before="312" w:beforeLines="100"/>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经济效益方面，据部分抽样项目的统计数据显示，</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s="Times New Roman"/>
          <w:color w:val="333333"/>
          <w:shd w:val="clear" w:color="auto" w:fill="FFFFFF"/>
        </w:rPr>
        <w:t>年</w:t>
      </w:r>
      <w:r>
        <w:rPr>
          <w:rFonts w:hint="eastAsia" w:ascii="仿宋" w:hAnsi="仿宋" w:eastAsia="仿宋"/>
          <w:color w:val="333333"/>
          <w:shd w:val="clear" w:color="auto" w:fill="FFFFFF"/>
        </w:rPr>
        <w:t>平均农业人均年增收水平为</w:t>
      </w:r>
      <w:r>
        <w:rPr>
          <w:rFonts w:ascii="Times New Roman" w:hAnsi="Times New Roman" w:eastAsia="仿宋" w:cs="Times New Roman"/>
          <w:color w:val="333333"/>
          <w:shd w:val="clear" w:color="auto" w:fill="FFFFFF"/>
        </w:rPr>
        <w:t>113</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95</w:t>
      </w:r>
      <w:r>
        <w:rPr>
          <w:rFonts w:hint="eastAsia" w:ascii="仿宋" w:hAnsi="仿宋" w:eastAsia="仿宋"/>
          <w:color w:val="333333"/>
          <w:shd w:val="clear" w:color="auto" w:fill="FFFFFF"/>
        </w:rPr>
        <w:t>元/年，除</w:t>
      </w:r>
      <w:r>
        <w:rPr>
          <w:rFonts w:ascii="Times New Roman" w:hAnsi="Times New Roman" w:eastAsia="仿宋" w:cs="Times New Roman"/>
          <w:color w:val="333333"/>
          <w:shd w:val="clear" w:color="auto" w:fill="FFFFFF"/>
        </w:rPr>
        <w:t>2021</w:t>
      </w:r>
      <w:r>
        <w:rPr>
          <w:rFonts w:hint="eastAsia" w:ascii="仿宋" w:hAnsi="仿宋" w:eastAsia="仿宋"/>
          <w:color w:val="333333"/>
          <w:shd w:val="clear" w:color="auto" w:fill="FFFFFF"/>
        </w:rPr>
        <w:t>年项目外，农业收入年增幅均超过</w:t>
      </w:r>
      <w:r>
        <w:rPr>
          <w:rFonts w:ascii="Times New Roman" w:hAnsi="Times New Roman" w:eastAsia="仿宋" w:cs="Times New Roman"/>
          <w:color w:val="333333"/>
          <w:shd w:val="clear" w:color="auto" w:fill="FFFFFF"/>
        </w:rPr>
        <w:t>100</w:t>
      </w:r>
      <w:r>
        <w:rPr>
          <w:rFonts w:ascii="仿宋" w:hAnsi="仿宋" w:eastAsia="仿宋"/>
          <w:color w:val="333333"/>
          <w:shd w:val="clear" w:color="auto" w:fill="FFFFFF"/>
        </w:rPr>
        <w:t>元</w:t>
      </w:r>
      <w:r>
        <w:rPr>
          <w:rFonts w:hint="eastAsia" w:ascii="仿宋" w:hAnsi="仿宋" w:eastAsia="仿宋"/>
        </w:rPr>
        <w:t>（详见表</w:t>
      </w:r>
      <w:r>
        <w:rPr>
          <w:rFonts w:ascii="Times New Roman" w:hAnsi="Times New Roman" w:eastAsia="仿宋" w:cs="Times New Roman"/>
        </w:rPr>
        <w:t>12</w:t>
      </w:r>
      <w:r>
        <w:rPr>
          <w:rFonts w:hint="eastAsia" w:ascii="仿宋" w:hAnsi="仿宋" w:eastAsia="仿宋"/>
        </w:rPr>
        <w:t>）</w:t>
      </w:r>
      <w:r>
        <w:rPr>
          <w:rFonts w:ascii="仿宋" w:hAnsi="仿宋" w:eastAsia="仿宋"/>
          <w:color w:val="333333"/>
          <w:shd w:val="clear" w:color="auto" w:fill="FFFFFF"/>
        </w:rPr>
        <w:t>，因此该项扣</w:t>
      </w:r>
      <w:r>
        <w:rPr>
          <w:rFonts w:ascii="Times New Roman" w:hAnsi="Times New Roman" w:eastAsia="仿宋" w:cs="Times New Roman"/>
          <w:color w:val="333333"/>
          <w:shd w:val="clear" w:color="auto" w:fill="FFFFFF"/>
        </w:rPr>
        <w:t>0</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14</w:t>
      </w:r>
      <w:r>
        <w:rPr>
          <w:rFonts w:ascii="仿宋" w:hAnsi="仿宋" w:eastAsia="仿宋"/>
          <w:color w:val="333333"/>
          <w:shd w:val="clear" w:color="auto" w:fill="FFFFFF"/>
        </w:rPr>
        <w:t>分。</w:t>
      </w:r>
      <w:r>
        <w:rPr>
          <w:rFonts w:hint="eastAsia" w:ascii="仿宋" w:hAnsi="仿宋" w:eastAsia="仿宋"/>
          <w:color w:val="333333"/>
          <w:shd w:val="clear" w:color="auto" w:fill="FFFFFF"/>
        </w:rPr>
        <w:t>同时项目在旱涝保收方面成效显著，项目区</w:t>
      </w:r>
      <w:r>
        <w:rPr>
          <w:rFonts w:ascii="仿宋" w:hAnsi="仿宋" w:eastAsia="仿宋"/>
        </w:rPr>
        <w:t>防洪防涝抗旱能力进一步提升，极大地改善了农业的生产条件和农民的生活环境，为促进农业增效、农民增收和新农村建设做出了重要贡献</w:t>
      </w:r>
      <w:r>
        <w:rPr>
          <w:rFonts w:hint="eastAsia" w:ascii="仿宋" w:hAnsi="仿宋" w:eastAsia="仿宋"/>
        </w:rPr>
        <w:t>。</w:t>
      </w:r>
    </w:p>
    <w:p>
      <w:pPr>
        <w:spacing w:before="312" w:beforeLines="100"/>
        <w:jc w:val="center"/>
        <w:rPr>
          <w:rFonts w:ascii="仿宋" w:hAnsi="仿宋" w:eastAsia="仿宋" w:cs="Times New Roman"/>
          <w:b/>
          <w:bCs/>
          <w:sz w:val="24"/>
        </w:rPr>
      </w:pPr>
      <w:r>
        <w:rPr>
          <w:rFonts w:ascii="仿宋" w:hAnsi="仿宋" w:eastAsia="仿宋" w:cs="Times New Roman"/>
          <w:b/>
          <w:bCs/>
          <w:sz w:val="24"/>
        </w:rPr>
        <w:t>表</w:t>
      </w:r>
      <w:r>
        <w:rPr>
          <w:rFonts w:ascii="Times New Roman" w:hAnsi="Times New Roman" w:eastAsia="仿宋" w:cs="Times New Roman"/>
          <w:b/>
          <w:bCs/>
          <w:sz w:val="24"/>
        </w:rPr>
        <w:t>12</w:t>
      </w:r>
      <w:r>
        <w:rPr>
          <w:rFonts w:ascii="仿宋" w:hAnsi="仿宋" w:eastAsia="仿宋" w:cs="Times New Roman"/>
          <w:b/>
          <w:bCs/>
          <w:sz w:val="24"/>
        </w:rPr>
        <w:t xml:space="preserve">  </w:t>
      </w:r>
      <w:r>
        <w:rPr>
          <w:rFonts w:ascii="Times New Roman" w:hAnsi="Times New Roman" w:eastAsia="仿宋" w:cs="Times New Roman"/>
          <w:b/>
          <w:bCs/>
          <w:sz w:val="24"/>
        </w:rPr>
        <w:t>2019</w:t>
      </w:r>
      <w:r>
        <w:rPr>
          <w:rFonts w:ascii="仿宋" w:hAnsi="仿宋" w:eastAsia="仿宋" w:cs="Times New Roman"/>
          <w:b/>
          <w:bCs/>
          <w:sz w:val="24"/>
        </w:rPr>
        <w:t>-</w:t>
      </w:r>
      <w:r>
        <w:rPr>
          <w:rFonts w:ascii="Times New Roman" w:hAnsi="Times New Roman" w:eastAsia="仿宋" w:cs="Times New Roman"/>
          <w:b/>
          <w:bCs/>
          <w:sz w:val="24"/>
        </w:rPr>
        <w:t>2023</w:t>
      </w:r>
      <w:r>
        <w:rPr>
          <w:rFonts w:hint="eastAsia" w:ascii="仿宋" w:hAnsi="仿宋" w:eastAsia="仿宋" w:cs="Times New Roman"/>
          <w:b/>
          <w:bCs/>
          <w:sz w:val="24"/>
        </w:rPr>
        <w:t>年惠安县高标准农田建设项目经济效益情况</w:t>
      </w:r>
    </w:p>
    <w:tbl>
      <w:tblPr>
        <w:tblStyle w:val="10"/>
        <w:tblW w:w="8301"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7"/>
        <w:gridCol w:w="1029"/>
        <w:gridCol w:w="1029"/>
        <w:gridCol w:w="1029"/>
        <w:gridCol w:w="1029"/>
        <w:gridCol w:w="1029"/>
        <w:gridCol w:w="102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27" w:type="dxa"/>
            <w:tcBorders>
              <w:bottom w:val="single" w:color="auto" w:sz="4" w:space="0"/>
            </w:tcBorders>
            <w:shd w:val="clear" w:color="auto" w:fill="auto"/>
            <w:noWrap/>
            <w:vAlign w:val="center"/>
          </w:tcPr>
          <w:p>
            <w:pPr>
              <w:widowControl/>
              <w:spacing w:line="240" w:lineRule="auto"/>
              <w:jc w:val="left"/>
              <w:rPr>
                <w:rFonts w:ascii="仿宋" w:hAnsi="仿宋" w:eastAsia="仿宋" w:cs="宋体"/>
                <w:kern w:val="0"/>
                <w:sz w:val="20"/>
                <w:szCs w:val="20"/>
              </w:rPr>
            </w:pP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2019</w:t>
            </w:r>
            <w:r>
              <w:rPr>
                <w:rFonts w:hint="eastAsia" w:ascii="仿宋" w:hAnsi="仿宋" w:eastAsia="仿宋" w:cs="宋体"/>
                <w:b/>
                <w:bCs/>
                <w:color w:val="000000"/>
                <w:kern w:val="0"/>
                <w:sz w:val="22"/>
                <w:szCs w:val="22"/>
              </w:rPr>
              <w:t>年</w:t>
            </w: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2020</w:t>
            </w:r>
            <w:r>
              <w:rPr>
                <w:rFonts w:hint="eastAsia" w:ascii="仿宋" w:hAnsi="仿宋" w:eastAsia="仿宋" w:cs="宋体"/>
                <w:b/>
                <w:bCs/>
                <w:color w:val="000000"/>
                <w:kern w:val="0"/>
                <w:sz w:val="22"/>
                <w:szCs w:val="22"/>
              </w:rPr>
              <w:t>年</w:t>
            </w: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2021</w:t>
            </w:r>
            <w:r>
              <w:rPr>
                <w:rFonts w:hint="eastAsia" w:ascii="仿宋" w:hAnsi="仿宋" w:eastAsia="仿宋" w:cs="宋体"/>
                <w:b/>
                <w:bCs/>
                <w:color w:val="000000"/>
                <w:kern w:val="0"/>
                <w:sz w:val="22"/>
                <w:szCs w:val="22"/>
              </w:rPr>
              <w:t>年</w:t>
            </w: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2022</w:t>
            </w:r>
            <w:r>
              <w:rPr>
                <w:rFonts w:hint="eastAsia" w:ascii="仿宋" w:hAnsi="仿宋" w:eastAsia="仿宋" w:cs="宋体"/>
                <w:b/>
                <w:bCs/>
                <w:color w:val="000000"/>
                <w:kern w:val="0"/>
                <w:sz w:val="22"/>
                <w:szCs w:val="22"/>
              </w:rPr>
              <w:t>年</w:t>
            </w: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ascii="Times New Roman" w:hAnsi="Times New Roman" w:eastAsia="仿宋" w:cs="Times New Roman"/>
                <w:b/>
                <w:bCs/>
                <w:color w:val="000000"/>
                <w:kern w:val="0"/>
                <w:sz w:val="22"/>
                <w:szCs w:val="22"/>
              </w:rPr>
              <w:t>2023</w:t>
            </w:r>
            <w:r>
              <w:rPr>
                <w:rFonts w:hint="eastAsia" w:ascii="仿宋" w:hAnsi="仿宋" w:eastAsia="仿宋" w:cs="宋体"/>
                <w:b/>
                <w:bCs/>
                <w:color w:val="000000"/>
                <w:kern w:val="0"/>
                <w:sz w:val="22"/>
                <w:szCs w:val="22"/>
              </w:rPr>
              <w:t>年</w:t>
            </w:r>
          </w:p>
        </w:tc>
        <w:tc>
          <w:tcPr>
            <w:tcW w:w="1029" w:type="dxa"/>
            <w:tcBorders>
              <w:bottom w:val="single" w:color="auto" w:sz="4" w:space="0"/>
            </w:tcBorders>
            <w:shd w:val="clear" w:color="auto" w:fill="auto"/>
            <w:noWrap/>
            <w:vAlign w:val="center"/>
          </w:tcPr>
          <w:p>
            <w:pPr>
              <w:widowControl/>
              <w:spacing w:line="240" w:lineRule="auto"/>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合计</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27" w:type="dxa"/>
            <w:tcBorders>
              <w:top w:val="single" w:color="auto" w:sz="4" w:space="0"/>
              <w:bottom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农民年可增加纯收入（万元）</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115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42</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91</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97</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184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48</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357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497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w:t>
            </w:r>
          </w:p>
        </w:tc>
        <w:tc>
          <w:tcPr>
            <w:tcW w:w="1029" w:type="dxa"/>
            <w:tcBorders>
              <w:top w:val="single" w:color="auto" w:sz="4" w:space="0"/>
              <w:bottom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1247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47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27" w:type="dxa"/>
            <w:tcBorders>
              <w:top w:val="nil"/>
            </w:tcBorders>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项目区直接受益农业人口数（人）</w:t>
            </w:r>
          </w:p>
        </w:tc>
        <w:tc>
          <w:tcPr>
            <w:tcW w:w="1029" w:type="dxa"/>
            <w:tcBorders>
              <w:top w:val="nil"/>
            </w:tcBorders>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3000</w:t>
            </w:r>
          </w:p>
        </w:tc>
        <w:tc>
          <w:tcPr>
            <w:tcW w:w="1029"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5209</w:t>
            </w:r>
          </w:p>
        </w:tc>
        <w:tc>
          <w:tcPr>
            <w:tcW w:w="1029"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21558</w:t>
            </w:r>
          </w:p>
        </w:tc>
        <w:tc>
          <w:tcPr>
            <w:tcW w:w="1029"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33372</w:t>
            </w:r>
          </w:p>
        </w:tc>
        <w:tc>
          <w:tcPr>
            <w:tcW w:w="1029"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46340</w:t>
            </w:r>
          </w:p>
        </w:tc>
        <w:tc>
          <w:tcPr>
            <w:tcW w:w="1029" w:type="dxa"/>
            <w:tcBorders>
              <w:top w:val="nil"/>
            </w:tcBorders>
            <w:shd w:val="clear" w:color="auto" w:fill="auto"/>
            <w:noWrap/>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109479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27" w:type="dxa"/>
            <w:shd w:val="clear" w:color="auto" w:fill="auto"/>
            <w:vAlign w:val="center"/>
          </w:tcPr>
          <w:p>
            <w:pPr>
              <w:widowControl/>
              <w:spacing w:line="240" w:lineRule="auto"/>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农业人均增加年收入（元）</w:t>
            </w:r>
          </w:p>
        </w:tc>
        <w:tc>
          <w:tcPr>
            <w:tcW w:w="1029" w:type="dxa"/>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384</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73</w:t>
            </w:r>
          </w:p>
        </w:tc>
        <w:tc>
          <w:tcPr>
            <w:tcW w:w="1029" w:type="dxa"/>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176</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56</w:t>
            </w:r>
          </w:p>
        </w:tc>
        <w:tc>
          <w:tcPr>
            <w:tcW w:w="1029" w:type="dxa"/>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85</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57</w:t>
            </w:r>
          </w:p>
        </w:tc>
        <w:tc>
          <w:tcPr>
            <w:tcW w:w="1029" w:type="dxa"/>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107</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19</w:t>
            </w:r>
          </w:p>
        </w:tc>
        <w:tc>
          <w:tcPr>
            <w:tcW w:w="1029" w:type="dxa"/>
            <w:shd w:val="clear" w:color="auto" w:fill="auto"/>
            <w:vAlign w:val="center"/>
          </w:tcPr>
          <w:p>
            <w:pPr>
              <w:widowControl/>
              <w:spacing w:line="240" w:lineRule="auto"/>
              <w:jc w:val="center"/>
              <w:rPr>
                <w:rFonts w:ascii="仿宋" w:hAnsi="仿宋" w:eastAsia="仿宋"/>
                <w:color w:val="000000"/>
                <w:kern w:val="0"/>
                <w:sz w:val="22"/>
                <w:szCs w:val="22"/>
              </w:rPr>
            </w:pPr>
            <w:r>
              <w:rPr>
                <w:rFonts w:ascii="Times New Roman" w:hAnsi="Times New Roman" w:eastAsia="仿宋" w:cs="Times New Roman"/>
                <w:color w:val="000000"/>
                <w:sz w:val="22"/>
                <w:szCs w:val="22"/>
              </w:rPr>
              <w:t>107</w:t>
            </w:r>
            <w:r>
              <w:rPr>
                <w:rFonts w:hint="eastAsia" w:ascii="仿宋" w:hAnsi="仿宋" w:eastAsia="仿宋"/>
                <w:color w:val="000000"/>
                <w:sz w:val="22"/>
                <w:szCs w:val="22"/>
              </w:rPr>
              <w:t>.</w:t>
            </w:r>
            <w:r>
              <w:rPr>
                <w:rFonts w:ascii="Times New Roman" w:hAnsi="Times New Roman" w:eastAsia="仿宋" w:cs="Times New Roman"/>
                <w:color w:val="000000"/>
                <w:sz w:val="22"/>
                <w:szCs w:val="22"/>
              </w:rPr>
              <w:t>45</w:t>
            </w:r>
          </w:p>
        </w:tc>
        <w:tc>
          <w:tcPr>
            <w:tcW w:w="1029" w:type="dxa"/>
            <w:shd w:val="clear" w:color="auto" w:fill="auto"/>
            <w:vAlign w:val="center"/>
          </w:tcPr>
          <w:p>
            <w:pPr>
              <w:widowControl/>
              <w:spacing w:line="240" w:lineRule="auto"/>
              <w:jc w:val="center"/>
              <w:rPr>
                <w:rFonts w:ascii="仿宋" w:hAnsi="仿宋" w:eastAsia="仿宋" w:cs="宋体"/>
                <w:color w:val="000000"/>
                <w:kern w:val="0"/>
                <w:sz w:val="22"/>
                <w:szCs w:val="22"/>
              </w:rPr>
            </w:pPr>
            <w:r>
              <w:rPr>
                <w:rFonts w:ascii="Times New Roman" w:hAnsi="Times New Roman" w:eastAsia="仿宋" w:cs="Times New Roman"/>
                <w:color w:val="000000"/>
                <w:kern w:val="0"/>
                <w:sz w:val="22"/>
                <w:szCs w:val="22"/>
              </w:rPr>
              <w:t>113</w:t>
            </w:r>
            <w:r>
              <w:rPr>
                <w:rFonts w:hint="eastAsia" w:ascii="仿宋" w:hAnsi="仿宋" w:eastAsia="仿宋" w:cs="宋体"/>
                <w:color w:val="000000"/>
                <w:kern w:val="0"/>
                <w:sz w:val="22"/>
                <w:szCs w:val="22"/>
              </w:rPr>
              <w:t>.</w:t>
            </w:r>
            <w:r>
              <w:rPr>
                <w:rFonts w:ascii="Times New Roman" w:hAnsi="Times New Roman" w:eastAsia="仿宋" w:cs="Times New Roman"/>
                <w:color w:val="000000"/>
                <w:kern w:val="0"/>
                <w:sz w:val="22"/>
                <w:szCs w:val="22"/>
              </w:rPr>
              <w:t>95</w:t>
            </w:r>
          </w:p>
        </w:tc>
      </w:tr>
    </w:tbl>
    <w:p>
      <w:pPr>
        <w:spacing w:before="312" w:beforeLines="100"/>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可持续影响方面，</w:t>
      </w:r>
      <w:r>
        <w:rPr>
          <w:rFonts w:ascii="仿宋" w:hAnsi="仿宋" w:eastAsia="仿宋"/>
          <w:color w:val="333333"/>
          <w:shd w:val="clear" w:color="auto" w:fill="FFFFFF"/>
        </w:rPr>
        <w:t>经核查，</w:t>
      </w:r>
      <w:r>
        <w:rPr>
          <w:rFonts w:hint="eastAsia" w:ascii="仿宋" w:hAnsi="仿宋" w:eastAsia="仿宋"/>
          <w:color w:val="333333"/>
          <w:shd w:val="clear" w:color="auto" w:fill="FFFFFF"/>
        </w:rPr>
        <w:t>惠安县</w:t>
      </w:r>
      <w:r>
        <w:rPr>
          <w:rFonts w:ascii="仿宋" w:hAnsi="仿宋" w:eastAsia="仿宋"/>
          <w:color w:val="333333"/>
          <w:shd w:val="clear" w:color="auto" w:fill="FFFFFF"/>
        </w:rPr>
        <w:t>参照</w:t>
      </w:r>
      <w:r>
        <w:rPr>
          <w:rFonts w:hint="eastAsia" w:ascii="仿宋" w:hAnsi="仿宋" w:eastAsia="仿宋"/>
          <w:color w:val="333333"/>
          <w:shd w:val="clear" w:color="auto" w:fill="FFFFFF"/>
        </w:rPr>
        <w:t>省</w:t>
      </w:r>
      <w:r>
        <w:rPr>
          <w:rFonts w:ascii="仿宋" w:hAnsi="仿宋" w:eastAsia="仿宋"/>
          <w:color w:val="333333"/>
          <w:shd w:val="clear" w:color="auto" w:fill="FFFFFF"/>
        </w:rPr>
        <w:t>农业农村局印发的</w:t>
      </w:r>
      <w:r>
        <w:rPr>
          <w:rFonts w:hint="eastAsia" w:ascii="仿宋" w:hAnsi="仿宋" w:eastAsia="仿宋"/>
          <w:color w:val="333333"/>
          <w:shd w:val="clear" w:color="auto" w:fill="FFFFFF"/>
        </w:rPr>
        <w:t>《关于做好农田建设项目建后管护工作的通知》（闽农建函〔</w:t>
      </w:r>
      <w:r>
        <w:rPr>
          <w:rFonts w:ascii="Times New Roman" w:hAnsi="Times New Roman" w:eastAsia="仿宋" w:cs="Times New Roman"/>
          <w:color w:val="333333"/>
          <w:shd w:val="clear" w:color="auto" w:fill="FFFFFF"/>
        </w:rPr>
        <w:t>2019</w:t>
      </w:r>
      <w:r>
        <w:rPr>
          <w:rFonts w:hint="eastAsia" w:ascii="仿宋" w:hAnsi="仿宋" w:eastAsia="仿宋"/>
          <w:color w:val="333333"/>
          <w:shd w:val="clear" w:color="auto" w:fill="FFFFFF"/>
        </w:rPr>
        <w:t>〕</w:t>
      </w:r>
      <w:r>
        <w:rPr>
          <w:rFonts w:ascii="Times New Roman" w:hAnsi="Times New Roman" w:eastAsia="仿宋" w:cs="Times New Roman"/>
          <w:color w:val="333333"/>
          <w:shd w:val="clear" w:color="auto" w:fill="FFFFFF"/>
        </w:rPr>
        <w:t>816</w:t>
      </w:r>
      <w:r>
        <w:rPr>
          <w:rFonts w:hint="eastAsia" w:ascii="仿宋" w:hAnsi="仿宋" w:eastAsia="仿宋"/>
          <w:color w:val="333333"/>
          <w:shd w:val="clear" w:color="auto" w:fill="FFFFFF"/>
        </w:rPr>
        <w:t>号）</w:t>
      </w:r>
      <w:r>
        <w:rPr>
          <w:rFonts w:ascii="仿宋" w:hAnsi="仿宋" w:eastAsia="仿宋"/>
          <w:color w:val="333333"/>
          <w:shd w:val="clear" w:color="auto" w:fill="FFFFFF"/>
        </w:rPr>
        <w:t>执行</w:t>
      </w:r>
      <w:r>
        <w:rPr>
          <w:rFonts w:hint="eastAsia" w:ascii="仿宋" w:hAnsi="仿宋" w:eastAsia="仿宋"/>
          <w:color w:val="333333"/>
          <w:shd w:val="clear" w:color="auto" w:fill="FFFFFF"/>
        </w:rPr>
        <w:t>项目期后管护</w:t>
      </w:r>
      <w:r>
        <w:rPr>
          <w:rFonts w:ascii="仿宋" w:hAnsi="仿宋" w:eastAsia="仿宋"/>
          <w:color w:val="333333"/>
          <w:shd w:val="clear" w:color="auto" w:fill="FFFFFF"/>
        </w:rPr>
        <w:t>，明确了管护界限范围、管护主体及管护责任，落实了管护要求。</w:t>
      </w:r>
      <w:r>
        <w:rPr>
          <w:rFonts w:hint="eastAsia" w:ascii="仿宋" w:hAnsi="仿宋" w:eastAsia="仿宋"/>
          <w:color w:val="333333"/>
          <w:shd w:val="clear" w:color="auto" w:fill="FFFFFF"/>
        </w:rPr>
        <w:t>但项目管护力度仍有待进一步提升，部分项目验收时存在破损、毁坏情况，因此此项扣</w:t>
      </w:r>
      <w:r>
        <w:rPr>
          <w:rFonts w:ascii="Times New Roman" w:hAnsi="Times New Roman" w:eastAsia="仿宋" w:cs="Times New Roman"/>
          <w:color w:val="333333"/>
          <w:shd w:val="clear" w:color="auto" w:fill="FFFFFF"/>
        </w:rPr>
        <w:t>1</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25</w:t>
      </w:r>
      <w:r>
        <w:rPr>
          <w:rFonts w:hint="eastAsia" w:ascii="仿宋" w:hAnsi="仿宋" w:eastAsia="仿宋"/>
          <w:color w:val="333333"/>
          <w:shd w:val="clear" w:color="auto" w:fill="FFFFFF"/>
        </w:rPr>
        <w:t>分。</w:t>
      </w:r>
    </w:p>
    <w:p>
      <w:pPr>
        <w:ind w:firstLine="560" w:firstLineChars="200"/>
        <w:rPr>
          <w:rFonts w:ascii="仿宋" w:hAnsi="仿宋" w:eastAsia="仿宋"/>
          <w:color w:val="333333"/>
          <w:shd w:val="clear" w:color="auto" w:fill="FFFFFF"/>
        </w:rPr>
      </w:pPr>
      <w:r>
        <w:rPr>
          <w:rFonts w:hint="eastAsia" w:ascii="仿宋" w:hAnsi="仿宋" w:eastAsia="仿宋"/>
          <w:color w:val="333333"/>
          <w:shd w:val="clear" w:color="auto" w:fill="FFFFFF"/>
        </w:rPr>
        <w:t>满意度方面，结合项目自评结果等材料以及现场调研结果，</w:t>
      </w:r>
      <w:r>
        <w:rPr>
          <w:rFonts w:ascii="Times New Roman" w:hAnsi="Times New Roman" w:eastAsia="仿宋" w:cs="Times New Roman"/>
          <w:color w:val="333333"/>
          <w:shd w:val="clear" w:color="auto" w:fill="FFFFFF"/>
        </w:rPr>
        <w:t>2019</w:t>
      </w:r>
      <w:r>
        <w:rPr>
          <w:rFonts w:ascii="仿宋" w:hAnsi="仿宋" w:eastAsia="仿宋"/>
          <w:color w:val="333333"/>
          <w:shd w:val="clear" w:color="auto" w:fill="FFFFFF"/>
        </w:rPr>
        <w:t>-</w:t>
      </w:r>
      <w:r>
        <w:rPr>
          <w:rFonts w:ascii="Times New Roman" w:hAnsi="Times New Roman" w:eastAsia="仿宋" w:cs="Times New Roman"/>
          <w:color w:val="333333"/>
          <w:shd w:val="clear" w:color="auto" w:fill="FFFFFF"/>
        </w:rPr>
        <w:t>2023</w:t>
      </w:r>
      <w:r>
        <w:rPr>
          <w:rFonts w:hint="eastAsia" w:ascii="仿宋" w:hAnsi="仿宋" w:eastAsia="仿宋"/>
          <w:color w:val="333333"/>
          <w:shd w:val="clear" w:color="auto" w:fill="FFFFFF"/>
        </w:rPr>
        <w:t>年项目受益群众满意度超过目标值。</w:t>
      </w:r>
      <w:r>
        <w:rPr>
          <w:rFonts w:ascii="仿宋" w:hAnsi="仿宋" w:eastAsia="仿宋"/>
          <w:color w:val="333333"/>
          <w:shd w:val="clear" w:color="auto" w:fill="FFFFFF"/>
        </w:rPr>
        <w:br w:type="page"/>
      </w:r>
    </w:p>
    <w:p>
      <w:pPr>
        <w:rPr>
          <w:rFonts w:ascii="仿宋" w:hAnsi="仿宋" w:eastAsia="仿宋" w:cs="Times New Roman"/>
          <w:szCs w:val="28"/>
        </w:rPr>
      </w:pPr>
    </w:p>
    <w:p>
      <w:pPr>
        <w:jc w:val="center"/>
        <w:outlineLvl w:val="0"/>
        <w:rPr>
          <w:rFonts w:ascii="仿宋" w:hAnsi="仿宋" w:eastAsia="仿宋" w:cs="Times New Roman"/>
          <w:b/>
          <w:bCs/>
          <w:sz w:val="36"/>
          <w:szCs w:val="36"/>
        </w:rPr>
      </w:pPr>
      <w:bookmarkStart w:id="90" w:name="_Toc29429"/>
      <w:bookmarkStart w:id="91" w:name="_Toc91072337"/>
      <w:bookmarkStart w:id="92" w:name="_Toc18458"/>
      <w:bookmarkStart w:id="93" w:name="_Toc231081611"/>
      <w:r>
        <w:rPr>
          <w:rFonts w:ascii="仿宋" w:hAnsi="仿宋" w:eastAsia="仿宋" w:cs="Times New Roman"/>
          <w:b/>
          <w:bCs/>
          <w:sz w:val="36"/>
          <w:szCs w:val="36"/>
        </w:rPr>
        <w:t>第四部分 存在主要问题</w:t>
      </w:r>
      <w:bookmarkEnd w:id="90"/>
      <w:bookmarkEnd w:id="91"/>
      <w:bookmarkEnd w:id="92"/>
      <w:bookmarkEnd w:id="93"/>
    </w:p>
    <w:p>
      <w:pPr>
        <w:rPr>
          <w:rFonts w:ascii="仿宋" w:hAnsi="仿宋" w:eastAsia="仿宋"/>
        </w:rPr>
      </w:pPr>
    </w:p>
    <w:p>
      <w:pPr>
        <w:spacing w:before="156" w:beforeLines="50" w:after="156" w:afterLines="50"/>
        <w:ind w:firstLine="643" w:firstLineChars="200"/>
        <w:outlineLvl w:val="1"/>
        <w:rPr>
          <w:rFonts w:ascii="仿宋" w:hAnsi="仿宋" w:eastAsia="仿宋" w:cs="Times New Roman"/>
          <w:b/>
          <w:bCs/>
          <w:sz w:val="32"/>
          <w:szCs w:val="32"/>
        </w:rPr>
      </w:pPr>
      <w:bookmarkStart w:id="94" w:name="_Toc9087"/>
      <w:r>
        <w:rPr>
          <w:rFonts w:hint="eastAsia" w:ascii="仿宋" w:hAnsi="仿宋" w:eastAsia="仿宋" w:cs="Times New Roman"/>
          <w:b/>
          <w:bCs/>
          <w:sz w:val="32"/>
          <w:szCs w:val="32"/>
        </w:rPr>
        <w:t>一、项目资金支出进度有待优化</w:t>
      </w:r>
      <w:bookmarkEnd w:id="94"/>
    </w:p>
    <w:p>
      <w:pPr>
        <w:ind w:firstLine="560" w:firstLineChars="200"/>
        <w:rPr>
          <w:rFonts w:ascii="仿宋" w:hAnsi="仿宋" w:eastAsia="仿宋"/>
          <w:shd w:val="clear" w:color="auto" w:fill="FFFFFF"/>
        </w:rPr>
      </w:pPr>
      <w:r>
        <w:rPr>
          <w:rFonts w:hint="eastAsia" w:ascii="仿宋" w:hAnsi="仿宋" w:eastAsia="仿宋"/>
          <w:shd w:val="clear" w:color="auto" w:fill="FFFFFF"/>
        </w:rPr>
        <w:t>受高标准农田项目建设管护周期、项目前期流程、实施进度以及开工时间等因素的影响，项目资金支出进度较缓慢。如，2019年高标准农田项目的资金拨付时间较迟，并一定程度上影响了该年度的预算执行率。因此，主管单位和建设单位需要相应加强项目各环节的管理建设，保障资金支出通畅有序。</w:t>
      </w:r>
    </w:p>
    <w:p>
      <w:pPr>
        <w:spacing w:before="156" w:beforeLines="50" w:after="156" w:afterLines="50"/>
        <w:ind w:firstLine="643" w:firstLineChars="200"/>
        <w:outlineLvl w:val="1"/>
        <w:rPr>
          <w:rFonts w:ascii="仿宋" w:hAnsi="仿宋" w:eastAsia="仿宋" w:cs="Times New Roman"/>
          <w:b/>
          <w:bCs/>
          <w:sz w:val="32"/>
          <w:szCs w:val="32"/>
        </w:rPr>
      </w:pPr>
      <w:bookmarkStart w:id="95" w:name="_Toc6805"/>
      <w:r>
        <w:rPr>
          <w:rFonts w:hint="eastAsia" w:ascii="仿宋" w:hAnsi="仿宋" w:eastAsia="仿宋" w:cs="Times New Roman"/>
          <w:b/>
          <w:bCs/>
          <w:sz w:val="32"/>
          <w:szCs w:val="32"/>
        </w:rPr>
        <w:t>二、工程资料管理有待加强，数据质量需加强把关</w:t>
      </w:r>
      <w:bookmarkEnd w:id="95"/>
    </w:p>
    <w:p>
      <w:pPr>
        <w:rPr>
          <w:rFonts w:ascii="仿宋" w:hAnsi="仿宋" w:eastAsia="仿宋"/>
          <w:shd w:val="clear" w:color="auto" w:fill="FFFFFF"/>
        </w:rPr>
      </w:pPr>
      <w:r>
        <w:rPr>
          <w:rFonts w:hint="eastAsia" w:ascii="仿宋" w:hAnsi="仿宋" w:eastAsia="仿宋"/>
          <w:shd w:val="clear" w:color="auto" w:fill="FFFFFF"/>
        </w:rPr>
        <w:t>工作组通过整理分析</w:t>
      </w:r>
      <w:r>
        <w:rPr>
          <w:rFonts w:ascii="Times New Roman" w:hAnsi="Times New Roman" w:eastAsia="仿宋" w:cs="Times New Roman"/>
          <w:shd w:val="clear" w:color="auto" w:fill="FFFFFF"/>
        </w:rPr>
        <w:t>2019</w:t>
      </w:r>
      <w:r>
        <w:rPr>
          <w:rFonts w:ascii="仿宋" w:hAnsi="仿宋" w:eastAsia="仿宋"/>
          <w:shd w:val="clear" w:color="auto" w:fill="FFFFFF"/>
        </w:rPr>
        <w:t>-</w:t>
      </w:r>
      <w:r>
        <w:rPr>
          <w:rFonts w:ascii="Times New Roman" w:hAnsi="Times New Roman" w:eastAsia="仿宋" w:cs="Times New Roman"/>
          <w:shd w:val="clear" w:color="auto" w:fill="FFFFFF"/>
        </w:rPr>
        <w:t>2023</w:t>
      </w:r>
      <w:r>
        <w:rPr>
          <w:rFonts w:ascii="仿宋" w:hAnsi="仿宋" w:eastAsia="仿宋"/>
          <w:shd w:val="clear" w:color="auto" w:fill="FFFFFF"/>
        </w:rPr>
        <w:t>年高标准农田建设项目验收材料，发现设计报告、竣工验收报告材料齐全，但仍存在部分项目建设工程内业资料不全的问题。例如，高标准农田建设部分项目的建设单位资料、监理单位资料和施工单位资料缺失，缺少业主资金下达文件及财务支付凭证等材料，因此，相关资料的归档检查工作有待加强。此外，经核查发现验收报告等材料还存在数据不准确和混淆指标概念的问题</w:t>
      </w:r>
      <w:r>
        <w:rPr>
          <w:rFonts w:hint="eastAsia" w:ascii="仿宋" w:hAnsi="仿宋" w:eastAsia="仿宋"/>
          <w:shd w:val="clear" w:color="auto" w:fill="FFFFFF"/>
        </w:rPr>
        <w:t>。例如，在惠安县净峰镇厝头等</w:t>
      </w:r>
      <w:r>
        <w:rPr>
          <w:rFonts w:ascii="仿宋" w:hAnsi="仿宋" w:eastAsia="仿宋"/>
          <w:shd w:val="clear" w:color="auto" w:fill="FFFFFF"/>
        </w:rPr>
        <w:t>3个村2021年高标准农田建设项目</w:t>
      </w:r>
      <w:r>
        <w:rPr>
          <w:rFonts w:hint="eastAsia" w:ascii="仿宋" w:hAnsi="仿宋" w:eastAsia="仿宋"/>
          <w:shd w:val="clear" w:color="auto" w:fill="FFFFFF"/>
        </w:rPr>
        <w:t>的市、县联合验收报告中，验收意见将建设规模错误表述为2</w:t>
      </w:r>
      <w:r>
        <w:rPr>
          <w:rFonts w:ascii="仿宋" w:hAnsi="仿宋" w:eastAsia="仿宋"/>
          <w:shd w:val="clear" w:color="auto" w:fill="FFFFFF"/>
        </w:rPr>
        <w:t>275</w:t>
      </w:r>
      <w:r>
        <w:rPr>
          <w:rFonts w:hint="eastAsia" w:ascii="仿宋" w:hAnsi="仿宋" w:eastAsia="仿宋"/>
          <w:shd w:val="clear" w:color="auto" w:fill="FFFFFF"/>
        </w:rPr>
        <w:t>亩，然而项目实际建成高标准农田规模为1</w:t>
      </w:r>
      <w:r>
        <w:rPr>
          <w:rFonts w:ascii="仿宋" w:hAnsi="仿宋" w:eastAsia="仿宋"/>
          <w:shd w:val="clear" w:color="auto" w:fill="FFFFFF"/>
        </w:rPr>
        <w:t>000</w:t>
      </w:r>
      <w:r>
        <w:rPr>
          <w:rFonts w:hint="eastAsia" w:ascii="仿宋" w:hAnsi="仿宋" w:eastAsia="仿宋"/>
          <w:shd w:val="clear" w:color="auto" w:fill="FFFFFF"/>
        </w:rPr>
        <w:t>亩。</w:t>
      </w:r>
      <w:r>
        <w:rPr>
          <w:rFonts w:ascii="仿宋" w:hAnsi="仿宋" w:eastAsia="仿宋"/>
          <w:shd w:val="clear" w:color="auto" w:fill="FFFFFF"/>
        </w:rPr>
        <w:t>项目建设亩数、预算执行情况等数据的统计质量</w:t>
      </w:r>
      <w:r>
        <w:rPr>
          <w:rFonts w:hint="eastAsia" w:ascii="仿宋" w:hAnsi="仿宋" w:eastAsia="仿宋"/>
          <w:shd w:val="clear" w:color="auto" w:fill="FFFFFF"/>
        </w:rPr>
        <w:t>还有待提高</w:t>
      </w:r>
      <w:r>
        <w:rPr>
          <w:rFonts w:ascii="仿宋" w:hAnsi="仿宋" w:eastAsia="仿宋"/>
          <w:shd w:val="clear" w:color="auto" w:fill="FFFFFF"/>
        </w:rPr>
        <w:t>。</w:t>
      </w:r>
    </w:p>
    <w:p>
      <w:pPr>
        <w:spacing w:before="156" w:beforeLines="50" w:after="156" w:afterLines="50"/>
        <w:ind w:firstLine="643" w:firstLineChars="200"/>
        <w:outlineLvl w:val="1"/>
        <w:rPr>
          <w:rFonts w:ascii="仿宋" w:hAnsi="仿宋" w:eastAsia="仿宋" w:cs="Times New Roman"/>
          <w:b/>
          <w:bCs/>
          <w:sz w:val="32"/>
          <w:szCs w:val="32"/>
        </w:rPr>
      </w:pPr>
      <w:bookmarkStart w:id="96" w:name="_Toc24049"/>
      <w:r>
        <w:rPr>
          <w:rFonts w:hint="eastAsia" w:ascii="仿宋" w:hAnsi="仿宋" w:eastAsia="仿宋" w:cs="Times New Roman"/>
          <w:b/>
          <w:bCs/>
          <w:sz w:val="32"/>
          <w:szCs w:val="32"/>
        </w:rPr>
        <w:t>三、项目竣工验收及时性有待提高</w:t>
      </w:r>
      <w:bookmarkEnd w:id="96"/>
    </w:p>
    <w:p>
      <w:pPr>
        <w:ind w:firstLine="560" w:firstLineChars="200"/>
        <w:rPr>
          <w:rFonts w:ascii="仿宋" w:hAnsi="仿宋" w:eastAsia="仿宋"/>
        </w:rPr>
      </w:pPr>
      <w:r>
        <w:rPr>
          <w:rFonts w:hint="eastAsia" w:ascii="仿宋" w:hAnsi="仿宋" w:eastAsia="仿宋"/>
          <w:color w:val="333333"/>
          <w:shd w:val="clear" w:color="auto" w:fill="FFFFFF"/>
        </w:rPr>
        <w:t>根据</w:t>
      </w:r>
      <w:r>
        <w:rPr>
          <w:rFonts w:ascii="仿宋" w:hAnsi="仿宋" w:eastAsia="仿宋"/>
        </w:rPr>
        <w:t>《高标准农田建设项目竣工验收办法》</w:t>
      </w:r>
      <w:r>
        <w:rPr>
          <w:rFonts w:hint="eastAsia" w:ascii="仿宋" w:hAnsi="仿宋" w:eastAsia="仿宋"/>
        </w:rPr>
        <w:t>（</w:t>
      </w:r>
      <w:r>
        <w:rPr>
          <w:rFonts w:ascii="仿宋" w:hAnsi="仿宋" w:eastAsia="仿宋"/>
        </w:rPr>
        <w:t>农建发〔</w:t>
      </w:r>
      <w:r>
        <w:rPr>
          <w:rFonts w:ascii="Times New Roman" w:hAnsi="Times New Roman" w:eastAsia="仿宋" w:cs="Times New Roman"/>
        </w:rPr>
        <w:t>2021</w:t>
      </w:r>
      <w:r>
        <w:rPr>
          <w:rFonts w:ascii="仿宋" w:hAnsi="仿宋" w:eastAsia="仿宋"/>
        </w:rPr>
        <w:t>〕</w:t>
      </w:r>
      <w:r>
        <w:rPr>
          <w:rFonts w:ascii="Times New Roman" w:hAnsi="Times New Roman" w:eastAsia="仿宋" w:cs="Times New Roman"/>
        </w:rPr>
        <w:t>5</w:t>
      </w:r>
      <w:r>
        <w:rPr>
          <w:rFonts w:ascii="仿宋" w:hAnsi="仿宋" w:eastAsia="仿宋"/>
        </w:rPr>
        <w:t>号</w:t>
      </w:r>
      <w:r>
        <w:rPr>
          <w:rFonts w:hint="eastAsia" w:ascii="仿宋" w:hAnsi="仿宋" w:eastAsia="仿宋"/>
        </w:rPr>
        <w:t>）文件要求，</w:t>
      </w:r>
      <w:r>
        <w:rPr>
          <w:rFonts w:ascii="仿宋" w:hAnsi="仿宋" w:eastAsia="仿宋"/>
        </w:rPr>
        <w:t>项目审批单位应在项目完工后半年内组织完成竣工验收工作。</w:t>
      </w:r>
      <w:r>
        <w:rPr>
          <w:rFonts w:hint="eastAsia" w:ascii="仿宋" w:hAnsi="仿宋" w:eastAsia="仿宋"/>
        </w:rPr>
        <w:t>由于项目前期准备周期长，且施工进度受疫情影响较大，</w:t>
      </w:r>
      <w:r>
        <w:rPr>
          <w:rFonts w:ascii="Times New Roman" w:hAnsi="Times New Roman" w:eastAsia="仿宋" w:cs="Times New Roman"/>
        </w:rPr>
        <w:t>2019</w:t>
      </w:r>
      <w:r>
        <w:rPr>
          <w:rFonts w:ascii="仿宋" w:hAnsi="仿宋" w:eastAsia="仿宋"/>
        </w:rPr>
        <w:t>-</w:t>
      </w:r>
      <w:r>
        <w:rPr>
          <w:rFonts w:ascii="Times New Roman" w:hAnsi="Times New Roman" w:eastAsia="仿宋" w:cs="Times New Roman"/>
        </w:rPr>
        <w:t>2021</w:t>
      </w:r>
      <w:r>
        <w:rPr>
          <w:rFonts w:hint="eastAsia" w:ascii="仿宋" w:hAnsi="仿宋" w:eastAsia="仿宋"/>
        </w:rPr>
        <w:t>年惠安县高标准农田建设项目验收日期距完工日期实际为</w:t>
      </w:r>
      <w:r>
        <w:rPr>
          <w:rFonts w:ascii="Times New Roman" w:hAnsi="Times New Roman" w:eastAsia="仿宋" w:cs="Times New Roman"/>
        </w:rPr>
        <w:t>2</w:t>
      </w:r>
      <w:r>
        <w:rPr>
          <w:rFonts w:hint="eastAsia" w:ascii="仿宋" w:hAnsi="仿宋" w:eastAsia="仿宋"/>
        </w:rPr>
        <w:t>个月到</w:t>
      </w:r>
      <w:r>
        <w:rPr>
          <w:rFonts w:hint="eastAsia" w:ascii="Times New Roman" w:hAnsi="Times New Roman" w:eastAsia="仿宋" w:cs="Times New Roman"/>
        </w:rPr>
        <w:t>一年多</w:t>
      </w:r>
      <w:r>
        <w:rPr>
          <w:rFonts w:hint="eastAsia" w:ascii="仿宋" w:hAnsi="仿宋" w:eastAsia="仿宋"/>
        </w:rPr>
        <w:t>不等。项目验收进度相对滞后，将不利于及时移交管护。</w:t>
      </w:r>
    </w:p>
    <w:p>
      <w:pPr>
        <w:spacing w:before="156" w:beforeLines="50" w:after="156" w:afterLines="50"/>
        <w:ind w:firstLine="643" w:firstLineChars="200"/>
        <w:outlineLvl w:val="1"/>
        <w:rPr>
          <w:rFonts w:ascii="仿宋" w:hAnsi="仿宋" w:eastAsia="仿宋" w:cs="Times New Roman"/>
          <w:b/>
          <w:bCs/>
          <w:sz w:val="32"/>
          <w:szCs w:val="32"/>
        </w:rPr>
      </w:pPr>
      <w:bookmarkStart w:id="97" w:name="_Toc3255"/>
      <w:r>
        <w:rPr>
          <w:rFonts w:hint="eastAsia" w:ascii="仿宋" w:hAnsi="仿宋" w:eastAsia="仿宋" w:cs="Times New Roman"/>
          <w:b/>
          <w:bCs/>
          <w:sz w:val="32"/>
          <w:szCs w:val="32"/>
        </w:rPr>
        <w:t>四、部分配套实施未按计划，灌溉节水建设还需强化</w:t>
      </w:r>
      <w:bookmarkEnd w:id="97"/>
    </w:p>
    <w:p>
      <w:pPr>
        <w:ind w:firstLine="560" w:firstLineChars="200"/>
        <w:rPr>
          <w:rFonts w:ascii="仿宋" w:hAnsi="仿宋" w:eastAsia="仿宋"/>
        </w:rPr>
      </w:pPr>
      <w:r>
        <w:rPr>
          <w:rFonts w:hint="eastAsia" w:ascii="仿宋" w:hAnsi="仿宋" w:eastAsia="仿宋"/>
        </w:rPr>
        <w:t>项目中有部分工程建设内容数量、工程质量未达到设计要求。例如，惠安县山霞镇青山等</w:t>
      </w:r>
      <w:r>
        <w:rPr>
          <w:rFonts w:ascii="Times New Roman" w:hAnsi="Times New Roman" w:eastAsia="仿宋" w:cs="Times New Roman"/>
        </w:rPr>
        <w:t>2</w:t>
      </w:r>
      <w:r>
        <w:rPr>
          <w:rFonts w:ascii="仿宋" w:hAnsi="仿宋" w:eastAsia="仿宋"/>
        </w:rPr>
        <w:t>个村</w:t>
      </w:r>
      <w:r>
        <w:rPr>
          <w:rFonts w:ascii="Times New Roman" w:hAnsi="Times New Roman" w:eastAsia="仿宋" w:cs="Times New Roman"/>
        </w:rPr>
        <w:t>2021</w:t>
      </w:r>
      <w:r>
        <w:rPr>
          <w:rFonts w:ascii="仿宋" w:hAnsi="仿宋" w:eastAsia="仿宋"/>
        </w:rPr>
        <w:t>年高标准农田建设、惠安县涂寨镇陈芹等</w:t>
      </w:r>
      <w:r>
        <w:rPr>
          <w:rFonts w:ascii="Times New Roman" w:hAnsi="Times New Roman" w:eastAsia="仿宋" w:cs="Times New Roman"/>
        </w:rPr>
        <w:t>3</w:t>
      </w:r>
      <w:r>
        <w:rPr>
          <w:rFonts w:ascii="仿宋" w:hAnsi="仿宋" w:eastAsia="仿宋"/>
        </w:rPr>
        <w:t>个村</w:t>
      </w:r>
      <w:r>
        <w:rPr>
          <w:rFonts w:ascii="Times New Roman" w:hAnsi="Times New Roman" w:eastAsia="仿宋" w:cs="Times New Roman"/>
        </w:rPr>
        <w:t>2021</w:t>
      </w:r>
      <w:r>
        <w:rPr>
          <w:rFonts w:ascii="仿宋" w:hAnsi="仿宋" w:eastAsia="仿宋"/>
        </w:rPr>
        <w:t>年高标准农田建设、惠安县黄塘镇黄塘等</w:t>
      </w:r>
      <w:r>
        <w:rPr>
          <w:rFonts w:ascii="Times New Roman" w:hAnsi="Times New Roman" w:eastAsia="仿宋" w:cs="Times New Roman"/>
        </w:rPr>
        <w:t>5</w:t>
      </w:r>
      <w:r>
        <w:rPr>
          <w:rFonts w:ascii="仿宋" w:hAnsi="仿宋" w:eastAsia="仿宋"/>
        </w:rPr>
        <w:t>个村</w:t>
      </w:r>
      <w:r>
        <w:rPr>
          <w:rFonts w:ascii="Times New Roman" w:hAnsi="Times New Roman" w:eastAsia="仿宋" w:cs="Times New Roman"/>
        </w:rPr>
        <w:t>2021</w:t>
      </w:r>
      <w:r>
        <w:rPr>
          <w:rFonts w:ascii="仿宋" w:hAnsi="仿宋" w:eastAsia="仿宋"/>
        </w:rPr>
        <w:t>年高标准农田建设等项目的配套设施工程未按设计施工。</w:t>
      </w:r>
      <w:r>
        <w:rPr>
          <w:rFonts w:hint="eastAsia" w:ascii="仿宋" w:hAnsi="仿宋" w:eastAsia="仿宋"/>
        </w:rPr>
        <w:t>由于</w:t>
      </w:r>
      <w:r>
        <w:rPr>
          <w:rFonts w:ascii="仿宋" w:hAnsi="仿宋" w:eastAsia="仿宋"/>
        </w:rPr>
        <w:t>项目区的产业发展方向、道路建设、灌排设施等</w:t>
      </w:r>
      <w:r>
        <w:rPr>
          <w:rFonts w:hint="eastAsia" w:ascii="仿宋" w:hAnsi="仿宋" w:eastAsia="仿宋"/>
        </w:rPr>
        <w:t>需要</w:t>
      </w:r>
      <w:r>
        <w:rPr>
          <w:rFonts w:ascii="仿宋" w:hAnsi="仿宋" w:eastAsia="仿宋"/>
        </w:rPr>
        <w:t>长远规划和考虑，</w:t>
      </w:r>
      <w:r>
        <w:rPr>
          <w:rFonts w:hint="eastAsia" w:ascii="仿宋" w:hAnsi="仿宋" w:eastAsia="仿宋"/>
        </w:rPr>
        <w:t>否则容易</w:t>
      </w:r>
      <w:r>
        <w:rPr>
          <w:rFonts w:ascii="仿宋" w:hAnsi="仿宋" w:eastAsia="仿宋"/>
        </w:rPr>
        <w:t>造成无法按照设计进行施工或者被迫修改设计方案</w:t>
      </w:r>
      <w:r>
        <w:rPr>
          <w:rFonts w:hint="eastAsia" w:ascii="仿宋" w:hAnsi="仿宋" w:eastAsia="仿宋"/>
        </w:rPr>
        <w:t>。</w:t>
      </w:r>
      <w:r>
        <w:rPr>
          <w:rFonts w:ascii="仿宋" w:hAnsi="仿宋" w:eastAsia="仿宋"/>
        </w:rPr>
        <w:t>部分高标准农田建设项目从立项到开工建设时间较短、较为仓促，</w:t>
      </w:r>
      <w:r>
        <w:rPr>
          <w:rFonts w:hint="eastAsia" w:ascii="仿宋" w:hAnsi="仿宋" w:eastAsia="仿宋"/>
        </w:rPr>
        <w:t>不利于</w:t>
      </w:r>
      <w:r>
        <w:rPr>
          <w:rFonts w:ascii="仿宋" w:hAnsi="仿宋" w:eastAsia="仿宋"/>
        </w:rPr>
        <w:t>深入现场勘察</w:t>
      </w:r>
      <w:r>
        <w:rPr>
          <w:rFonts w:hint="eastAsia" w:ascii="仿宋" w:hAnsi="仿宋" w:eastAsia="仿宋"/>
        </w:rPr>
        <w:t>和长期规划设计，</w:t>
      </w:r>
      <w:r>
        <w:rPr>
          <w:rFonts w:ascii="仿宋" w:hAnsi="仿宋" w:eastAsia="仿宋"/>
        </w:rPr>
        <w:t>这</w:t>
      </w:r>
      <w:r>
        <w:rPr>
          <w:rFonts w:hint="eastAsia" w:ascii="仿宋" w:hAnsi="仿宋" w:eastAsia="仿宋"/>
        </w:rPr>
        <w:t>对</w:t>
      </w:r>
      <w:r>
        <w:rPr>
          <w:rFonts w:ascii="仿宋" w:hAnsi="仿宋" w:eastAsia="仿宋"/>
        </w:rPr>
        <w:t>高标准农田建设进度</w:t>
      </w:r>
      <w:r>
        <w:rPr>
          <w:rFonts w:hint="eastAsia" w:ascii="仿宋" w:hAnsi="仿宋" w:eastAsia="仿宋"/>
        </w:rPr>
        <w:t>和建</w:t>
      </w:r>
      <w:r>
        <w:rPr>
          <w:rFonts w:ascii="仿宋" w:hAnsi="仿宋" w:eastAsia="仿宋"/>
        </w:rPr>
        <w:t>设成效</w:t>
      </w:r>
      <w:r>
        <w:rPr>
          <w:rFonts w:hint="eastAsia" w:ascii="仿宋" w:hAnsi="仿宋" w:eastAsia="仿宋"/>
        </w:rPr>
        <w:t>都产生了影响。此外，工作组通过对比高效灌溉节水面积的目标数和实际完成数，发现新增高效灌溉节水面积未达到初步设计规划的目标数，项目区灌溉条件仍还有提升空间。</w:t>
      </w:r>
    </w:p>
    <w:p>
      <w:pPr>
        <w:spacing w:before="156" w:beforeLines="50" w:after="156" w:afterLines="50"/>
        <w:ind w:firstLine="643" w:firstLineChars="200"/>
        <w:outlineLvl w:val="1"/>
        <w:rPr>
          <w:rFonts w:ascii="仿宋" w:hAnsi="仿宋" w:eastAsia="仿宋" w:cs="Times New Roman"/>
          <w:b/>
          <w:bCs/>
          <w:sz w:val="32"/>
          <w:szCs w:val="32"/>
        </w:rPr>
      </w:pPr>
      <w:bookmarkStart w:id="98" w:name="_Toc32200"/>
      <w:r>
        <w:rPr>
          <w:rFonts w:hint="eastAsia" w:ascii="仿宋" w:hAnsi="仿宋" w:eastAsia="仿宋" w:cs="Times New Roman"/>
          <w:b/>
          <w:bCs/>
          <w:sz w:val="32"/>
          <w:szCs w:val="32"/>
        </w:rPr>
        <w:t>五、项目后期管护质量有待提高</w:t>
      </w:r>
      <w:bookmarkEnd w:id="98"/>
    </w:p>
    <w:p>
      <w:pPr>
        <w:ind w:firstLine="560" w:firstLineChars="200"/>
        <w:rPr>
          <w:rFonts w:ascii="仿宋" w:hAnsi="仿宋" w:eastAsia="仿宋"/>
        </w:rPr>
      </w:pPr>
      <w:r>
        <w:rPr>
          <w:rFonts w:hint="eastAsia" w:ascii="仿宋" w:hAnsi="仿宋" w:eastAsia="仿宋"/>
        </w:rPr>
        <w:t>从建设项目验收材料来看，工作组发现部分工程后期管护质量还需要进一步提升。项目完工后的验收核查工作指出工程建设的成果维护尚存在不足。例如，沟渠部分地区存在垃圾堆积，清淤不及时；田间道现场检查存在多处裂缝、断裂及掏空现象，需要重新修筑；塘顶养护不到位局部出现裂痕，存在安全隐患。项目区内配套基础设施建后管护力度不够，影响了项目整体效益。由于高标准农田建设的田间工程等设施一般处于户外，且分布较为分散，在缺少管理的情况下易发生损失，因此为满足项目后期管护的需求，项目管护主体还需提高后期管理质量，维护建设成果。</w:t>
      </w:r>
    </w:p>
    <w:p>
      <w:pPr>
        <w:widowControl/>
        <w:spacing w:line="240" w:lineRule="auto"/>
        <w:jc w:val="left"/>
        <w:rPr>
          <w:rFonts w:ascii="仿宋" w:hAnsi="仿宋" w:eastAsia="仿宋"/>
          <w:szCs w:val="28"/>
        </w:rPr>
      </w:pPr>
      <w:r>
        <w:rPr>
          <w:rFonts w:ascii="仿宋" w:hAnsi="仿宋" w:eastAsia="仿宋"/>
          <w:szCs w:val="28"/>
        </w:rPr>
        <w:br w:type="page"/>
      </w:r>
    </w:p>
    <w:p>
      <w:pPr>
        <w:widowControl/>
        <w:spacing w:line="240" w:lineRule="auto"/>
        <w:jc w:val="left"/>
        <w:rPr>
          <w:rFonts w:ascii="仿宋" w:hAnsi="仿宋" w:eastAsia="仿宋"/>
          <w:szCs w:val="28"/>
        </w:rPr>
      </w:pPr>
    </w:p>
    <w:p>
      <w:pPr>
        <w:jc w:val="center"/>
        <w:outlineLvl w:val="0"/>
        <w:rPr>
          <w:rFonts w:ascii="仿宋" w:hAnsi="仿宋" w:eastAsia="仿宋" w:cs="Times New Roman"/>
          <w:b/>
          <w:bCs/>
          <w:sz w:val="36"/>
          <w:szCs w:val="36"/>
        </w:rPr>
      </w:pPr>
      <w:bookmarkStart w:id="99" w:name="_Toc15001"/>
      <w:bookmarkStart w:id="100" w:name="_Toc124892225"/>
      <w:bookmarkStart w:id="101" w:name="_Toc125299044"/>
      <w:r>
        <w:rPr>
          <w:rFonts w:hint="eastAsia" w:ascii="仿宋" w:hAnsi="仿宋" w:eastAsia="仿宋" w:cs="Times New Roman"/>
          <w:b/>
          <w:bCs/>
          <w:sz w:val="36"/>
          <w:szCs w:val="36"/>
        </w:rPr>
        <w:t>第五部分 改进措施与管理建议</w:t>
      </w:r>
      <w:bookmarkEnd w:id="99"/>
      <w:bookmarkEnd w:id="100"/>
      <w:bookmarkEnd w:id="101"/>
    </w:p>
    <w:p>
      <w:pPr>
        <w:rPr>
          <w:rFonts w:ascii="仿宋" w:hAnsi="仿宋" w:eastAsia="仿宋"/>
        </w:rPr>
      </w:pPr>
    </w:p>
    <w:p>
      <w:pPr>
        <w:spacing w:before="156" w:beforeLines="50" w:after="156" w:afterLines="50"/>
        <w:ind w:firstLine="643" w:firstLineChars="200"/>
        <w:outlineLvl w:val="1"/>
        <w:rPr>
          <w:rFonts w:ascii="仿宋" w:hAnsi="仿宋" w:eastAsia="仿宋" w:cs="Times New Roman"/>
          <w:b/>
          <w:bCs/>
          <w:sz w:val="32"/>
          <w:szCs w:val="32"/>
        </w:rPr>
      </w:pPr>
      <w:bookmarkStart w:id="102" w:name="_Toc31627"/>
      <w:r>
        <w:rPr>
          <w:rFonts w:hint="eastAsia" w:ascii="仿宋" w:hAnsi="仿宋" w:eastAsia="仿宋" w:cs="Times New Roman"/>
          <w:b/>
          <w:bCs/>
          <w:sz w:val="32"/>
          <w:szCs w:val="32"/>
        </w:rPr>
        <w:t>一、加强项目进度把控，提高资金支出效率</w:t>
      </w:r>
      <w:bookmarkEnd w:id="102"/>
    </w:p>
    <w:p>
      <w:pPr>
        <w:ind w:firstLine="560" w:firstLineChars="200"/>
        <w:rPr>
          <w:rFonts w:ascii="仿宋" w:hAnsi="仿宋" w:eastAsia="仿宋" w:cs="Times New Roman"/>
          <w:sz w:val="32"/>
          <w:szCs w:val="32"/>
        </w:rPr>
      </w:pPr>
      <w:r>
        <w:rPr>
          <w:rFonts w:hint="eastAsia" w:ascii="仿宋" w:hAnsi="仿宋" w:eastAsia="仿宋"/>
        </w:rPr>
        <w:t>建议通过明</w:t>
      </w:r>
      <w:r>
        <w:rPr>
          <w:rFonts w:ascii="仿宋" w:hAnsi="仿宋" w:eastAsia="仿宋"/>
        </w:rPr>
        <w:t>确规范、优化高标准农田建设项目在</w:t>
      </w:r>
      <w:r>
        <w:rPr>
          <w:rFonts w:hint="eastAsia" w:ascii="仿宋" w:hAnsi="仿宋" w:eastAsia="仿宋"/>
        </w:rPr>
        <w:t>县（区）的</w:t>
      </w:r>
      <w:r>
        <w:rPr>
          <w:rFonts w:ascii="仿宋" w:hAnsi="仿宋" w:eastAsia="仿宋"/>
        </w:rPr>
        <w:t>执行流程</w:t>
      </w:r>
      <w:r>
        <w:rPr>
          <w:rFonts w:hint="eastAsia" w:ascii="仿宋" w:hAnsi="仿宋" w:eastAsia="仿宋"/>
        </w:rPr>
        <w:t>等措施，</w:t>
      </w:r>
      <w:r>
        <w:rPr>
          <w:rFonts w:ascii="仿宋" w:hAnsi="仿宋" w:eastAsia="仿宋"/>
        </w:rPr>
        <w:t>加强对项目进度的把控工作，形成项目定期汇报机制，通过听取项目进度汇报，了解项目实际建设进展和存在问题</w:t>
      </w:r>
      <w:r>
        <w:rPr>
          <w:rFonts w:hint="eastAsia" w:ascii="仿宋" w:hAnsi="仿宋" w:eastAsia="仿宋"/>
        </w:rPr>
        <w:t>。</w:t>
      </w:r>
      <w:r>
        <w:rPr>
          <w:rFonts w:ascii="仿宋" w:hAnsi="仿宋" w:eastAsia="仿宋"/>
        </w:rPr>
        <w:t>组织安排管理小组人员对项目建设进度进行定期检查及不定期抽查，以保证项目可以如期推进，对于检查过程中发现的项目进度滞后等问题，进行及时整改，同时做好相关的监督检查记录。</w:t>
      </w:r>
      <w:r>
        <w:rPr>
          <w:rFonts w:hint="eastAsia" w:ascii="仿宋" w:hAnsi="仿宋" w:eastAsia="仿宋"/>
        </w:rPr>
        <w:t>避免</w:t>
      </w:r>
      <w:r>
        <w:rPr>
          <w:rFonts w:ascii="仿宋" w:hAnsi="仿宋" w:eastAsia="仿宋"/>
        </w:rPr>
        <w:t>项目实施程序过长影响</w:t>
      </w:r>
      <w:r>
        <w:rPr>
          <w:rFonts w:hint="eastAsia" w:ascii="仿宋" w:hAnsi="仿宋" w:eastAsia="仿宋"/>
        </w:rPr>
        <w:t>资金支出效率</w:t>
      </w:r>
      <w:r>
        <w:rPr>
          <w:rFonts w:ascii="仿宋" w:hAnsi="仿宋" w:eastAsia="仿宋"/>
        </w:rPr>
        <w:t>。</w:t>
      </w:r>
    </w:p>
    <w:p>
      <w:pPr>
        <w:spacing w:before="156" w:beforeLines="50" w:after="156" w:afterLines="50"/>
        <w:ind w:firstLine="643" w:firstLineChars="200"/>
        <w:outlineLvl w:val="1"/>
        <w:rPr>
          <w:rFonts w:ascii="仿宋" w:hAnsi="仿宋" w:eastAsia="仿宋" w:cs="Times New Roman"/>
          <w:b/>
          <w:bCs/>
          <w:sz w:val="32"/>
          <w:szCs w:val="32"/>
        </w:rPr>
      </w:pPr>
      <w:bookmarkStart w:id="103" w:name="_Toc7216"/>
      <w:r>
        <w:rPr>
          <w:rFonts w:hint="eastAsia" w:ascii="仿宋" w:hAnsi="仿宋" w:eastAsia="仿宋" w:cs="Times New Roman"/>
          <w:b/>
          <w:bCs/>
          <w:sz w:val="32"/>
          <w:szCs w:val="32"/>
        </w:rPr>
        <w:t>二、规范工程资料管理，关注数据统计质量</w:t>
      </w:r>
      <w:bookmarkEnd w:id="103"/>
    </w:p>
    <w:p>
      <w:pPr>
        <w:ind w:firstLine="560" w:firstLineChars="200"/>
        <w:rPr>
          <w:rFonts w:ascii="仿宋" w:hAnsi="仿宋" w:eastAsia="仿宋"/>
        </w:rPr>
      </w:pPr>
      <w:r>
        <w:rPr>
          <w:rFonts w:hint="eastAsia" w:ascii="仿宋" w:hAnsi="仿宋" w:eastAsia="仿宋"/>
        </w:rPr>
        <w:t>乡镇政府作为项目建设单位需要审慎选择施工单位，应该要求施工单位具有完备的内业资料管理制度和成熟的资料管理人员。规范工程实施主体的资料管理，建议</w:t>
      </w:r>
      <w:r>
        <w:rPr>
          <w:rFonts w:ascii="仿宋" w:hAnsi="仿宋" w:eastAsia="仿宋"/>
        </w:rPr>
        <w:t>档案资料严格按照档案管理有关规定做好项目档案的收集、归类、组卷、存档，按照相关规定补充完善档案资料，规范分类存档</w:t>
      </w:r>
      <w:r>
        <w:rPr>
          <w:rFonts w:hint="eastAsia" w:ascii="仿宋" w:hAnsi="仿宋" w:eastAsia="仿宋"/>
        </w:rPr>
        <w:t>。重视工程资料的数据统计质量，重点关注新增亩数、项目效益指标等关键数据，提高重要数据的真实准确性。通过加强对工程资料科学合理的管理，切实开展施工监督工作，保证高标准农田建设质量。</w:t>
      </w:r>
    </w:p>
    <w:p>
      <w:pPr>
        <w:spacing w:before="156" w:beforeLines="50" w:after="156" w:afterLines="50"/>
        <w:ind w:firstLine="643" w:firstLineChars="200"/>
        <w:outlineLvl w:val="1"/>
        <w:rPr>
          <w:rFonts w:ascii="仿宋" w:hAnsi="仿宋" w:eastAsia="仿宋" w:cs="Times New Roman"/>
          <w:b/>
          <w:bCs/>
          <w:sz w:val="32"/>
          <w:szCs w:val="32"/>
        </w:rPr>
      </w:pPr>
      <w:bookmarkStart w:id="104" w:name="_Toc29374"/>
      <w:r>
        <w:rPr>
          <w:rFonts w:hint="eastAsia" w:ascii="仿宋" w:hAnsi="仿宋" w:eastAsia="仿宋" w:cs="Times New Roman"/>
          <w:b/>
          <w:bCs/>
          <w:sz w:val="32"/>
          <w:szCs w:val="32"/>
        </w:rPr>
        <w:t>三、保证项目按期验收，及时衔接管护工作</w:t>
      </w:r>
      <w:bookmarkEnd w:id="104"/>
    </w:p>
    <w:p>
      <w:pPr>
        <w:ind w:firstLine="560" w:firstLineChars="200"/>
        <w:rPr>
          <w:rFonts w:ascii="仿宋" w:hAnsi="仿宋" w:eastAsia="仿宋"/>
        </w:rPr>
      </w:pPr>
      <w:r>
        <w:rPr>
          <w:rFonts w:hint="eastAsia" w:ascii="仿宋" w:hAnsi="仿宋" w:eastAsia="仿宋"/>
        </w:rPr>
        <w:t>建议惠安县农业农村局加快推进项目竣工验收进度，及时办理财务决算，以利于项目及时移交管护。</w:t>
      </w:r>
      <w:r>
        <w:rPr>
          <w:rFonts w:ascii="仿宋" w:hAnsi="仿宋" w:eastAsia="仿宋"/>
        </w:rPr>
        <w:t>严格执行项目实施计划，推进项目按进度开展，确保项目在按期完工</w:t>
      </w:r>
      <w:r>
        <w:rPr>
          <w:rFonts w:hint="eastAsia" w:ascii="仿宋" w:hAnsi="仿宋" w:eastAsia="仿宋"/>
        </w:rPr>
        <w:t>、</w:t>
      </w:r>
      <w:r>
        <w:rPr>
          <w:rFonts w:ascii="仿宋" w:hAnsi="仿宋" w:eastAsia="仿宋"/>
        </w:rPr>
        <w:t>验收。</w:t>
      </w:r>
      <w:r>
        <w:rPr>
          <w:rFonts w:hint="eastAsia" w:ascii="仿宋" w:hAnsi="仿宋" w:eastAsia="仿宋"/>
        </w:rPr>
        <w:t>加快形成高标准农田建设项目竣工验收报告。按要求开展竣工验收自评和第三方评价，对符合验收条件的项目及时出具竣工验收意见。</w:t>
      </w:r>
    </w:p>
    <w:p>
      <w:pPr>
        <w:spacing w:before="156" w:beforeLines="50" w:after="156" w:afterLines="50"/>
        <w:ind w:firstLine="643" w:firstLineChars="200"/>
        <w:outlineLvl w:val="1"/>
        <w:rPr>
          <w:rFonts w:ascii="仿宋" w:hAnsi="仿宋" w:eastAsia="仿宋" w:cs="Times New Roman"/>
          <w:b/>
          <w:bCs/>
          <w:sz w:val="32"/>
          <w:szCs w:val="32"/>
        </w:rPr>
      </w:pPr>
      <w:bookmarkStart w:id="105" w:name="_Toc23762"/>
      <w:r>
        <w:rPr>
          <w:rFonts w:hint="eastAsia" w:ascii="仿宋" w:hAnsi="仿宋" w:eastAsia="仿宋" w:cs="Times New Roman"/>
          <w:b/>
          <w:bCs/>
          <w:sz w:val="32"/>
          <w:szCs w:val="32"/>
        </w:rPr>
        <w:t>四、强化项目监督指导，完善工程设计施工</w:t>
      </w:r>
      <w:bookmarkEnd w:id="105"/>
    </w:p>
    <w:p>
      <w:pPr>
        <w:ind w:firstLine="560" w:firstLineChars="200"/>
        <w:rPr>
          <w:rFonts w:ascii="仿宋" w:hAnsi="仿宋" w:eastAsia="仿宋"/>
        </w:rPr>
      </w:pPr>
      <w:r>
        <w:rPr>
          <w:rFonts w:ascii="仿宋" w:hAnsi="仿宋" w:eastAsia="仿宋"/>
        </w:rPr>
        <w:t>各级项目主管部门应加强项目管理工作监督和指导，通过前期详细的现场勘察和大面积的农户走访调查，明确项目实际情况。科学、合理的进行项目设计，避免出现大范围的设计变更或项目不能满足农业农民生产实际需求的问题。要加强施工单位管理，在严格按照国家、省和市有关政策要求的前提下，根据高标准农田</w:t>
      </w:r>
      <w:r>
        <w:rPr>
          <w:rFonts w:hint="eastAsia" w:ascii="仿宋" w:hAnsi="仿宋" w:eastAsia="仿宋"/>
        </w:rPr>
        <w:t>建设</w:t>
      </w:r>
      <w:r>
        <w:rPr>
          <w:rFonts w:ascii="仿宋" w:hAnsi="仿宋" w:eastAsia="仿宋"/>
        </w:rPr>
        <w:t>项目建设施工的特点，选择具备丰富施工经验、较强实力和良好信誉的施工单位参与高标准农田建设。强化现场质量监管，各区镇要增加项目现场管理人员，加大现场巡查频次，加强工程质量督查，及时发现工程质量问题，迅速落实整改。建立更加科学合理的检测验收体系，要进一步规范验收程序，对工程质量进行检测，提高检测验收的科学性、合理性、权威性。</w:t>
      </w:r>
    </w:p>
    <w:p>
      <w:pPr>
        <w:spacing w:before="156" w:beforeLines="50" w:after="156" w:afterLines="50"/>
        <w:ind w:firstLine="643" w:firstLineChars="200"/>
        <w:outlineLvl w:val="1"/>
        <w:rPr>
          <w:rFonts w:ascii="仿宋" w:hAnsi="仿宋" w:eastAsia="仿宋" w:cs="Times New Roman"/>
          <w:b/>
          <w:bCs/>
          <w:sz w:val="32"/>
          <w:szCs w:val="32"/>
        </w:rPr>
      </w:pPr>
      <w:bookmarkStart w:id="106" w:name="_Toc20433"/>
      <w:r>
        <w:rPr>
          <w:rFonts w:hint="eastAsia" w:ascii="仿宋" w:hAnsi="仿宋" w:eastAsia="仿宋" w:cs="Times New Roman"/>
          <w:b/>
          <w:bCs/>
          <w:sz w:val="32"/>
          <w:szCs w:val="32"/>
        </w:rPr>
        <w:t>五、加强工程养护工作，保护农田建设成果</w:t>
      </w:r>
      <w:bookmarkEnd w:id="106"/>
    </w:p>
    <w:p>
      <w:pPr>
        <w:ind w:firstLine="540" w:firstLineChars="200"/>
        <w:rPr>
          <w:rFonts w:ascii="仿宋" w:hAnsi="仿宋" w:eastAsia="仿宋"/>
        </w:rPr>
      </w:pPr>
      <w:r>
        <w:rPr>
          <w:rFonts w:ascii="仿宋" w:hAnsi="仿宋" w:eastAsia="仿宋" w:cs="Arial"/>
          <w:color w:val="222222"/>
          <w:sz w:val="27"/>
          <w:szCs w:val="27"/>
          <w:shd w:val="clear" w:color="auto" w:fill="FFFFFF"/>
        </w:rPr>
        <w:t>项目后期管护是</w:t>
      </w:r>
      <w:r>
        <w:rPr>
          <w:rFonts w:hint="eastAsia" w:ascii="仿宋" w:hAnsi="仿宋" w:eastAsia="仿宋" w:cs="Arial"/>
          <w:color w:val="222222"/>
          <w:sz w:val="27"/>
          <w:szCs w:val="27"/>
          <w:shd w:val="clear" w:color="auto" w:fill="FFFFFF"/>
        </w:rPr>
        <w:t>高标准农田</w:t>
      </w:r>
      <w:r>
        <w:rPr>
          <w:rFonts w:ascii="仿宋" w:hAnsi="仿宋" w:eastAsia="仿宋" w:cs="Arial"/>
          <w:color w:val="222222"/>
          <w:sz w:val="27"/>
          <w:szCs w:val="27"/>
          <w:shd w:val="clear" w:color="auto" w:fill="FFFFFF"/>
        </w:rPr>
        <w:t>建设实施最后的关键环节，是工程设施持续发挥作用的重要保障，后续管护质量的高低直接决定了项目整个项目实施效果持续周期</w:t>
      </w:r>
      <w:r>
        <w:rPr>
          <w:rFonts w:hint="eastAsia" w:ascii="仿宋" w:hAnsi="仿宋" w:eastAsia="仿宋" w:cs="Arial"/>
          <w:color w:val="222222"/>
          <w:sz w:val="27"/>
          <w:szCs w:val="27"/>
          <w:shd w:val="clear" w:color="auto" w:fill="FFFFFF"/>
        </w:rPr>
        <w:t>。首先，明确管护主体，灵活利用承包、租赁、业主责任制等市场手段，形成以群众管护为主，乡镇政府定期督查的局面。其次，保障管护经费，考虑将农田建设项目结余资金、新增耕地指标交易收益、项目区工程租赁收入等作为后期管护的开支渠道；最后</w:t>
      </w:r>
      <w:r>
        <w:rPr>
          <w:rFonts w:hint="eastAsia" w:ascii="仿宋" w:hAnsi="仿宋" w:eastAsia="仿宋"/>
        </w:rPr>
        <w:t>，建立健全后期管护机制，可以探索绩效评价结合管护激励的模式，调动管护积极性，保证高标准农田建设项目的可持续发展。</w:t>
      </w:r>
    </w:p>
    <w:p>
      <w:pPr>
        <w:ind w:firstLine="560" w:firstLineChars="200"/>
        <w:rPr>
          <w:rFonts w:ascii="仿宋" w:hAnsi="仿宋" w:eastAsia="仿宋"/>
        </w:rPr>
      </w:pPr>
      <w:r>
        <w:rPr>
          <w:rFonts w:ascii="仿宋" w:hAnsi="仿宋" w:eastAsia="仿宋"/>
          <w:color w:val="333333"/>
          <w:shd w:val="clear" w:color="auto" w:fill="FFFFFF"/>
        </w:rPr>
        <w:br w:type="page"/>
      </w:r>
    </w:p>
    <w:p>
      <w:pPr>
        <w:ind w:firstLine="560"/>
        <w:outlineLvl w:val="0"/>
        <w:rPr>
          <w:rFonts w:ascii="仿宋" w:hAnsi="仿宋" w:eastAsia="仿宋"/>
          <w:szCs w:val="36"/>
        </w:rPr>
      </w:pPr>
      <w:bookmarkStart w:id="107" w:name="_Toc70354055"/>
      <w:bookmarkStart w:id="108" w:name="_Toc119967348"/>
      <w:bookmarkStart w:id="109" w:name="_Toc125299049"/>
      <w:bookmarkStart w:id="110" w:name="_Toc3006"/>
      <w:bookmarkStart w:id="111" w:name="_Toc117458371"/>
      <w:bookmarkStart w:id="112" w:name="_Toc13262"/>
      <w:bookmarkStart w:id="113" w:name="_Toc124892229"/>
      <w:r>
        <w:rPr>
          <w:rFonts w:ascii="仿宋" w:hAnsi="仿宋" w:eastAsia="仿宋"/>
          <w:b/>
          <w:bCs/>
          <w:szCs w:val="36"/>
        </w:rPr>
        <w:t>附件</w:t>
      </w:r>
      <w:r>
        <w:rPr>
          <w:rFonts w:ascii="仿宋" w:hAnsi="仿宋" w:eastAsia="仿宋"/>
          <w:szCs w:val="36"/>
        </w:rPr>
        <w:t>：</w:t>
      </w:r>
      <w:bookmarkEnd w:id="107"/>
      <w:bookmarkEnd w:id="108"/>
      <w:bookmarkEnd w:id="109"/>
      <w:bookmarkEnd w:id="110"/>
      <w:bookmarkEnd w:id="111"/>
      <w:bookmarkEnd w:id="112"/>
      <w:bookmarkEnd w:id="113"/>
    </w:p>
    <w:p>
      <w:pPr>
        <w:spacing w:before="156" w:beforeLines="50" w:line="240" w:lineRule="auto"/>
        <w:jc w:val="center"/>
        <w:rPr>
          <w:rFonts w:ascii="仿宋" w:hAnsi="仿宋" w:eastAsia="仿宋"/>
          <w:b/>
          <w:sz w:val="32"/>
          <w:szCs w:val="32"/>
        </w:rPr>
      </w:pPr>
      <w:r>
        <w:rPr>
          <w:rFonts w:hint="eastAsia" w:ascii="仿宋" w:hAnsi="仿宋" w:eastAsia="仿宋"/>
          <w:b/>
          <w:sz w:val="32"/>
          <w:szCs w:val="32"/>
        </w:rPr>
        <w:t>惠安县</w:t>
      </w:r>
      <w:r>
        <w:rPr>
          <w:rFonts w:ascii="Times New Roman" w:hAnsi="Times New Roman" w:eastAsia="仿宋" w:cs="Times New Roman"/>
          <w:b/>
          <w:sz w:val="32"/>
          <w:szCs w:val="32"/>
        </w:rPr>
        <w:t>2019</w:t>
      </w:r>
      <w:r>
        <w:rPr>
          <w:rFonts w:ascii="仿宋" w:hAnsi="仿宋" w:eastAsia="仿宋" w:cs="Times New Roman"/>
          <w:b/>
          <w:sz w:val="32"/>
          <w:szCs w:val="32"/>
        </w:rPr>
        <w:t>-</w:t>
      </w:r>
      <w:r>
        <w:rPr>
          <w:rFonts w:ascii="Times New Roman" w:hAnsi="Times New Roman" w:eastAsia="仿宋" w:cs="Times New Roman"/>
          <w:b/>
          <w:sz w:val="32"/>
          <w:szCs w:val="32"/>
        </w:rPr>
        <w:t>2023</w:t>
      </w:r>
      <w:r>
        <w:rPr>
          <w:rFonts w:hint="eastAsia" w:ascii="仿宋" w:hAnsi="仿宋" w:eastAsia="仿宋"/>
          <w:b/>
          <w:sz w:val="32"/>
          <w:szCs w:val="32"/>
        </w:rPr>
        <w:t>年“高标准农田建设”专项</w:t>
      </w:r>
    </w:p>
    <w:p>
      <w:pPr>
        <w:spacing w:line="240" w:lineRule="auto"/>
        <w:jc w:val="center"/>
        <w:rPr>
          <w:rFonts w:ascii="仿宋" w:hAnsi="仿宋" w:eastAsia="仿宋"/>
          <w:b/>
          <w:sz w:val="32"/>
          <w:szCs w:val="32"/>
        </w:rPr>
      </w:pPr>
      <w:r>
        <w:rPr>
          <w:rFonts w:hint="eastAsia" w:ascii="仿宋" w:hAnsi="仿宋" w:eastAsia="仿宋"/>
          <w:b/>
          <w:sz w:val="32"/>
          <w:szCs w:val="32"/>
        </w:rPr>
        <w:t>资金</w:t>
      </w:r>
      <w:r>
        <w:rPr>
          <w:rFonts w:ascii="仿宋" w:hAnsi="仿宋" w:eastAsia="仿宋"/>
          <w:b/>
          <w:sz w:val="32"/>
          <w:szCs w:val="32"/>
        </w:rPr>
        <w:t>绩效评价</w:t>
      </w:r>
      <w:r>
        <w:rPr>
          <w:rFonts w:hint="eastAsia" w:ascii="仿宋" w:hAnsi="仿宋" w:eastAsia="仿宋"/>
          <w:b/>
          <w:sz w:val="32"/>
          <w:szCs w:val="32"/>
        </w:rPr>
        <w:t>表</w:t>
      </w:r>
    </w:p>
    <w:tbl>
      <w:tblPr>
        <w:tblStyle w:val="1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0"/>
        <w:gridCol w:w="1038"/>
        <w:gridCol w:w="1231"/>
        <w:gridCol w:w="4461"/>
        <w:gridCol w:w="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blHeader/>
        </w:trPr>
        <w:tc>
          <w:tcPr>
            <w:tcW w:w="575" w:type="pct"/>
            <w:shd w:val="clear" w:color="auto" w:fill="D0CECE"/>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一级指标</w:t>
            </w:r>
          </w:p>
        </w:tc>
        <w:tc>
          <w:tcPr>
            <w:tcW w:w="609" w:type="pct"/>
            <w:shd w:val="clear" w:color="auto" w:fill="D0CECE"/>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二级指标</w:t>
            </w:r>
          </w:p>
        </w:tc>
        <w:tc>
          <w:tcPr>
            <w:tcW w:w="722" w:type="pct"/>
            <w:shd w:val="clear" w:color="auto" w:fill="D0CECE"/>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三级指标</w:t>
            </w:r>
          </w:p>
        </w:tc>
        <w:tc>
          <w:tcPr>
            <w:tcW w:w="2618" w:type="pct"/>
            <w:shd w:val="clear" w:color="auto" w:fill="D0CECE"/>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评分规则</w:t>
            </w:r>
          </w:p>
        </w:tc>
        <w:tc>
          <w:tcPr>
            <w:tcW w:w="477" w:type="pct"/>
            <w:shd w:val="clear" w:color="auto" w:fill="D0CECE"/>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0" w:hRule="atLeast"/>
        </w:trPr>
        <w:tc>
          <w:tcPr>
            <w:tcW w:w="575" w:type="pct"/>
            <w:vMerge w:val="restart"/>
            <w:shd w:val="clear" w:color="auto" w:fill="auto"/>
            <w:noWrap/>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决策指标（</w:t>
            </w:r>
            <w:r>
              <w:rPr>
                <w:rStyle w:val="25"/>
                <w:rFonts w:eastAsia="仿宋"/>
                <w:lang w:bidi="ar"/>
              </w:rPr>
              <w:t>15</w:t>
            </w:r>
            <w:r>
              <w:rPr>
                <w:rFonts w:hint="eastAsia" w:ascii="仿宋" w:hAnsi="仿宋" w:eastAsia="仿宋" w:cs="仿宋"/>
                <w:b/>
                <w:bCs/>
                <w:color w:val="000000"/>
                <w:kern w:val="0"/>
                <w:sz w:val="18"/>
                <w:szCs w:val="18"/>
                <w:lang w:bidi="ar"/>
              </w:rPr>
              <w:t>分）</w:t>
            </w:r>
          </w:p>
        </w:tc>
        <w:tc>
          <w:tcPr>
            <w:tcW w:w="609" w:type="pct"/>
            <w:vMerge w:val="restar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项目立项（</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立项依据充分性（</w:t>
            </w:r>
            <w:r>
              <w:rPr>
                <w:rFonts w:ascii="Times New Roman" w:hAnsi="Times New Roman" w:eastAsia="仿宋" w:cs="Times New Roman"/>
                <w:color w:val="000000"/>
                <w:kern w:val="0"/>
                <w:sz w:val="18"/>
                <w:szCs w:val="18"/>
                <w:lang w:bidi="ar"/>
              </w:rPr>
              <w:t>3</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.项目立项是否符合法律、法规、规章或者省委省政府规范性文件情况；</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.项目立项是否与部门职责范围相符，属于部门履职所需；</w:t>
            </w:r>
            <w:r>
              <w:rPr>
                <w:rFonts w:ascii="Times New Roman" w:hAnsi="Times New Roman" w:cs="Times New Roman"/>
                <w:color w:val="000000"/>
                <w:kern w:val="0"/>
                <w:sz w:val="18"/>
                <w:szCs w:val="18"/>
                <w:lang w:bidi="ar"/>
              </w:rPr>
              <w:t>3</w:t>
            </w:r>
            <w:r>
              <w:rPr>
                <w:rFonts w:hint="eastAsia" w:ascii="仿宋" w:hAnsi="仿宋" w:eastAsia="仿宋" w:cs="仿宋"/>
                <w:color w:val="000000"/>
                <w:kern w:val="0"/>
                <w:sz w:val="18"/>
                <w:szCs w:val="18"/>
                <w:lang w:bidi="ar"/>
              </w:rPr>
              <w:t>.项目是否属于公共财政支持范围，是否符合中央、地方事权支出责任划分原则；</w:t>
            </w:r>
            <w:r>
              <w:rPr>
                <w:rFonts w:ascii="Times New Roman" w:hAnsi="Times New Roman" w:cs="Times New Roman"/>
                <w:color w:val="000000"/>
                <w:kern w:val="0"/>
                <w:sz w:val="18"/>
                <w:szCs w:val="18"/>
                <w:lang w:bidi="ar"/>
              </w:rPr>
              <w:t>4</w:t>
            </w:r>
            <w:r>
              <w:rPr>
                <w:rFonts w:hint="eastAsia" w:ascii="仿宋" w:hAnsi="仿宋" w:eastAsia="仿宋" w:cs="仿宋"/>
                <w:color w:val="000000"/>
                <w:kern w:val="0"/>
                <w:sz w:val="18"/>
                <w:szCs w:val="18"/>
                <w:lang w:bidi="ar"/>
              </w:rPr>
              <w:t>.项目是否与相关部门同类项目或部门内部相关项目重复。一项不符合扣</w:t>
            </w:r>
            <w:r>
              <w:rPr>
                <w:rFonts w:ascii="Times New Roman" w:hAnsi="Times New Roman"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75</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noWrap/>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立项程序规范性（</w:t>
            </w:r>
            <w:r>
              <w:rPr>
                <w:rFonts w:ascii="Times New Roman" w:hAnsi="Times New Roman" w:eastAsia="仿宋" w:cs="Times New Roman"/>
                <w:color w:val="000000"/>
                <w:kern w:val="0"/>
                <w:sz w:val="18"/>
                <w:szCs w:val="18"/>
                <w:lang w:bidi="ar"/>
              </w:rPr>
              <w:t>2</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.项目是否按照规定的程序申请设立；</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.审批文件、材料是否符合相关要求。一项不符合扣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2.00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restar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绩效目标（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绩效目标合理性（</w:t>
            </w:r>
            <w:r>
              <w:rPr>
                <w:rFonts w:ascii="Times New Roman" w:hAnsi="Times New Roman" w:eastAsia="仿宋" w:cs="Times New Roman"/>
                <w:color w:val="000000"/>
                <w:kern w:val="0"/>
                <w:sz w:val="18"/>
                <w:szCs w:val="18"/>
                <w:lang w:bidi="ar"/>
              </w:rPr>
              <w:t>3</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.目标设置应细化、量化、可考核；</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.目标内容与预算申请匹配性；</w:t>
            </w:r>
            <w:r>
              <w:rPr>
                <w:rFonts w:ascii="Times New Roman" w:hAnsi="Times New Roman" w:cs="Times New Roman"/>
                <w:color w:val="000000"/>
                <w:kern w:val="0"/>
                <w:sz w:val="18"/>
                <w:szCs w:val="18"/>
                <w:lang w:bidi="ar"/>
              </w:rPr>
              <w:t>3</w:t>
            </w:r>
            <w:r>
              <w:rPr>
                <w:rFonts w:hint="eastAsia" w:ascii="仿宋" w:hAnsi="仿宋" w:eastAsia="仿宋" w:cs="仿宋"/>
                <w:color w:val="000000"/>
                <w:kern w:val="0"/>
                <w:sz w:val="18"/>
                <w:szCs w:val="18"/>
                <w:lang w:bidi="ar"/>
              </w:rPr>
              <w:t>.目标内容与预算申请相关性；</w:t>
            </w:r>
            <w:r>
              <w:rPr>
                <w:rFonts w:ascii="Times New Roman" w:hAnsi="Times New Roman" w:cs="Times New Roman"/>
                <w:color w:val="000000"/>
                <w:kern w:val="0"/>
                <w:sz w:val="18"/>
                <w:szCs w:val="18"/>
                <w:lang w:bidi="ar"/>
              </w:rPr>
              <w:t>4</w:t>
            </w:r>
            <w:r>
              <w:rPr>
                <w:rFonts w:hint="eastAsia" w:ascii="仿宋" w:hAnsi="仿宋" w:eastAsia="仿宋" w:cs="仿宋"/>
                <w:color w:val="000000"/>
                <w:kern w:val="0"/>
                <w:sz w:val="18"/>
                <w:szCs w:val="18"/>
                <w:lang w:bidi="ar"/>
              </w:rPr>
              <w:t>.目标实现可能性。一项不符合扣</w:t>
            </w:r>
            <w:r>
              <w:rPr>
                <w:rFonts w:ascii="Times New Roman" w:hAnsi="Times New Roman"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75</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noWrap/>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绩效指标明确性（</w:t>
            </w:r>
            <w:r>
              <w:rPr>
                <w:rFonts w:ascii="Times New Roman" w:hAnsi="Times New Roman" w:eastAsia="仿宋" w:cs="Times New Roman"/>
                <w:color w:val="000000"/>
                <w:kern w:val="0"/>
                <w:sz w:val="18"/>
                <w:szCs w:val="18"/>
                <w:lang w:bidi="ar"/>
              </w:rPr>
              <w:t>2</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.将项目绩效目标细化分解为具体的绩效指标；</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.通过清晰、可衡量的指标值予以体现，与项目目标任务数或计划数相对应。一项不符合扣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1.00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restar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资金投入（</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预算编制科学性（</w:t>
            </w:r>
            <w:r>
              <w:rPr>
                <w:rFonts w:ascii="Times New Roman" w:hAnsi="Times New Roman" w:eastAsia="仿宋" w:cs="Times New Roman"/>
                <w:color w:val="000000"/>
                <w:kern w:val="0"/>
                <w:sz w:val="18"/>
                <w:szCs w:val="18"/>
                <w:lang w:bidi="ar"/>
              </w:rPr>
              <w:t>2</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.预算内容与项目内容是否匹配；</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.预算确定的项目投资额或资金量是否与工作任务相匹配。一项不符合扣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25</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2.50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noWrap/>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资金分配合理性（</w:t>
            </w:r>
            <w:r>
              <w:rPr>
                <w:rFonts w:ascii="Times New Roman" w:hAnsi="Times New Roman" w:eastAsia="仿宋" w:cs="Times New Roman"/>
                <w:color w:val="000000"/>
                <w:kern w:val="0"/>
                <w:sz w:val="18"/>
                <w:szCs w:val="18"/>
                <w:lang w:bidi="ar"/>
              </w:rPr>
              <w:t>2</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.预算资金分配依据是否充分；</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.资金分配额度是否合理，与项目单位或地方实际是否相适应。一项符合扣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25</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2.50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575" w:type="pct"/>
            <w:vMerge w:val="restart"/>
            <w:shd w:val="clear" w:color="auto" w:fill="auto"/>
            <w:noWrap/>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过程指标（</w:t>
            </w:r>
            <w:r>
              <w:rPr>
                <w:rStyle w:val="25"/>
                <w:rFonts w:eastAsia="仿宋"/>
                <w:lang w:bidi="ar"/>
              </w:rPr>
              <w:t>15</w:t>
            </w:r>
            <w:r>
              <w:rPr>
                <w:rFonts w:hint="eastAsia" w:ascii="仿宋" w:hAnsi="仿宋" w:eastAsia="仿宋" w:cs="仿宋"/>
                <w:b/>
                <w:bCs/>
                <w:color w:val="000000"/>
                <w:kern w:val="0"/>
                <w:sz w:val="18"/>
                <w:szCs w:val="18"/>
                <w:lang w:bidi="ar"/>
              </w:rPr>
              <w:t>分）</w:t>
            </w:r>
          </w:p>
        </w:tc>
        <w:tc>
          <w:tcPr>
            <w:tcW w:w="609" w:type="pct"/>
            <w:vMerge w:val="restar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资金管理（</w:t>
            </w:r>
            <w:r>
              <w:rPr>
                <w:rFonts w:ascii="Times New Roman" w:hAnsi="Times New Roman" w:eastAsia="仿宋" w:cs="Times New Roman"/>
                <w:color w:val="000000"/>
                <w:kern w:val="0"/>
                <w:sz w:val="18"/>
                <w:szCs w:val="18"/>
                <w:lang w:bidi="ar"/>
              </w:rPr>
              <w:t>8</w:t>
            </w:r>
            <w:r>
              <w:rPr>
                <w:rFonts w:hint="eastAsia" w:ascii="仿宋" w:hAnsi="仿宋" w:eastAsia="仿宋" w:cs="仿宋"/>
                <w:color w:val="000000"/>
                <w:kern w:val="0"/>
                <w:sz w:val="18"/>
                <w:szCs w:val="18"/>
                <w:lang w:bidi="ar"/>
              </w:rPr>
              <w:t>分）</w:t>
            </w: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预算执行率（</w:t>
            </w:r>
            <w:r>
              <w:rPr>
                <w:rFonts w:ascii="Times New Roman" w:hAnsi="Times New Roman" w:eastAsia="仿宋" w:cs="Times New Roman"/>
                <w:color w:val="000000"/>
                <w:kern w:val="0"/>
                <w:sz w:val="18"/>
                <w:szCs w:val="18"/>
                <w:lang w:bidi="ar"/>
              </w:rPr>
              <w:t>4</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（实际支出资金/实际到位资金）*</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%*满分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3.83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noWrap/>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资金使用合规性（</w:t>
            </w:r>
            <w:r>
              <w:rPr>
                <w:rFonts w:ascii="Times New Roman" w:hAnsi="Times New Roman" w:eastAsia="仿宋" w:cs="Times New Roman"/>
                <w:color w:val="000000"/>
                <w:kern w:val="0"/>
                <w:sz w:val="18"/>
                <w:szCs w:val="18"/>
                <w:lang w:bidi="ar"/>
              </w:rPr>
              <w:t>4</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.是否符合国家财经法规和财务管理制度以及有关专项资金管理办法的规定；</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.资金的拨付是否有完整的审批程序和手续；</w:t>
            </w:r>
            <w:r>
              <w:rPr>
                <w:rFonts w:ascii="Times New Roman" w:hAnsi="Times New Roman" w:cs="Times New Roman"/>
                <w:color w:val="000000"/>
                <w:kern w:val="0"/>
                <w:sz w:val="18"/>
                <w:szCs w:val="18"/>
                <w:lang w:bidi="ar"/>
              </w:rPr>
              <w:t>3</w:t>
            </w:r>
            <w:r>
              <w:rPr>
                <w:rFonts w:hint="eastAsia" w:ascii="仿宋" w:hAnsi="仿宋" w:eastAsia="仿宋" w:cs="仿宋"/>
                <w:color w:val="000000"/>
                <w:kern w:val="0"/>
                <w:sz w:val="18"/>
                <w:szCs w:val="18"/>
                <w:lang w:bidi="ar"/>
              </w:rPr>
              <w:t>.符合项目预算批复或合同规定的用途；</w:t>
            </w:r>
            <w:r>
              <w:rPr>
                <w:rFonts w:ascii="Times New Roman" w:hAnsi="Times New Roman" w:cs="Times New Roman"/>
                <w:color w:val="000000"/>
                <w:kern w:val="0"/>
                <w:sz w:val="18"/>
                <w:szCs w:val="18"/>
                <w:lang w:bidi="ar"/>
              </w:rPr>
              <w:t>4</w:t>
            </w:r>
            <w:r>
              <w:rPr>
                <w:rFonts w:hint="eastAsia" w:ascii="仿宋" w:hAnsi="仿宋" w:eastAsia="仿宋" w:cs="仿宋"/>
                <w:color w:val="000000"/>
                <w:kern w:val="0"/>
                <w:sz w:val="18"/>
                <w:szCs w:val="18"/>
                <w:lang w:bidi="ar"/>
              </w:rPr>
              <w:t>.是否存在截留、挤占、挪用、虚列支出、资金沉淀等情况。发现存在一项不符合扣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4.00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restar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组织实施（</w:t>
            </w:r>
            <w:r>
              <w:rPr>
                <w:rFonts w:ascii="Times New Roman" w:hAnsi="Times New Roman" w:eastAsia="仿宋" w:cs="Times New Roman"/>
                <w:color w:val="000000"/>
                <w:kern w:val="0"/>
                <w:sz w:val="18"/>
                <w:szCs w:val="18"/>
                <w:lang w:bidi="ar"/>
              </w:rPr>
              <w:t>7</w:t>
            </w:r>
            <w:r>
              <w:rPr>
                <w:rFonts w:hint="eastAsia" w:ascii="仿宋" w:hAnsi="仿宋" w:eastAsia="仿宋" w:cs="仿宋"/>
                <w:color w:val="000000"/>
                <w:kern w:val="0"/>
                <w:sz w:val="18"/>
                <w:szCs w:val="18"/>
                <w:lang w:bidi="ar"/>
              </w:rPr>
              <w:t>分）</w:t>
            </w: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管理制度健全性（</w:t>
            </w:r>
            <w:r>
              <w:rPr>
                <w:rFonts w:ascii="Times New Roman" w:hAnsi="Times New Roman" w:eastAsia="仿宋" w:cs="Times New Roman"/>
                <w:color w:val="000000"/>
                <w:kern w:val="0"/>
                <w:sz w:val="18"/>
                <w:szCs w:val="18"/>
                <w:lang w:bidi="ar"/>
              </w:rPr>
              <w:t>3</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.是否已制定或具有相应的管理办法、财务和业务管理制度；</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.管理办法、财务和业务管理制度是否合法、合规、完善。一项不符合扣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575" w:type="pct"/>
            <w:vMerge w:val="continue"/>
            <w:shd w:val="clear" w:color="auto" w:fill="auto"/>
            <w:noWrap/>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noWrap/>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制度执行有效性（</w:t>
            </w:r>
            <w:r>
              <w:rPr>
                <w:rFonts w:ascii="Times New Roman" w:hAnsi="Times New Roman" w:eastAsia="仿宋" w:cs="Times New Roman"/>
                <w:color w:val="000000"/>
                <w:kern w:val="0"/>
                <w:sz w:val="18"/>
                <w:szCs w:val="18"/>
                <w:lang w:bidi="ar"/>
              </w:rPr>
              <w:t>4</w:t>
            </w:r>
            <w:r>
              <w:rPr>
                <w:rFonts w:hint="eastAsia" w:ascii="仿宋" w:hAnsi="仿宋" w:eastAsia="仿宋" w:cs="仿宋"/>
                <w:color w:val="000000"/>
                <w:kern w:val="0"/>
                <w:sz w:val="18"/>
                <w:szCs w:val="18"/>
                <w:lang w:bidi="ar"/>
              </w:rPr>
              <w:t>分）</w:t>
            </w:r>
          </w:p>
        </w:tc>
        <w:tc>
          <w:tcPr>
            <w:tcW w:w="2618" w:type="pct"/>
            <w:shd w:val="clear" w:color="auto" w:fill="auto"/>
          </w:tcPr>
          <w:p>
            <w:pPr>
              <w:widowControl/>
              <w:spacing w:line="240" w:lineRule="auto"/>
              <w:jc w:val="center"/>
              <w:textAlignment w:val="top"/>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.是否遵循相关法律法规和业务管理规定；</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.项目调整及支出调整手续是否完备；</w:t>
            </w:r>
            <w:r>
              <w:rPr>
                <w:rFonts w:ascii="Times New Roman" w:hAnsi="Times New Roman" w:cs="Times New Roman"/>
                <w:color w:val="000000"/>
                <w:kern w:val="0"/>
                <w:sz w:val="18"/>
                <w:szCs w:val="18"/>
                <w:lang w:bidi="ar"/>
              </w:rPr>
              <w:t>3</w:t>
            </w:r>
            <w:r>
              <w:rPr>
                <w:rFonts w:hint="eastAsia" w:ascii="仿宋" w:hAnsi="仿宋" w:eastAsia="仿宋" w:cs="仿宋"/>
                <w:color w:val="000000"/>
                <w:kern w:val="0"/>
                <w:sz w:val="18"/>
                <w:szCs w:val="18"/>
                <w:lang w:bidi="ar"/>
              </w:rPr>
              <w:t>.项目合同书、验收报告、技术鉴定等资料是否期权并及时归档；</w:t>
            </w:r>
            <w:r>
              <w:rPr>
                <w:rFonts w:ascii="Times New Roman" w:hAnsi="Times New Roman" w:cs="Times New Roman"/>
                <w:color w:val="000000"/>
                <w:kern w:val="0"/>
                <w:sz w:val="18"/>
                <w:szCs w:val="18"/>
                <w:lang w:bidi="ar"/>
              </w:rPr>
              <w:t>4</w:t>
            </w:r>
            <w:r>
              <w:rPr>
                <w:rFonts w:hint="eastAsia" w:ascii="仿宋" w:hAnsi="仿宋" w:eastAsia="仿宋" w:cs="仿宋"/>
                <w:color w:val="000000"/>
                <w:kern w:val="0"/>
                <w:sz w:val="18"/>
                <w:szCs w:val="18"/>
                <w:lang w:bidi="ar"/>
              </w:rPr>
              <w:t>.项目实施的人员条件、场地设备、信息支撑等是否落实到位。一项不符合扣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分</w:t>
            </w:r>
          </w:p>
        </w:tc>
        <w:tc>
          <w:tcPr>
            <w:tcW w:w="477" w:type="pct"/>
            <w:shd w:val="clear" w:color="auto" w:fill="auto"/>
            <w:noWrap/>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0" w:hRule="atLeast"/>
        </w:trPr>
        <w:tc>
          <w:tcPr>
            <w:tcW w:w="575" w:type="pct"/>
            <w:vMerge w:val="restart"/>
            <w:shd w:val="clear" w:color="auto" w:fill="auto"/>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产出指标（</w:t>
            </w:r>
            <w:r>
              <w:rPr>
                <w:rStyle w:val="25"/>
                <w:rFonts w:eastAsia="仿宋"/>
                <w:lang w:bidi="ar"/>
              </w:rPr>
              <w:t>30</w:t>
            </w:r>
            <w:r>
              <w:rPr>
                <w:rFonts w:hint="eastAsia" w:ascii="仿宋" w:hAnsi="仿宋" w:eastAsia="仿宋" w:cs="仿宋"/>
                <w:b/>
                <w:bCs/>
                <w:color w:val="000000"/>
                <w:kern w:val="0"/>
                <w:sz w:val="18"/>
                <w:szCs w:val="18"/>
                <w:lang w:bidi="ar"/>
              </w:rPr>
              <w:t>分）</w:t>
            </w:r>
          </w:p>
        </w:tc>
        <w:tc>
          <w:tcPr>
            <w:tcW w:w="609" w:type="pct"/>
            <w:vMerge w:val="restar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数量指标（</w:t>
            </w:r>
            <w:r>
              <w:rPr>
                <w:rFonts w:ascii="Times New Roman" w:hAnsi="Times New Roman" w:eastAsia="仿宋" w:cs="Times New Roman"/>
                <w:color w:val="000000"/>
                <w:kern w:val="0"/>
                <w:sz w:val="18"/>
                <w:szCs w:val="18"/>
                <w:lang w:bidi="ar"/>
              </w:rPr>
              <w:t>10</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新增高标准农田建设面积（</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考察各年高标准农田建设任务的完成情况，若实际完成高标准农田建设面积大于或等于任务数，得满分，否则得分为（各年累计新增高标准农田建设数/累计任务数）*</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新增高效节水灌溉面积（</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考察各年高标准农田建设新增高效节水灌溉面积任务的完成情况，若实际完成新增高效节水灌溉面积大于或等于任务数，得满分，否则得分为（各年累计新增高效节水灌溉面积/累计任务数）*</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0.01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质量指标（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项目验收合格率（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（项目验收合格率/目标值）*</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%*满分，达</w:t>
            </w:r>
            <w:r>
              <w:rPr>
                <w:rFonts w:ascii="Times New Roman" w:hAnsi="Times New Roman" w:eastAsia="仿宋" w:cs="Times New Roman"/>
                <w:color w:val="000000"/>
                <w:kern w:val="0"/>
                <w:sz w:val="18"/>
                <w:szCs w:val="18"/>
                <w:lang w:bidi="ar"/>
              </w:rPr>
              <w:t>90</w:t>
            </w:r>
            <w:r>
              <w:rPr>
                <w:rFonts w:hint="eastAsia" w:ascii="仿宋" w:hAnsi="仿宋" w:eastAsia="仿宋" w:cs="仿宋"/>
                <w:color w:val="000000"/>
                <w:kern w:val="0"/>
                <w:sz w:val="18"/>
                <w:szCs w:val="18"/>
                <w:lang w:bidi="ar"/>
              </w:rPr>
              <w:t>%达满分，否则按比例计算得分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restar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时效指标（</w:t>
            </w:r>
            <w:r>
              <w:rPr>
                <w:rFonts w:ascii="Times New Roman" w:hAnsi="Times New Roman" w:eastAsia="仿宋" w:cs="Times New Roman"/>
                <w:color w:val="000000"/>
                <w:kern w:val="0"/>
                <w:sz w:val="18"/>
                <w:szCs w:val="18"/>
                <w:lang w:bidi="ar"/>
              </w:rPr>
              <w:t>10</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项目建设期（</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考察高标准农田建设项目按期完成情况，一般建设期为</w:t>
            </w:r>
            <w:r>
              <w:rPr>
                <w:rFonts w:ascii="Times New Roman" w:hAnsi="Times New Roman" w:eastAsia="仿宋" w:cs="Times New Roman"/>
                <w:color w:val="000000"/>
                <w:kern w:val="0"/>
                <w:sz w:val="18"/>
                <w:szCs w:val="18"/>
                <w:lang w:bidi="ar"/>
              </w:rPr>
              <w:t>1</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2</w:t>
            </w:r>
            <w:r>
              <w:rPr>
                <w:rFonts w:hint="eastAsia" w:ascii="仿宋" w:hAnsi="仿宋" w:eastAsia="仿宋" w:cs="仿宋"/>
                <w:color w:val="000000"/>
                <w:kern w:val="0"/>
                <w:sz w:val="18"/>
                <w:szCs w:val="18"/>
                <w:lang w:bidi="ar"/>
              </w:rPr>
              <w:t>年，若出现项目建设期明显超出合理建设期，一项扣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项目验收及时率（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考察项目验收及时情况。项目审批单位应在项目完工后半年内组织完成竣工验收工作。若出现项目验收时间远超过项目完工后半年，一项扣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成本指标（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财政资金亩均补助水平（</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考察惠安县财政资金对高标准农田项目的支持情况。若出现项目的县级财政资金投入低于规定，一项扣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575" w:type="pct"/>
            <w:vMerge w:val="restart"/>
            <w:shd w:val="clear" w:color="auto" w:fill="auto"/>
            <w:vAlign w:val="center"/>
          </w:tcPr>
          <w:p>
            <w:pPr>
              <w:widowControl/>
              <w:spacing w:line="240" w:lineRule="auto"/>
              <w:jc w:val="center"/>
              <w:textAlignment w:val="center"/>
              <w:rPr>
                <w:rFonts w:ascii="仿宋" w:hAnsi="仿宋" w:eastAsia="仿宋" w:cs="仿宋"/>
                <w:b/>
                <w:bCs/>
                <w:color w:val="000000"/>
                <w:sz w:val="18"/>
                <w:szCs w:val="18"/>
              </w:rPr>
            </w:pPr>
            <w:r>
              <w:rPr>
                <w:rFonts w:hint="eastAsia" w:ascii="仿宋" w:hAnsi="仿宋" w:eastAsia="仿宋" w:cs="仿宋"/>
                <w:b/>
                <w:bCs/>
                <w:color w:val="000000"/>
                <w:kern w:val="0"/>
                <w:sz w:val="18"/>
                <w:szCs w:val="18"/>
                <w:lang w:bidi="ar"/>
              </w:rPr>
              <w:t>效益指标（</w:t>
            </w:r>
            <w:r>
              <w:rPr>
                <w:rStyle w:val="25"/>
                <w:rFonts w:eastAsia="仿宋"/>
                <w:lang w:bidi="ar"/>
              </w:rPr>
              <w:t>40</w:t>
            </w:r>
            <w:r>
              <w:rPr>
                <w:rFonts w:hint="eastAsia" w:ascii="仿宋" w:hAnsi="仿宋" w:eastAsia="仿宋" w:cs="仿宋"/>
                <w:b/>
                <w:bCs/>
                <w:color w:val="000000"/>
                <w:kern w:val="0"/>
                <w:sz w:val="18"/>
                <w:szCs w:val="18"/>
                <w:lang w:bidi="ar"/>
              </w:rPr>
              <w:t>分）</w:t>
            </w:r>
          </w:p>
        </w:tc>
        <w:tc>
          <w:tcPr>
            <w:tcW w:w="609" w:type="pct"/>
            <w:vMerge w:val="restar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社会效益（</w:t>
            </w:r>
            <w:r>
              <w:rPr>
                <w:rFonts w:ascii="Times New Roman" w:hAnsi="Times New Roman" w:eastAsia="仿宋" w:cs="Times New Roman"/>
                <w:color w:val="000000"/>
                <w:kern w:val="0"/>
                <w:sz w:val="18"/>
                <w:szCs w:val="18"/>
                <w:lang w:bidi="ar"/>
              </w:rPr>
              <w:t>20</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粮食综合生产能力（</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考察项目建成后的粮食产出能力提升情况。若当年新增粮食产量达到目标值得满分，否则得分为（实际新增粮食产量/目标值）*</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耕地质量提高值（</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考察高标准农田建设项目对耕地质量的提升情况。若项目验收的耕地质量提高情况低于初步设计相关建设目标，则该项扣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水资源利用率提升（</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考察项目区水资源利用率在农田灌溉排水条件改善后提升情况。若项目新增与改善农田灌溉排水面积未达到目标值，则一项扣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农业种植结构优化（</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考察项目区农业种植结构的改善情况，项目验收后农田种植结构是否单一化。若高标准农田建设后农田出现单一化种植，则一项扣</w:t>
            </w:r>
            <w:r>
              <w:rPr>
                <w:rFonts w:ascii="Times New Roman" w:hAnsi="Times New Roman" w:eastAsia="仿宋" w:cs="Times New Roman"/>
                <w:color w:val="000000"/>
                <w:kern w:val="0"/>
                <w:sz w:val="18"/>
                <w:szCs w:val="18"/>
                <w:lang w:bidi="ar"/>
              </w:rPr>
              <w:t>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分，扣完为止。</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0"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restar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经济效益（</w:t>
            </w:r>
            <w:r>
              <w:rPr>
                <w:rFonts w:ascii="Times New Roman" w:hAnsi="Times New Roman" w:eastAsia="仿宋" w:cs="Times New Roman"/>
                <w:color w:val="000000"/>
                <w:kern w:val="0"/>
                <w:sz w:val="18"/>
                <w:szCs w:val="18"/>
                <w:lang w:bidi="ar"/>
              </w:rPr>
              <w:t>10</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农业人均增加年收入（</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考察项目建成后的节本增效情况。若当年农业人均年收入增幅超过</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元，则当前年份得满分，否则该年份得分为（实际农业人均增加年收入/目标值）*</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1</w:t>
            </w:r>
            <w:r>
              <w:rPr>
                <w:rFonts w:hint="eastAsia" w:ascii="仿宋" w:hAnsi="仿宋" w:eastAsia="仿宋" w:cs="仿宋"/>
                <w:color w:val="000000"/>
                <w:kern w:val="0"/>
                <w:sz w:val="18"/>
                <w:szCs w:val="18"/>
                <w:lang w:bidi="ar"/>
              </w:rPr>
              <w:t>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4.86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vMerge w:val="continue"/>
            <w:shd w:val="clear" w:color="auto" w:fill="auto"/>
            <w:vAlign w:val="center"/>
          </w:tcPr>
          <w:p>
            <w:pPr>
              <w:widowControl/>
              <w:spacing w:line="240" w:lineRule="auto"/>
              <w:jc w:val="center"/>
              <w:rPr>
                <w:rFonts w:ascii="仿宋" w:hAnsi="仿宋" w:eastAsia="仿宋" w:cs="仿宋"/>
                <w:color w:val="000000"/>
                <w:sz w:val="18"/>
                <w:szCs w:val="18"/>
              </w:rPr>
            </w:pP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旱涝保收情况（</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考察农田灌溉节水、防洪排涝等综合能力提升情况。根据各年项目建设情况酌情给分。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可持续影响（</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管护机制有效性（</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.项目的运行管理机构的设置、人力资源、技术能否满足项目持续运行的需要；</w:t>
            </w:r>
            <w:r>
              <w:rPr>
                <w:rFonts w:ascii="Times New Roman" w:hAnsi="Times New Roman" w:cs="Times New Roman"/>
                <w:color w:val="000000"/>
                <w:kern w:val="0"/>
                <w:sz w:val="18"/>
                <w:szCs w:val="18"/>
                <w:lang w:bidi="ar"/>
              </w:rPr>
              <w:t>2</w:t>
            </w:r>
            <w:r>
              <w:rPr>
                <w:rFonts w:hint="eastAsia" w:ascii="仿宋" w:hAnsi="仿宋" w:eastAsia="仿宋" w:cs="仿宋"/>
                <w:color w:val="000000"/>
                <w:kern w:val="0"/>
                <w:sz w:val="18"/>
                <w:szCs w:val="18"/>
                <w:lang w:bidi="ar"/>
              </w:rPr>
              <w:t>.保证项目运行的政策、制度能否得到持续实施；</w:t>
            </w:r>
            <w:r>
              <w:rPr>
                <w:rFonts w:ascii="Times New Roman" w:hAnsi="Times New Roman" w:cs="Times New Roman"/>
                <w:color w:val="000000"/>
                <w:kern w:val="0"/>
                <w:sz w:val="18"/>
                <w:szCs w:val="18"/>
                <w:lang w:bidi="ar"/>
              </w:rPr>
              <w:t>3</w:t>
            </w:r>
            <w:r>
              <w:rPr>
                <w:rFonts w:hint="eastAsia" w:ascii="仿宋" w:hAnsi="仿宋" w:eastAsia="仿宋" w:cs="仿宋"/>
                <w:color w:val="000000"/>
                <w:kern w:val="0"/>
                <w:sz w:val="18"/>
                <w:szCs w:val="18"/>
                <w:lang w:bidi="ar"/>
              </w:rPr>
              <w:t>.项目产出能够得到持续的提供、维护和利用；</w:t>
            </w:r>
            <w:r>
              <w:rPr>
                <w:rFonts w:ascii="Times New Roman" w:hAnsi="Times New Roman" w:cs="Times New Roman"/>
                <w:color w:val="000000"/>
                <w:kern w:val="0"/>
                <w:sz w:val="18"/>
                <w:szCs w:val="18"/>
                <w:lang w:bidi="ar"/>
              </w:rPr>
              <w:t>4</w:t>
            </w:r>
            <w:r>
              <w:rPr>
                <w:rFonts w:hint="eastAsia" w:ascii="仿宋" w:hAnsi="仿宋" w:eastAsia="仿宋" w:cs="仿宋"/>
                <w:color w:val="000000"/>
                <w:kern w:val="0"/>
                <w:sz w:val="18"/>
                <w:szCs w:val="18"/>
                <w:lang w:bidi="ar"/>
              </w:rPr>
              <w:t>.项目财务是否可持续。一项不符合扣</w:t>
            </w:r>
            <w:r>
              <w:rPr>
                <w:rFonts w:ascii="Times New Roman" w:hAnsi="Times New Roman" w:cs="Times New Roman"/>
                <w:color w:val="000000"/>
                <w:kern w:val="0"/>
                <w:sz w:val="18"/>
                <w:szCs w:val="18"/>
                <w:lang w:bidi="ar"/>
              </w:rPr>
              <w:t>1</w:t>
            </w:r>
            <w:r>
              <w:rPr>
                <w:rFonts w:hint="eastAsia" w:ascii="仿宋" w:hAnsi="仿宋" w:eastAsia="仿宋" w:cs="仿宋"/>
                <w:color w:val="000000"/>
                <w:kern w:val="0"/>
                <w:sz w:val="18"/>
                <w:szCs w:val="18"/>
                <w:lang w:bidi="ar"/>
              </w:rPr>
              <w:t>.</w:t>
            </w:r>
            <w:r>
              <w:rPr>
                <w:rFonts w:ascii="Times New Roman" w:hAnsi="Times New Roman" w:cs="Times New Roman"/>
                <w:color w:val="000000"/>
                <w:kern w:val="0"/>
                <w:sz w:val="18"/>
                <w:szCs w:val="18"/>
                <w:lang w:bidi="ar"/>
              </w:rPr>
              <w:t>25</w:t>
            </w:r>
            <w:r>
              <w:rPr>
                <w:rFonts w:hint="eastAsia" w:ascii="仿宋" w:hAnsi="仿宋" w:eastAsia="仿宋" w:cs="仿宋"/>
                <w:color w:val="000000"/>
                <w:kern w:val="0"/>
                <w:sz w:val="18"/>
                <w:szCs w:val="18"/>
                <w:lang w:bidi="ar"/>
              </w:rPr>
              <w:t>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3.75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575" w:type="pct"/>
            <w:vMerge w:val="continue"/>
            <w:shd w:val="clear" w:color="auto" w:fill="auto"/>
            <w:vAlign w:val="center"/>
          </w:tcPr>
          <w:p>
            <w:pPr>
              <w:widowControl/>
              <w:spacing w:line="240" w:lineRule="auto"/>
              <w:jc w:val="center"/>
              <w:rPr>
                <w:rFonts w:ascii="仿宋" w:hAnsi="仿宋" w:eastAsia="仿宋" w:cs="仿宋"/>
                <w:b/>
                <w:bCs/>
                <w:color w:val="000000"/>
                <w:sz w:val="18"/>
                <w:szCs w:val="18"/>
              </w:rPr>
            </w:pPr>
          </w:p>
        </w:tc>
        <w:tc>
          <w:tcPr>
            <w:tcW w:w="609"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满意度（</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722"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项目区公众满意度（</w:t>
            </w:r>
            <w:r>
              <w:rPr>
                <w:rFonts w:ascii="Times New Roman" w:hAnsi="Times New Roman" w:eastAsia="仿宋" w:cs="Times New Roman"/>
                <w:color w:val="000000"/>
                <w:kern w:val="0"/>
                <w:sz w:val="18"/>
                <w:szCs w:val="18"/>
                <w:lang w:bidi="ar"/>
              </w:rPr>
              <w:t>5</w:t>
            </w:r>
            <w:r>
              <w:rPr>
                <w:rFonts w:hint="eastAsia" w:ascii="仿宋" w:hAnsi="仿宋" w:eastAsia="仿宋" w:cs="仿宋"/>
                <w:color w:val="000000"/>
                <w:kern w:val="0"/>
                <w:sz w:val="18"/>
                <w:szCs w:val="18"/>
                <w:lang w:bidi="ar"/>
              </w:rPr>
              <w:t>分）</w:t>
            </w:r>
          </w:p>
        </w:tc>
        <w:tc>
          <w:tcPr>
            <w:tcW w:w="2618" w:type="pct"/>
            <w:shd w:val="clear" w:color="auto" w:fill="auto"/>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（对专项工作满意乡镇、村数/调查乡镇、村数）*</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%。达到</w:t>
            </w:r>
            <w:r>
              <w:rPr>
                <w:rFonts w:ascii="Times New Roman" w:hAnsi="Times New Roman" w:eastAsia="仿宋" w:cs="Times New Roman"/>
                <w:color w:val="000000"/>
                <w:kern w:val="0"/>
                <w:sz w:val="18"/>
                <w:szCs w:val="18"/>
                <w:lang w:bidi="ar"/>
              </w:rPr>
              <w:t>90</w:t>
            </w:r>
            <w:r>
              <w:rPr>
                <w:rFonts w:hint="eastAsia" w:ascii="仿宋" w:hAnsi="仿宋" w:eastAsia="仿宋" w:cs="仿宋"/>
                <w:color w:val="000000"/>
                <w:kern w:val="0"/>
                <w:sz w:val="18"/>
                <w:szCs w:val="18"/>
                <w:lang w:bidi="ar"/>
              </w:rPr>
              <w:t>%得满分，未达到目标值的，得分数为（实际满意度/</w:t>
            </w:r>
            <w:r>
              <w:rPr>
                <w:rFonts w:ascii="Times New Roman" w:hAnsi="Times New Roman" w:eastAsia="仿宋" w:cs="Times New Roman"/>
                <w:color w:val="000000"/>
                <w:kern w:val="0"/>
                <w:sz w:val="18"/>
                <w:szCs w:val="18"/>
                <w:lang w:bidi="ar"/>
              </w:rPr>
              <w:t>90</w:t>
            </w:r>
            <w:r>
              <w:rPr>
                <w:rFonts w:hint="eastAsia" w:ascii="仿宋" w:hAnsi="仿宋" w:eastAsia="仿宋" w:cs="仿宋"/>
                <w:color w:val="000000"/>
                <w:kern w:val="0"/>
                <w:sz w:val="18"/>
                <w:szCs w:val="18"/>
                <w:lang w:bidi="ar"/>
              </w:rPr>
              <w:t>%）*</w:t>
            </w:r>
            <w:r>
              <w:rPr>
                <w:rFonts w:ascii="Times New Roman" w:hAnsi="Times New Roman" w:eastAsia="仿宋" w:cs="Times New Roman"/>
                <w:color w:val="000000"/>
                <w:kern w:val="0"/>
                <w:sz w:val="18"/>
                <w:szCs w:val="18"/>
                <w:lang w:bidi="ar"/>
              </w:rPr>
              <w:t>100</w:t>
            </w:r>
            <w:r>
              <w:rPr>
                <w:rFonts w:hint="eastAsia" w:ascii="仿宋" w:hAnsi="仿宋" w:eastAsia="仿宋" w:cs="仿宋"/>
                <w:color w:val="000000"/>
                <w:kern w:val="0"/>
                <w:sz w:val="18"/>
                <w:szCs w:val="18"/>
                <w:lang w:bidi="ar"/>
              </w:rPr>
              <w:t>%*分数。</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5.00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 w:hRule="atLeast"/>
        </w:trPr>
        <w:tc>
          <w:tcPr>
            <w:tcW w:w="4523" w:type="pct"/>
            <w:gridSpan w:val="4"/>
            <w:shd w:val="clear" w:color="auto" w:fill="auto"/>
            <w:noWrap/>
            <w:vAlign w:val="center"/>
          </w:tcPr>
          <w:p>
            <w:pPr>
              <w:widowControl/>
              <w:spacing w:line="240" w:lineRule="auto"/>
              <w:jc w:val="center"/>
              <w:textAlignment w:val="center"/>
              <w:rPr>
                <w:rFonts w:ascii="仿宋" w:hAnsi="仿宋" w:eastAsia="仿宋" w:cs="仿宋"/>
                <w:color w:val="000000"/>
                <w:sz w:val="18"/>
                <w:szCs w:val="18"/>
              </w:rPr>
            </w:pPr>
            <w:r>
              <w:rPr>
                <w:rFonts w:hint="eastAsia" w:ascii="仿宋" w:hAnsi="仿宋" w:eastAsia="仿宋" w:cs="仿宋"/>
                <w:color w:val="000000"/>
                <w:kern w:val="0"/>
                <w:sz w:val="18"/>
                <w:szCs w:val="18"/>
                <w:lang w:bidi="ar"/>
              </w:rPr>
              <w:t>总分</w:t>
            </w:r>
          </w:p>
        </w:tc>
        <w:tc>
          <w:tcPr>
            <w:tcW w:w="477" w:type="pct"/>
            <w:shd w:val="clear" w:color="auto" w:fill="auto"/>
            <w:vAlign w:val="center"/>
          </w:tcPr>
          <w:p>
            <w:pPr>
              <w:widowControl/>
              <w:spacing w:line="240" w:lineRule="auto"/>
              <w:jc w:val="center"/>
              <w:textAlignment w:val="center"/>
              <w:rPr>
                <w:rFonts w:ascii="Times New Roman" w:hAnsi="Times New Roman" w:cs="Times New Roman"/>
                <w:color w:val="000000"/>
                <w:sz w:val="18"/>
                <w:szCs w:val="18"/>
              </w:rPr>
            </w:pPr>
            <w:r>
              <w:rPr>
                <w:rFonts w:ascii="Times New Roman" w:hAnsi="Times New Roman" w:cs="Times New Roman"/>
                <w:color w:val="000000"/>
                <w:kern w:val="0"/>
                <w:sz w:val="18"/>
                <w:szCs w:val="18"/>
                <w:lang w:bidi="ar"/>
              </w:rPr>
              <w:t xml:space="preserve">89.45 </w:t>
            </w:r>
          </w:p>
        </w:tc>
      </w:tr>
    </w:tbl>
    <w:p>
      <w:pPr>
        <w:spacing w:line="240" w:lineRule="auto"/>
        <w:jc w:val="center"/>
        <w:rPr>
          <w:rFonts w:ascii="仿宋" w:hAnsi="仿宋" w:eastAsia="仿宋"/>
          <w:b/>
          <w:sz w:val="32"/>
          <w:szCs w:val="32"/>
        </w:rPr>
      </w:pPr>
    </w:p>
    <w:p>
      <w:pPr>
        <w:spacing w:before="156" w:beforeLines="50" w:after="156" w:afterLines="50"/>
        <w:ind w:firstLine="643"/>
        <w:jc w:val="center"/>
        <w:rPr>
          <w:rFonts w:ascii="仿宋" w:hAnsi="仿宋" w:eastAsia="仿宋"/>
          <w:b/>
          <w:sz w:val="32"/>
          <w:szCs w:val="32"/>
        </w:rPr>
      </w:pPr>
    </w:p>
    <w:sectPr>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光楷体一_CNKI">
    <w:panose1 w:val="02000500000000000000"/>
    <w:charset w:val="86"/>
    <w:family w:val="auto"/>
    <w:pitch w:val="default"/>
    <w:sig w:usb0="8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638504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s>
  <w:rsids>
    <w:rsidRoot w:val="00AD0053"/>
    <w:rsid w:val="0001123F"/>
    <w:rsid w:val="00017EC4"/>
    <w:rsid w:val="00024BA1"/>
    <w:rsid w:val="000321F1"/>
    <w:rsid w:val="00034D1E"/>
    <w:rsid w:val="00036EC3"/>
    <w:rsid w:val="0003709F"/>
    <w:rsid w:val="00051A0B"/>
    <w:rsid w:val="00064FFA"/>
    <w:rsid w:val="0008222D"/>
    <w:rsid w:val="000A75EB"/>
    <w:rsid w:val="000B48D0"/>
    <w:rsid w:val="000C1445"/>
    <w:rsid w:val="000C2CB9"/>
    <w:rsid w:val="000C7C0E"/>
    <w:rsid w:val="000D00C8"/>
    <w:rsid w:val="000E33E8"/>
    <w:rsid w:val="000E45D5"/>
    <w:rsid w:val="000F4489"/>
    <w:rsid w:val="00111A61"/>
    <w:rsid w:val="0011455E"/>
    <w:rsid w:val="001145EE"/>
    <w:rsid w:val="0013018E"/>
    <w:rsid w:val="0013419C"/>
    <w:rsid w:val="001413A8"/>
    <w:rsid w:val="00146DF9"/>
    <w:rsid w:val="00166482"/>
    <w:rsid w:val="00172CCD"/>
    <w:rsid w:val="001746DE"/>
    <w:rsid w:val="00176AC8"/>
    <w:rsid w:val="001857CD"/>
    <w:rsid w:val="00186987"/>
    <w:rsid w:val="001A4E09"/>
    <w:rsid w:val="001B122D"/>
    <w:rsid w:val="001C2493"/>
    <w:rsid w:val="001C31AE"/>
    <w:rsid w:val="001E6626"/>
    <w:rsid w:val="001F4792"/>
    <w:rsid w:val="001F61A4"/>
    <w:rsid w:val="00201165"/>
    <w:rsid w:val="00202838"/>
    <w:rsid w:val="00212EEA"/>
    <w:rsid w:val="0021531D"/>
    <w:rsid w:val="002248EC"/>
    <w:rsid w:val="00235589"/>
    <w:rsid w:val="002404F1"/>
    <w:rsid w:val="00244A28"/>
    <w:rsid w:val="00245399"/>
    <w:rsid w:val="0024597C"/>
    <w:rsid w:val="002466E6"/>
    <w:rsid w:val="00251847"/>
    <w:rsid w:val="00256C13"/>
    <w:rsid w:val="00266625"/>
    <w:rsid w:val="0029194A"/>
    <w:rsid w:val="002933DC"/>
    <w:rsid w:val="002B0DC7"/>
    <w:rsid w:val="002D7D9D"/>
    <w:rsid w:val="002E163B"/>
    <w:rsid w:val="002E1FA3"/>
    <w:rsid w:val="002F2AB9"/>
    <w:rsid w:val="00306A11"/>
    <w:rsid w:val="00323F82"/>
    <w:rsid w:val="00335104"/>
    <w:rsid w:val="003658B2"/>
    <w:rsid w:val="003679CC"/>
    <w:rsid w:val="00374F69"/>
    <w:rsid w:val="0038195A"/>
    <w:rsid w:val="00387182"/>
    <w:rsid w:val="00387800"/>
    <w:rsid w:val="003A7A06"/>
    <w:rsid w:val="003B6A8B"/>
    <w:rsid w:val="003C1F4A"/>
    <w:rsid w:val="003D69BD"/>
    <w:rsid w:val="003D7752"/>
    <w:rsid w:val="003E0B53"/>
    <w:rsid w:val="003E25C5"/>
    <w:rsid w:val="003E7821"/>
    <w:rsid w:val="003F0EAC"/>
    <w:rsid w:val="003F1908"/>
    <w:rsid w:val="00403131"/>
    <w:rsid w:val="004377C9"/>
    <w:rsid w:val="004407F7"/>
    <w:rsid w:val="00442A9D"/>
    <w:rsid w:val="00444AC0"/>
    <w:rsid w:val="0048451F"/>
    <w:rsid w:val="00485697"/>
    <w:rsid w:val="00486DAF"/>
    <w:rsid w:val="00490694"/>
    <w:rsid w:val="004C33F1"/>
    <w:rsid w:val="004C6779"/>
    <w:rsid w:val="004D2196"/>
    <w:rsid w:val="004D4931"/>
    <w:rsid w:val="004E3185"/>
    <w:rsid w:val="005018E1"/>
    <w:rsid w:val="00516B10"/>
    <w:rsid w:val="00517556"/>
    <w:rsid w:val="00520378"/>
    <w:rsid w:val="00521668"/>
    <w:rsid w:val="005224BC"/>
    <w:rsid w:val="00523A60"/>
    <w:rsid w:val="00534158"/>
    <w:rsid w:val="005342F8"/>
    <w:rsid w:val="00534EE6"/>
    <w:rsid w:val="0057045B"/>
    <w:rsid w:val="005722C4"/>
    <w:rsid w:val="00572D53"/>
    <w:rsid w:val="005808BE"/>
    <w:rsid w:val="00585BEB"/>
    <w:rsid w:val="0058654C"/>
    <w:rsid w:val="00586C6E"/>
    <w:rsid w:val="00591582"/>
    <w:rsid w:val="005C0C30"/>
    <w:rsid w:val="005C5822"/>
    <w:rsid w:val="005D2FA8"/>
    <w:rsid w:val="005E1E4B"/>
    <w:rsid w:val="00604346"/>
    <w:rsid w:val="00624385"/>
    <w:rsid w:val="00624F76"/>
    <w:rsid w:val="00630F8E"/>
    <w:rsid w:val="006352C2"/>
    <w:rsid w:val="006462F1"/>
    <w:rsid w:val="00646A4F"/>
    <w:rsid w:val="00650EB1"/>
    <w:rsid w:val="0065124F"/>
    <w:rsid w:val="00663E5B"/>
    <w:rsid w:val="0067678C"/>
    <w:rsid w:val="00676C56"/>
    <w:rsid w:val="006866F0"/>
    <w:rsid w:val="00687268"/>
    <w:rsid w:val="00693D60"/>
    <w:rsid w:val="006B5551"/>
    <w:rsid w:val="006F0A3D"/>
    <w:rsid w:val="006F0E1D"/>
    <w:rsid w:val="006F3493"/>
    <w:rsid w:val="00707DA0"/>
    <w:rsid w:val="00710A08"/>
    <w:rsid w:val="00711382"/>
    <w:rsid w:val="00722CDA"/>
    <w:rsid w:val="00724D6A"/>
    <w:rsid w:val="00725969"/>
    <w:rsid w:val="00730B66"/>
    <w:rsid w:val="00734125"/>
    <w:rsid w:val="00750388"/>
    <w:rsid w:val="0076011C"/>
    <w:rsid w:val="00762F82"/>
    <w:rsid w:val="00767BC1"/>
    <w:rsid w:val="00770B87"/>
    <w:rsid w:val="007807AE"/>
    <w:rsid w:val="007A016E"/>
    <w:rsid w:val="007B6549"/>
    <w:rsid w:val="007C3888"/>
    <w:rsid w:val="007D1DE2"/>
    <w:rsid w:val="007D1FA8"/>
    <w:rsid w:val="007E3A7F"/>
    <w:rsid w:val="00800511"/>
    <w:rsid w:val="00801964"/>
    <w:rsid w:val="008121C5"/>
    <w:rsid w:val="00823E64"/>
    <w:rsid w:val="00825666"/>
    <w:rsid w:val="00833A1C"/>
    <w:rsid w:val="008415CB"/>
    <w:rsid w:val="00853313"/>
    <w:rsid w:val="00860546"/>
    <w:rsid w:val="008632C7"/>
    <w:rsid w:val="008679E5"/>
    <w:rsid w:val="0087766C"/>
    <w:rsid w:val="00882928"/>
    <w:rsid w:val="008864DF"/>
    <w:rsid w:val="008A597E"/>
    <w:rsid w:val="008B0DDF"/>
    <w:rsid w:val="008B2D05"/>
    <w:rsid w:val="008C6872"/>
    <w:rsid w:val="008C715E"/>
    <w:rsid w:val="008E55D3"/>
    <w:rsid w:val="008E76B3"/>
    <w:rsid w:val="008F0466"/>
    <w:rsid w:val="00904883"/>
    <w:rsid w:val="00906F0B"/>
    <w:rsid w:val="0092599C"/>
    <w:rsid w:val="00925C22"/>
    <w:rsid w:val="00934475"/>
    <w:rsid w:val="00935351"/>
    <w:rsid w:val="00936546"/>
    <w:rsid w:val="009446EA"/>
    <w:rsid w:val="00947487"/>
    <w:rsid w:val="00964C15"/>
    <w:rsid w:val="00981F17"/>
    <w:rsid w:val="009A49D0"/>
    <w:rsid w:val="009B1FF5"/>
    <w:rsid w:val="009D5982"/>
    <w:rsid w:val="009E4EFD"/>
    <w:rsid w:val="009F68DF"/>
    <w:rsid w:val="00A02FA9"/>
    <w:rsid w:val="00A376BF"/>
    <w:rsid w:val="00A567ED"/>
    <w:rsid w:val="00A617CC"/>
    <w:rsid w:val="00A61A6B"/>
    <w:rsid w:val="00A62741"/>
    <w:rsid w:val="00A66A9B"/>
    <w:rsid w:val="00A75FA1"/>
    <w:rsid w:val="00A82108"/>
    <w:rsid w:val="00A83742"/>
    <w:rsid w:val="00A873BD"/>
    <w:rsid w:val="00AA11C4"/>
    <w:rsid w:val="00AA2AB1"/>
    <w:rsid w:val="00AA4A81"/>
    <w:rsid w:val="00AC0915"/>
    <w:rsid w:val="00AC5C38"/>
    <w:rsid w:val="00AC5EC2"/>
    <w:rsid w:val="00AD0053"/>
    <w:rsid w:val="00AD4C05"/>
    <w:rsid w:val="00AD657A"/>
    <w:rsid w:val="00AD7841"/>
    <w:rsid w:val="00AE2CB1"/>
    <w:rsid w:val="00AE5B10"/>
    <w:rsid w:val="00AF5C09"/>
    <w:rsid w:val="00B000BD"/>
    <w:rsid w:val="00B043FC"/>
    <w:rsid w:val="00B1388D"/>
    <w:rsid w:val="00B17FAC"/>
    <w:rsid w:val="00B316E2"/>
    <w:rsid w:val="00B4317C"/>
    <w:rsid w:val="00B469E9"/>
    <w:rsid w:val="00B47F67"/>
    <w:rsid w:val="00B60328"/>
    <w:rsid w:val="00B71FB2"/>
    <w:rsid w:val="00B76D58"/>
    <w:rsid w:val="00B86973"/>
    <w:rsid w:val="00B957D9"/>
    <w:rsid w:val="00BA25B6"/>
    <w:rsid w:val="00BA727F"/>
    <w:rsid w:val="00BB3F9D"/>
    <w:rsid w:val="00BB5F12"/>
    <w:rsid w:val="00BD03D1"/>
    <w:rsid w:val="00BD4182"/>
    <w:rsid w:val="00BE3B96"/>
    <w:rsid w:val="00BF5784"/>
    <w:rsid w:val="00C01AFA"/>
    <w:rsid w:val="00C0731C"/>
    <w:rsid w:val="00C409F5"/>
    <w:rsid w:val="00C7584B"/>
    <w:rsid w:val="00C75A19"/>
    <w:rsid w:val="00C77A3B"/>
    <w:rsid w:val="00C77C9F"/>
    <w:rsid w:val="00C82419"/>
    <w:rsid w:val="00C867B4"/>
    <w:rsid w:val="00C945FA"/>
    <w:rsid w:val="00C95D10"/>
    <w:rsid w:val="00CA04E0"/>
    <w:rsid w:val="00CA1914"/>
    <w:rsid w:val="00CE4069"/>
    <w:rsid w:val="00CE78E5"/>
    <w:rsid w:val="00CF09F3"/>
    <w:rsid w:val="00D1373B"/>
    <w:rsid w:val="00D30A90"/>
    <w:rsid w:val="00D3441F"/>
    <w:rsid w:val="00D60706"/>
    <w:rsid w:val="00D631DC"/>
    <w:rsid w:val="00D73544"/>
    <w:rsid w:val="00D7731F"/>
    <w:rsid w:val="00DA616E"/>
    <w:rsid w:val="00DE113F"/>
    <w:rsid w:val="00E135D8"/>
    <w:rsid w:val="00E1513B"/>
    <w:rsid w:val="00E17825"/>
    <w:rsid w:val="00E26EAF"/>
    <w:rsid w:val="00E463E7"/>
    <w:rsid w:val="00E47A62"/>
    <w:rsid w:val="00E50F59"/>
    <w:rsid w:val="00E53EF6"/>
    <w:rsid w:val="00E63D84"/>
    <w:rsid w:val="00E67321"/>
    <w:rsid w:val="00EA03C3"/>
    <w:rsid w:val="00EC31D3"/>
    <w:rsid w:val="00EC4E84"/>
    <w:rsid w:val="00ED1FAA"/>
    <w:rsid w:val="00ED5414"/>
    <w:rsid w:val="00EE0DEE"/>
    <w:rsid w:val="00EE2BE4"/>
    <w:rsid w:val="00EF65B6"/>
    <w:rsid w:val="00EF7089"/>
    <w:rsid w:val="00F022F6"/>
    <w:rsid w:val="00F03444"/>
    <w:rsid w:val="00F0381D"/>
    <w:rsid w:val="00F252D3"/>
    <w:rsid w:val="00F42598"/>
    <w:rsid w:val="00F45945"/>
    <w:rsid w:val="00F61466"/>
    <w:rsid w:val="00F73CD1"/>
    <w:rsid w:val="00F93DEA"/>
    <w:rsid w:val="00F96BC4"/>
    <w:rsid w:val="00FA392D"/>
    <w:rsid w:val="00FB0739"/>
    <w:rsid w:val="00FC6A0A"/>
    <w:rsid w:val="00FD3218"/>
    <w:rsid w:val="00FE0375"/>
    <w:rsid w:val="00FE7913"/>
    <w:rsid w:val="00FF4B99"/>
    <w:rsid w:val="070B300A"/>
    <w:rsid w:val="24751211"/>
    <w:rsid w:val="27245DEB"/>
    <w:rsid w:val="27E201A6"/>
    <w:rsid w:val="2E6555A8"/>
    <w:rsid w:val="318F6462"/>
    <w:rsid w:val="33E05F76"/>
    <w:rsid w:val="37037147"/>
    <w:rsid w:val="37E0310E"/>
    <w:rsid w:val="3F5B1292"/>
    <w:rsid w:val="42073DF3"/>
    <w:rsid w:val="50FD64ED"/>
    <w:rsid w:val="555D428C"/>
    <w:rsid w:val="5D69432F"/>
    <w:rsid w:val="622822D3"/>
    <w:rsid w:val="6BC64EB7"/>
    <w:rsid w:val="7E1D6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eastAsia="宋体" w:asciiTheme="minorHAnsi" w:hAnsiTheme="minorHAnsi" w:cstheme="minorBidi"/>
      <w:kern w:val="2"/>
      <w:sz w:val="28"/>
      <w:szCs w:val="24"/>
      <w:lang w:val="en-US" w:eastAsia="zh-CN" w:bidi="ar-SA"/>
    </w:rPr>
  </w:style>
  <w:style w:type="paragraph" w:styleId="2">
    <w:name w:val="heading 1"/>
    <w:basedOn w:val="1"/>
    <w:next w:val="1"/>
    <w:link w:val="18"/>
    <w:autoRedefine/>
    <w:qFormat/>
    <w:uiPriority w:val="9"/>
    <w:pPr>
      <w:widowControl/>
      <w:spacing w:before="100" w:beforeAutospacing="1" w:after="100" w:afterAutospacing="1" w:line="240" w:lineRule="auto"/>
      <w:jc w:val="left"/>
      <w:outlineLvl w:val="0"/>
    </w:pPr>
    <w:rPr>
      <w:rFonts w:ascii="宋体" w:hAnsi="宋体" w:cs="宋体"/>
      <w:b/>
      <w:bCs/>
      <w:kern w:val="36"/>
      <w:sz w:val="48"/>
      <w:szCs w:val="48"/>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17"/>
    <w:autoRedefine/>
    <w:qFormat/>
    <w:uiPriority w:val="0"/>
    <w:pPr>
      <w:spacing w:line="240" w:lineRule="auto"/>
      <w:ind w:left="810"/>
    </w:pPr>
    <w:rPr>
      <w:rFonts w:ascii="仿宋_GB2312" w:hAnsi="Times New Roman" w:eastAsia="仿宋_GB2312" w:cs="Times New Roman"/>
      <w:sz w:val="32"/>
    </w:rPr>
  </w:style>
  <w:style w:type="paragraph" w:styleId="4">
    <w:name w:val="toc 3"/>
    <w:basedOn w:val="1"/>
    <w:next w:val="1"/>
    <w:autoRedefine/>
    <w:unhideWhenUsed/>
    <w:qFormat/>
    <w:uiPriority w:val="39"/>
    <w:pPr>
      <w:ind w:left="840" w:leftChars="400"/>
    </w:p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qFormat/>
    <w:uiPriority w:val="39"/>
  </w:style>
  <w:style w:type="paragraph" w:styleId="8">
    <w:name w:val="toc 2"/>
    <w:basedOn w:val="1"/>
    <w:next w:val="1"/>
    <w:autoRedefine/>
    <w:unhideWhenUsed/>
    <w:qFormat/>
    <w:uiPriority w:val="39"/>
    <w:pPr>
      <w:ind w:left="420" w:leftChars="200"/>
    </w:pPr>
  </w:style>
  <w:style w:type="paragraph" w:styleId="9">
    <w:name w:val="Normal (Web)"/>
    <w:basedOn w:val="1"/>
    <w:autoRedefine/>
    <w:unhideWhenUsed/>
    <w:qFormat/>
    <w:uiPriority w:val="99"/>
    <w:pPr>
      <w:widowControl/>
      <w:spacing w:before="100" w:beforeAutospacing="1" w:after="100" w:afterAutospacing="1" w:line="240" w:lineRule="auto"/>
      <w:jc w:val="left"/>
    </w:pPr>
    <w:rPr>
      <w:rFonts w:ascii="宋体" w:hAnsi="宋体" w:cs="宋体"/>
      <w:kern w:val="0"/>
      <w:sz w:val="24"/>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autoRedefine/>
    <w:qFormat/>
    <w:uiPriority w:val="99"/>
    <w:rPr>
      <w:sz w:val="18"/>
      <w:szCs w:val="18"/>
    </w:rPr>
  </w:style>
  <w:style w:type="character" w:customStyle="1" w:styleId="15">
    <w:name w:val="NormalCharacter"/>
    <w:autoRedefine/>
    <w:semiHidden/>
    <w:qFormat/>
    <w:uiPriority w:val="0"/>
  </w:style>
  <w:style w:type="paragraph" w:styleId="16">
    <w:name w:val="List Paragraph"/>
    <w:basedOn w:val="1"/>
    <w:autoRedefine/>
    <w:qFormat/>
    <w:uiPriority w:val="34"/>
    <w:pPr>
      <w:ind w:firstLine="420" w:firstLineChars="200"/>
    </w:pPr>
  </w:style>
  <w:style w:type="character" w:customStyle="1" w:styleId="17">
    <w:name w:val="正文文本缩进 字符"/>
    <w:basedOn w:val="11"/>
    <w:link w:val="3"/>
    <w:qFormat/>
    <w:uiPriority w:val="0"/>
    <w:rPr>
      <w:rFonts w:ascii="仿宋_GB2312" w:hAnsi="Times New Roman" w:eastAsia="仿宋_GB2312" w:cs="Times New Roman"/>
      <w:sz w:val="32"/>
      <w:szCs w:val="24"/>
    </w:rPr>
  </w:style>
  <w:style w:type="character" w:customStyle="1" w:styleId="18">
    <w:name w:val="标题 1 字符"/>
    <w:basedOn w:val="11"/>
    <w:link w:val="2"/>
    <w:autoRedefine/>
    <w:qFormat/>
    <w:uiPriority w:val="9"/>
    <w:rPr>
      <w:rFonts w:ascii="宋体" w:hAnsi="宋体" w:eastAsia="宋体" w:cs="宋体"/>
      <w:b/>
      <w:bCs/>
      <w:kern w:val="36"/>
      <w:sz w:val="48"/>
      <w:szCs w:val="48"/>
    </w:rPr>
  </w:style>
  <w:style w:type="paragraph" w:customStyle="1" w:styleId="19">
    <w:name w:val="TOC 标题1"/>
    <w:basedOn w:val="2"/>
    <w:next w:val="1"/>
    <w:autoRedefine/>
    <w:unhideWhenUsed/>
    <w:qFormat/>
    <w:uiPriority w:val="39"/>
    <w:pPr>
      <w:keepNext/>
      <w:keepLines/>
      <w:spacing w:before="240" w:beforeAutospacing="0" w:after="0" w:afterAutospacing="0" w:line="259" w:lineRule="auto"/>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font11"/>
    <w:basedOn w:val="11"/>
    <w:autoRedefine/>
    <w:qFormat/>
    <w:uiPriority w:val="0"/>
    <w:rPr>
      <w:rFonts w:hint="eastAsia" w:ascii="仿宋" w:hAnsi="仿宋" w:eastAsia="仿宋" w:cs="仿宋"/>
      <w:b/>
      <w:bCs/>
      <w:color w:val="000000"/>
      <w:sz w:val="18"/>
      <w:szCs w:val="18"/>
      <w:u w:val="none"/>
    </w:rPr>
  </w:style>
  <w:style w:type="character" w:customStyle="1" w:styleId="21">
    <w:name w:val="font31"/>
    <w:basedOn w:val="11"/>
    <w:autoRedefine/>
    <w:qFormat/>
    <w:uiPriority w:val="0"/>
    <w:rPr>
      <w:rFonts w:hint="default" w:ascii="Times New Roman" w:hAnsi="Times New Roman" w:cs="Times New Roman"/>
      <w:b/>
      <w:bCs/>
      <w:color w:val="000000"/>
      <w:sz w:val="18"/>
      <w:szCs w:val="18"/>
      <w:u w:val="none"/>
    </w:rPr>
  </w:style>
  <w:style w:type="character" w:customStyle="1" w:styleId="22">
    <w:name w:val="font21"/>
    <w:basedOn w:val="11"/>
    <w:qFormat/>
    <w:uiPriority w:val="0"/>
    <w:rPr>
      <w:rFonts w:hint="eastAsia" w:ascii="仿宋" w:hAnsi="仿宋" w:eastAsia="仿宋" w:cs="仿宋"/>
      <w:color w:val="000000"/>
      <w:sz w:val="18"/>
      <w:szCs w:val="18"/>
      <w:u w:val="none"/>
    </w:rPr>
  </w:style>
  <w:style w:type="character" w:customStyle="1" w:styleId="23">
    <w:name w:val="font41"/>
    <w:basedOn w:val="11"/>
    <w:autoRedefine/>
    <w:qFormat/>
    <w:uiPriority w:val="0"/>
    <w:rPr>
      <w:rFonts w:hint="default" w:ascii="Times New Roman" w:hAnsi="Times New Roman" w:cs="Times New Roman"/>
      <w:color w:val="000000"/>
      <w:sz w:val="18"/>
      <w:szCs w:val="18"/>
      <w:u w:val="none"/>
    </w:rPr>
  </w:style>
  <w:style w:type="character" w:customStyle="1" w:styleId="24">
    <w:name w:val="font51"/>
    <w:basedOn w:val="11"/>
    <w:autoRedefine/>
    <w:qFormat/>
    <w:uiPriority w:val="0"/>
    <w:rPr>
      <w:rFonts w:hint="default" w:ascii="Times New Roman" w:hAnsi="Times New Roman" w:cs="Times New Roman"/>
      <w:b/>
      <w:bCs/>
      <w:color w:val="000000"/>
      <w:sz w:val="18"/>
      <w:szCs w:val="18"/>
      <w:u w:val="none"/>
    </w:rPr>
  </w:style>
  <w:style w:type="character" w:customStyle="1" w:styleId="25">
    <w:name w:val="font61"/>
    <w:basedOn w:val="11"/>
    <w:autoRedefine/>
    <w:qFormat/>
    <w:uiPriority w:val="0"/>
    <w:rPr>
      <w:rFonts w:hint="default" w:ascii="Times New Roman" w:hAnsi="Times New Roman" w:cs="Times New Roman"/>
      <w:b/>
      <w:b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8B635-0C58-4B4F-B670-D60595BDB78C}">
  <ds:schemaRefs/>
</ds:datastoreItem>
</file>

<file path=docProps/app.xml><?xml version="1.0" encoding="utf-8"?>
<Properties xmlns="http://schemas.openxmlformats.org/officeDocument/2006/extended-properties" xmlns:vt="http://schemas.openxmlformats.org/officeDocument/2006/docPropsVTypes">
  <Template>Normal</Template>
  <Pages>37</Pages>
  <Words>3161</Words>
  <Characters>18024</Characters>
  <Lines>150</Lines>
  <Paragraphs>42</Paragraphs>
  <TotalTime>0</TotalTime>
  <ScaleCrop>false</ScaleCrop>
  <LinksUpToDate>false</LinksUpToDate>
  <CharactersWithSpaces>21143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2023-12-14T12:24:00Z</dcterms:created>
  <dc:creator>苏 晓</dc:creator>
  <cp:lastModifiedBy>七十八</cp:lastModifiedBy>
  <cp:lastPrinted>2023-12-14T12:59:00Z</cp:lastPrinted>
  <dcterms:modified xsi:type="dcterms:W3CDTF">2024-02-07T14:20:32Z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097E88E37AF54F6496B7C3AD7978A455_13</vt:lpwstr>
  </property>
</Properties>
</file>