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Times New Roman" w:hAnsi="Times New Roman" w:cs="Times New Roman"/>
          <w:sz w:val="21"/>
        </w:rPr>
      </w:pPr>
      <w:bookmarkStart w:id="0" w:name="_Hlk123500218"/>
      <w:r>
        <w:rPr>
          <w:rFonts w:hint="eastAsia" w:ascii="Times New Roman" w:hAnsi="Times New Roman" w:cs="Times New Roman"/>
          <w:sz w:val="21"/>
        </w:rPr>
        <w:t xml:space="preserve"> </w:t>
      </w: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jc w:val="center"/>
        <w:rPr>
          <w:rFonts w:ascii="Times New Roman" w:hAnsi="Times New Roman" w:cs="Times New Roman"/>
          <w:b/>
          <w:bCs/>
          <w:sz w:val="44"/>
          <w:szCs w:val="44"/>
        </w:rPr>
      </w:pPr>
      <w:r>
        <w:rPr>
          <w:rFonts w:hint="eastAsia" w:ascii="Times New Roman" w:hAnsi="Times New Roman" w:cs="Times New Roman"/>
          <w:b/>
          <w:bCs/>
          <w:sz w:val="44"/>
          <w:szCs w:val="44"/>
        </w:rPr>
        <w:t>福建省惠安县</w:t>
      </w:r>
      <w:r>
        <w:rPr>
          <w:rFonts w:ascii="Times New Roman" w:hAnsi="Times New Roman" w:cs="Times New Roman"/>
          <w:b/>
          <w:bCs/>
          <w:sz w:val="44"/>
          <w:szCs w:val="44"/>
        </w:rPr>
        <w:t>2021</w:t>
      </w:r>
      <w:r>
        <w:rPr>
          <w:rFonts w:ascii="Times New Roman" w:hAnsi="Times New Roman" w:cs="Times New Roman"/>
          <w:sz w:val="44"/>
          <w:szCs w:val="44"/>
        </w:rPr>
        <w:t>-</w:t>
      </w:r>
      <w:r>
        <w:rPr>
          <w:rFonts w:ascii="Times New Roman" w:hAnsi="Times New Roman" w:cs="Times New Roman"/>
          <w:b/>
          <w:bCs/>
          <w:sz w:val="44"/>
          <w:szCs w:val="44"/>
        </w:rPr>
        <w:t>2022年</w:t>
      </w:r>
      <w:r>
        <w:rPr>
          <w:rFonts w:hint="eastAsia" w:ascii="Times New Roman" w:hAnsi="Times New Roman" w:cs="Times New Roman"/>
          <w:b/>
          <w:bCs/>
          <w:sz w:val="44"/>
          <w:szCs w:val="44"/>
        </w:rPr>
        <w:t>度</w:t>
      </w:r>
    </w:p>
    <w:p>
      <w:pPr>
        <w:jc w:val="center"/>
        <w:rPr>
          <w:rFonts w:ascii="Times New Roman" w:hAnsi="Times New Roman" w:cs="Times New Roman"/>
          <w:b/>
          <w:bCs/>
          <w:sz w:val="44"/>
          <w:szCs w:val="44"/>
        </w:rPr>
      </w:pPr>
      <w:r>
        <w:rPr>
          <w:rFonts w:hint="eastAsia" w:ascii="Times New Roman" w:hAnsi="Times New Roman" w:cs="Times New Roman"/>
          <w:b/>
          <w:bCs/>
          <w:sz w:val="44"/>
          <w:szCs w:val="44"/>
        </w:rPr>
        <w:t>困难群众救助补助专项资金</w:t>
      </w:r>
    </w:p>
    <w:p>
      <w:pPr>
        <w:jc w:val="center"/>
        <w:rPr>
          <w:rFonts w:ascii="Times New Roman" w:hAnsi="Times New Roman" w:cs="Times New Roman"/>
          <w:b/>
          <w:bCs/>
          <w:sz w:val="44"/>
          <w:szCs w:val="44"/>
        </w:rPr>
      </w:pPr>
      <w:r>
        <w:rPr>
          <w:rFonts w:hint="eastAsia" w:ascii="Times New Roman" w:hAnsi="Times New Roman" w:cs="Times New Roman"/>
          <w:b/>
          <w:bCs/>
          <w:sz w:val="44"/>
          <w:szCs w:val="44"/>
        </w:rPr>
        <w:t>重点</w:t>
      </w:r>
      <w:r>
        <w:rPr>
          <w:rFonts w:ascii="Times New Roman" w:hAnsi="Times New Roman" w:cs="Times New Roman"/>
          <w:b/>
          <w:bCs/>
          <w:sz w:val="44"/>
          <w:szCs w:val="44"/>
        </w:rPr>
        <w:t>绩效评价报告</w:t>
      </w: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jc w:val="center"/>
        <w:rPr>
          <w:rFonts w:ascii="Times New Roman" w:hAnsi="Times New Roman" w:cs="Times New Roman"/>
          <w:sz w:val="32"/>
          <w:szCs w:val="40"/>
        </w:rPr>
      </w:pPr>
    </w:p>
    <w:p>
      <w:pPr>
        <w:spacing w:line="240" w:lineRule="auto"/>
        <w:jc w:val="center"/>
        <w:rPr>
          <w:rFonts w:ascii="Times New Roman" w:hAnsi="Times New Roman" w:cs="Times New Roman"/>
          <w:sz w:val="32"/>
          <w:szCs w:val="40"/>
        </w:rPr>
      </w:pPr>
    </w:p>
    <w:p>
      <w:pPr>
        <w:spacing w:line="240" w:lineRule="auto"/>
        <w:jc w:val="center"/>
        <w:rPr>
          <w:rFonts w:ascii="Times New Roman" w:hAnsi="Times New Roman" w:cs="楷体"/>
          <w:bCs/>
          <w:sz w:val="32"/>
          <w:szCs w:val="32"/>
        </w:rPr>
      </w:pPr>
      <w:r>
        <w:rPr>
          <w:rFonts w:hint="eastAsia" w:ascii="Times New Roman" w:hAnsi="Times New Roman" w:cs="楷体"/>
          <w:bCs/>
          <w:sz w:val="32"/>
          <w:szCs w:val="32"/>
        </w:rPr>
        <w:t>福州市韦兰信息科技有限公司</w:t>
      </w:r>
    </w:p>
    <w:p>
      <w:pPr>
        <w:spacing w:line="240" w:lineRule="auto"/>
        <w:jc w:val="center"/>
        <w:rPr>
          <w:rFonts w:ascii="Times New Roman" w:hAnsi="Times New Roman" w:cs="楷体"/>
          <w:bCs/>
          <w:sz w:val="32"/>
          <w:szCs w:val="32"/>
        </w:rPr>
      </w:pPr>
      <w:r>
        <w:rPr>
          <w:rFonts w:hint="eastAsia" w:ascii="Times New Roman" w:hAnsi="Times New Roman" w:cs="楷体"/>
          <w:bCs/>
          <w:sz w:val="32"/>
          <w:szCs w:val="32"/>
        </w:rPr>
        <w:t>2023年11月</w:t>
      </w:r>
    </w:p>
    <w:p>
      <w:pPr>
        <w:adjustRightInd w:val="0"/>
        <w:snapToGrid w:val="0"/>
        <w:rPr>
          <w:rFonts w:ascii="Times New Roman" w:hAnsi="Times New Roman" w:cs="Times New Roman"/>
          <w:sz w:val="24"/>
        </w:rPr>
      </w:pPr>
    </w:p>
    <w:p>
      <w:pPr>
        <w:adjustRightInd w:val="0"/>
        <w:snapToGrid w:val="0"/>
        <w:rPr>
          <w:rFonts w:ascii="Times New Roman" w:hAnsi="Times New Roman" w:cs="Times New Roman"/>
          <w:sz w:val="24"/>
        </w:rPr>
      </w:pPr>
    </w:p>
    <w:p>
      <w:pPr>
        <w:adjustRightInd w:val="0"/>
        <w:snapToGrid w:val="0"/>
        <w:rPr>
          <w:rFonts w:ascii="Times New Roman" w:hAnsi="Times New Roman" w:cs="Times New Roman"/>
          <w:sz w:val="24"/>
        </w:rPr>
      </w:pPr>
    </w:p>
    <w:p>
      <w:pPr>
        <w:adjustRightInd w:val="0"/>
        <w:snapToGrid w:val="0"/>
        <w:rPr>
          <w:rFonts w:ascii="Times New Roman" w:hAnsi="Times New Roman" w:cs="Times New Roman"/>
          <w:sz w:val="24"/>
        </w:rPr>
        <w:sectPr>
          <w:headerReference r:id="rId5" w:type="default"/>
          <w:footerReference r:id="rId6" w:type="default"/>
          <w:pgSz w:w="11906" w:h="16838"/>
          <w:pgMar w:top="1440" w:right="1800" w:bottom="1440" w:left="1800" w:header="851" w:footer="992" w:gutter="0"/>
          <w:pgNumType w:fmt="upperRoman" w:start="1"/>
          <w:cols w:space="425" w:num="1"/>
          <w:docGrid w:type="lines" w:linePitch="312" w:charSpace="0"/>
        </w:sectPr>
      </w:pPr>
      <w:r>
        <w:rPr>
          <w:rFonts w:ascii="Times New Roman" w:hAnsi="Times New Roman" w:cs="Times New Roman"/>
          <w:sz w:val="24"/>
        </w:rPr>
        <w:br w:type="page"/>
      </w:r>
    </w:p>
    <w:p>
      <w:pPr>
        <w:adjustRightInd w:val="0"/>
        <w:snapToGrid w:val="0"/>
        <w:rPr>
          <w:rFonts w:ascii="Times New Roman" w:hAnsi="Times New Roman" w:cs="Times New Roman"/>
          <w:sz w:val="20"/>
          <w:szCs w:val="20"/>
        </w:rPr>
        <w:sectPr>
          <w:pgSz w:w="11906" w:h="16838"/>
          <w:pgMar w:top="1440" w:right="1800" w:bottom="1440" w:left="1800" w:header="851" w:footer="992" w:gutter="0"/>
          <w:pgNumType w:fmt="upperRoman" w:start="1"/>
          <w:cols w:space="425" w:num="1"/>
          <w:docGrid w:type="lines" w:linePitch="312" w:charSpace="0"/>
        </w:sectPr>
      </w:pPr>
    </w:p>
    <w:p>
      <w:pPr>
        <w:adjustRightInd w:val="0"/>
        <w:snapToGrid w:val="0"/>
        <w:rPr>
          <w:rFonts w:ascii="Times New Roman" w:hAnsi="Times New Roman" w:cs="Times New Roman"/>
          <w:sz w:val="20"/>
          <w:szCs w:val="20"/>
        </w:rPr>
      </w:pPr>
      <w:bookmarkStart w:id="111" w:name="_GoBack"/>
      <w:bookmarkEnd w:id="111"/>
      <w:r>
        <w:rPr>
          <w:rFonts w:ascii="Times New Roman" w:hAnsi="Times New Roman" w:cs="Times New Roman"/>
          <w:sz w:val="20"/>
          <w:szCs w:val="20"/>
        </w:rPr>
        <w:t xml:space="preserve">                          </w:t>
      </w:r>
    </w:p>
    <w:p>
      <w:pPr>
        <w:adjustRightInd w:val="0"/>
        <w:snapToGrid w:val="0"/>
        <w:rPr>
          <w:rFonts w:ascii="Times New Roman" w:hAnsi="Times New Roman" w:cs="Times New Roman"/>
          <w:sz w:val="20"/>
          <w:szCs w:val="20"/>
        </w:rPr>
      </w:pPr>
    </w:p>
    <w:p>
      <w:pPr>
        <w:adjustRightInd w:val="0"/>
        <w:snapToGrid w:val="0"/>
        <w:rPr>
          <w:rFonts w:ascii="Times New Roman" w:hAnsi="Times New Roman" w:cs="Times New Roman"/>
          <w:b/>
          <w:sz w:val="36"/>
          <w:szCs w:val="36"/>
        </w:rPr>
      </w:pPr>
      <w:r>
        <w:rPr>
          <w:rFonts w:ascii="Times New Roman" w:hAnsi="Times New Roman" w:cs="Times New Roman"/>
          <w:sz w:val="20"/>
          <w:szCs w:val="20"/>
        </w:rPr>
        <w:t xml:space="preserve">                       </w:t>
      </w:r>
      <w:r>
        <w:rPr>
          <w:rFonts w:hint="eastAsia" w:ascii="Times New Roman" w:hAnsi="Times New Roman" w:cs="Times New Roman"/>
          <w:sz w:val="20"/>
          <w:szCs w:val="20"/>
        </w:rPr>
        <w:t xml:space="preserve">  </w:t>
      </w:r>
    </w:p>
    <w:p>
      <w:pPr>
        <w:adjustRightInd w:val="0"/>
        <w:snapToGrid w:val="0"/>
        <w:jc w:val="left"/>
        <w:rPr>
          <w:rFonts w:ascii="Times New Roman" w:hAnsi="Times New Roman" w:cs="宋体"/>
          <w:sz w:val="24"/>
        </w:rPr>
      </w:pPr>
      <w:r>
        <w:rPr>
          <w:rFonts w:ascii="Times New Roman" w:hAnsi="Times New Roman" w:cs="宋体"/>
          <w:sz w:val="24"/>
        </w:rPr>
        <w:drawing>
          <wp:inline distT="0" distB="0" distL="114300" distR="114300">
            <wp:extent cx="38100" cy="76200"/>
            <wp:effectExtent l="0" t="0" r="0" b="0"/>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9"/>
                    <a:stretch>
                      <a:fillRect/>
                    </a:stretch>
                  </pic:blipFill>
                  <pic:spPr>
                    <a:xfrm>
                      <a:off x="0" y="0"/>
                      <a:ext cx="38100" cy="76200"/>
                    </a:xfrm>
                    <a:prstGeom prst="rect">
                      <a:avLst/>
                    </a:prstGeom>
                    <a:noFill/>
                    <a:ln w="9525">
                      <a:noFill/>
                    </a:ln>
                  </pic:spPr>
                </pic:pic>
              </a:graphicData>
            </a:graphic>
          </wp:inline>
        </w:drawing>
      </w:r>
      <w:r>
        <w:rPr>
          <w:rFonts w:ascii="Times New Roman" w:hAnsi="Times New Roman" w:cs="宋体"/>
          <w:sz w:val="24"/>
        </w:rPr>
        <w:drawing>
          <wp:inline distT="0" distB="0" distL="114300" distR="114300">
            <wp:extent cx="38100" cy="76200"/>
            <wp:effectExtent l="0" t="0" r="0" b="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9"/>
                    <a:stretch>
                      <a:fillRect/>
                    </a:stretch>
                  </pic:blipFill>
                  <pic:spPr>
                    <a:xfrm>
                      <a:off x="0" y="0"/>
                      <a:ext cx="38100" cy="76200"/>
                    </a:xfrm>
                    <a:prstGeom prst="rect">
                      <a:avLst/>
                    </a:prstGeom>
                    <a:noFill/>
                    <a:ln w="9525">
                      <a:noFill/>
                    </a:ln>
                  </pic:spPr>
                </pic:pic>
              </a:graphicData>
            </a:graphic>
          </wp:inline>
        </w:drawing>
      </w:r>
    </w:p>
    <w:p>
      <w:pPr>
        <w:adjustRightInd w:val="0"/>
        <w:snapToGrid w:val="0"/>
        <w:jc w:val="left"/>
        <w:rPr>
          <w:rFonts w:ascii="Times New Roman" w:hAnsi="Times New Roman" w:cs="宋体"/>
          <w:sz w:val="24"/>
        </w:rPr>
      </w:pPr>
    </w:p>
    <w:p>
      <w:pPr>
        <w:adjustRightInd w:val="0"/>
        <w:snapToGrid w:val="0"/>
        <w:ind w:firstLine="1400" w:firstLineChars="500"/>
        <w:jc w:val="left"/>
        <w:rPr>
          <w:rFonts w:ascii="Times New Roman" w:hAnsi="Times New Roman" w:cs="华光楷体一_CNKI"/>
          <w:bCs/>
          <w:color w:val="000000" w:themeColor="text1"/>
          <w:szCs w:val="28"/>
          <w14:textFill>
            <w14:solidFill>
              <w14:schemeClr w14:val="tx1"/>
            </w14:solidFill>
          </w14:textFill>
        </w:rPr>
      </w:pPr>
      <w:r>
        <w:rPr>
          <w:rFonts w:hint="eastAsia" w:ascii="Times New Roman" w:hAnsi="Times New Roman" w:cs="华光楷体一_CNKI"/>
          <w:bCs/>
          <w:color w:val="000000" w:themeColor="text1"/>
          <w:szCs w:val="28"/>
          <w14:textFill>
            <w14:solidFill>
              <w14:schemeClr w14:val="tx1"/>
            </w14:solidFill>
          </w14:textFill>
        </w:rPr>
        <w:drawing>
          <wp:inline distT="0" distB="0" distL="114300" distR="114300">
            <wp:extent cx="922020" cy="854710"/>
            <wp:effectExtent l="0" t="0" r="5080" b="8890"/>
            <wp:docPr id="3" name="图片 3" descr="1701352455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01352455002"/>
                    <pic:cNvPicPr>
                      <a:picLocks noChangeAspect="1"/>
                    </pic:cNvPicPr>
                  </pic:nvPicPr>
                  <pic:blipFill>
                    <a:blip r:embed="rId10"/>
                    <a:stretch>
                      <a:fillRect/>
                    </a:stretch>
                  </pic:blipFill>
                  <pic:spPr>
                    <a:xfrm>
                      <a:off x="0" y="0"/>
                      <a:ext cx="922020" cy="854710"/>
                    </a:xfrm>
                    <a:prstGeom prst="rect">
                      <a:avLst/>
                    </a:prstGeom>
                  </pic:spPr>
                </pic:pic>
              </a:graphicData>
            </a:graphic>
          </wp:inline>
        </w:drawing>
      </w:r>
      <w:r>
        <w:rPr>
          <w:rFonts w:hint="eastAsia" w:ascii="Times New Roman" w:hAnsi="Times New Roman" w:cs="华光楷体一_CNKI"/>
          <w:bCs/>
          <w:color w:val="000000" w:themeColor="text1"/>
          <w:szCs w:val="28"/>
          <w14:textFill>
            <w14:solidFill>
              <w14:schemeClr w14:val="tx1"/>
            </w14:solidFill>
          </w14:textFill>
        </w:rPr>
        <w:drawing>
          <wp:inline distT="0" distB="0" distL="114300" distR="114300">
            <wp:extent cx="3230880" cy="377190"/>
            <wp:effectExtent l="0" t="0" r="7620" b="3810"/>
            <wp:docPr id="4" name="图片 4" descr="1701352479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01352479443"/>
                    <pic:cNvPicPr>
                      <a:picLocks noChangeAspect="1"/>
                    </pic:cNvPicPr>
                  </pic:nvPicPr>
                  <pic:blipFill>
                    <a:blip r:embed="rId11"/>
                    <a:stretch>
                      <a:fillRect/>
                    </a:stretch>
                  </pic:blipFill>
                  <pic:spPr>
                    <a:xfrm>
                      <a:off x="0" y="0"/>
                      <a:ext cx="3230880" cy="377190"/>
                    </a:xfrm>
                    <a:prstGeom prst="rect">
                      <a:avLst/>
                    </a:prstGeom>
                  </pic:spPr>
                </pic:pic>
              </a:graphicData>
            </a:graphic>
          </wp:inline>
        </w:drawing>
      </w:r>
    </w:p>
    <w:p>
      <w:pPr>
        <w:adjustRightInd w:val="0"/>
        <w:snapToGrid w:val="0"/>
        <w:ind w:firstLine="1400" w:firstLineChars="500"/>
        <w:jc w:val="left"/>
        <w:rPr>
          <w:rFonts w:ascii="Times New Roman" w:hAnsi="Times New Roman" w:cs="华光楷体一_CNKI"/>
          <w:bCs/>
          <w:color w:val="000000" w:themeColor="text1"/>
          <w:szCs w:val="28"/>
          <w14:textFill>
            <w14:solidFill>
              <w14:schemeClr w14:val="tx1"/>
            </w14:solidFill>
          </w14:textFill>
        </w:rPr>
      </w:pPr>
    </w:p>
    <w:p>
      <w:pPr>
        <w:adjustRightInd w:val="0"/>
        <w:snapToGrid w:val="0"/>
        <w:ind w:firstLine="1400" w:firstLineChars="500"/>
        <w:jc w:val="left"/>
        <w:rPr>
          <w:rFonts w:ascii="Times New Roman" w:hAnsi="Times New Roman" w:cs="华光楷体一_CNKI"/>
          <w:bCs/>
          <w:szCs w:val="28"/>
        </w:rPr>
      </w:pPr>
    </w:p>
    <w:p>
      <w:pPr>
        <w:adjustRightInd w:val="0"/>
        <w:snapToGrid w:val="0"/>
        <w:jc w:val="left"/>
        <w:rPr>
          <w:rFonts w:ascii="Times New Roman" w:hAnsi="Times New Roman" w:cs="华光楷体一_CNKI"/>
          <w:bCs/>
          <w:szCs w:val="28"/>
        </w:rPr>
      </w:pPr>
    </w:p>
    <w:p>
      <w:pPr>
        <w:adjustRightInd w:val="0"/>
        <w:snapToGrid w:val="0"/>
        <w:ind w:firstLine="1400" w:firstLineChars="500"/>
        <w:jc w:val="left"/>
        <w:rPr>
          <w:rFonts w:ascii="Times New Roman" w:hAnsi="Times New Roman" w:cs="华光楷体一_CNKI"/>
          <w:bCs/>
          <w:szCs w:val="28"/>
        </w:rPr>
      </w:pPr>
    </w:p>
    <w:p>
      <w:pPr>
        <w:adjustRightInd w:val="0"/>
        <w:snapToGrid w:val="0"/>
        <w:ind w:firstLine="1400" w:firstLineChars="500"/>
        <w:jc w:val="left"/>
        <w:rPr>
          <w:rFonts w:ascii="Times New Roman" w:hAnsi="Times New Roman" w:cs="华光楷体一_CNKI"/>
          <w:bCs/>
          <w:szCs w:val="28"/>
        </w:rPr>
      </w:pPr>
    </w:p>
    <w:p>
      <w:pPr>
        <w:adjustRightInd w:val="0"/>
        <w:snapToGrid w:val="0"/>
        <w:ind w:firstLine="1400" w:firstLineChars="500"/>
        <w:jc w:val="left"/>
        <w:rPr>
          <w:rFonts w:hint="eastAsia" w:ascii="Times New Roman" w:hAnsi="Times New Roman" w:cs="华光楷体一_CNKI"/>
          <w:bCs/>
          <w:szCs w:val="28"/>
          <w:lang w:val="en-US" w:eastAsia="zh-CN"/>
        </w:rPr>
      </w:pPr>
      <w:r>
        <w:rPr>
          <w:rFonts w:hint="eastAsia" w:ascii="Times New Roman" w:hAnsi="Times New Roman" w:cs="华光楷体一_CNKI"/>
          <w:bCs/>
          <w:szCs w:val="28"/>
          <w:lang w:val="en-US" w:eastAsia="zh-CN"/>
        </w:rPr>
        <w:t xml:space="preserve">  </w:t>
      </w:r>
    </w:p>
    <w:p>
      <w:pPr>
        <w:adjustRightInd w:val="0"/>
        <w:snapToGrid w:val="0"/>
        <w:ind w:firstLine="1400" w:firstLineChars="500"/>
        <w:jc w:val="left"/>
        <w:rPr>
          <w:rFonts w:hint="eastAsia" w:ascii="Times New Roman" w:hAnsi="Times New Roman" w:cs="华光楷体一_CNKI"/>
          <w:bCs/>
          <w:szCs w:val="28"/>
          <w:lang w:val="en-US" w:eastAsia="zh-CN"/>
        </w:rPr>
      </w:pPr>
    </w:p>
    <w:p>
      <w:pPr>
        <w:adjustRightInd w:val="0"/>
        <w:snapToGrid w:val="0"/>
        <w:ind w:firstLine="1400" w:firstLineChars="500"/>
        <w:jc w:val="left"/>
        <w:rPr>
          <w:rFonts w:hint="default" w:ascii="Times New Roman" w:hAnsi="Times New Roman" w:cs="华光楷体一_CNKI"/>
          <w:bCs/>
          <w:szCs w:val="28"/>
          <w:lang w:val="en-US" w:eastAsia="zh-CN"/>
        </w:rPr>
      </w:pPr>
    </w:p>
    <w:p>
      <w:pPr>
        <w:adjustRightInd w:val="0"/>
        <w:snapToGrid w:val="0"/>
        <w:ind w:firstLine="1400" w:firstLineChars="500"/>
        <w:jc w:val="left"/>
        <w:rPr>
          <w:rFonts w:ascii="Times New Roman" w:hAnsi="Times New Roman" w:cs="华光楷体一_CNKI"/>
          <w:bCs/>
          <w:szCs w:val="28"/>
        </w:rPr>
      </w:pPr>
    </w:p>
    <w:p>
      <w:pPr>
        <w:adjustRightInd w:val="0"/>
        <w:snapToGrid w:val="0"/>
        <w:jc w:val="left"/>
        <w:rPr>
          <w:rFonts w:ascii="Times New Roman" w:hAnsi="Times New Roman" w:cs="华光楷体一_CNKI"/>
          <w:bCs/>
          <w:szCs w:val="28"/>
        </w:rPr>
      </w:pPr>
    </w:p>
    <w:p>
      <w:pPr>
        <w:adjustRightInd w:val="0"/>
        <w:snapToGrid w:val="0"/>
        <w:ind w:firstLine="1400" w:firstLineChars="500"/>
        <w:jc w:val="left"/>
        <w:rPr>
          <w:rFonts w:ascii="Times New Roman" w:hAnsi="Times New Roman" w:cs="华光楷体一_CNKI"/>
          <w:bCs/>
          <w:szCs w:val="28"/>
        </w:rPr>
      </w:pPr>
    </w:p>
    <w:p>
      <w:pPr>
        <w:adjustRightInd w:val="0"/>
        <w:snapToGrid w:val="0"/>
        <w:ind w:firstLine="1200" w:firstLineChars="500"/>
        <w:jc w:val="left"/>
        <w:rPr>
          <w:rFonts w:ascii="Times New Roman" w:hAnsi="Times New Roman" w:cs="楷体"/>
          <w:bCs/>
          <w:sz w:val="24"/>
        </w:rPr>
      </w:pPr>
      <w:r>
        <w:rPr>
          <w:rFonts w:hint="eastAsia" w:ascii="Times New Roman" w:hAnsi="Times New Roman" w:cs="楷体"/>
          <w:bCs/>
          <w:sz w:val="24"/>
        </w:rPr>
        <w:t xml:space="preserve">主评人签字：刘琨  </w:t>
      </w:r>
    </w:p>
    <w:p>
      <w:pPr>
        <w:adjustRightInd w:val="0"/>
        <w:snapToGrid w:val="0"/>
        <w:ind w:firstLine="1200" w:firstLineChars="500"/>
        <w:jc w:val="center"/>
        <w:rPr>
          <w:rFonts w:ascii="Times New Roman" w:hAnsi="Times New Roman" w:cs="楷体"/>
          <w:bCs/>
          <w:sz w:val="24"/>
        </w:rPr>
      </w:pPr>
    </w:p>
    <w:p>
      <w:pPr>
        <w:adjustRightInd w:val="0"/>
        <w:snapToGrid w:val="0"/>
        <w:ind w:firstLine="1200" w:firstLineChars="500"/>
        <w:jc w:val="left"/>
        <w:rPr>
          <w:rFonts w:ascii="Times New Roman" w:hAnsi="Times New Roman" w:cs="Times New Roman"/>
          <w:b/>
          <w:sz w:val="24"/>
          <w:szCs w:val="32"/>
        </w:rPr>
      </w:pPr>
      <w:r>
        <w:rPr>
          <w:rFonts w:hint="eastAsia" w:ascii="Times New Roman" w:hAnsi="Times New Roman" w:cs="楷体"/>
          <w:bCs/>
          <w:sz w:val="24"/>
        </w:rPr>
        <w:t>组       员：</w:t>
      </w:r>
      <w:bookmarkStart w:id="1" w:name="_Hlk152082494"/>
      <w:r>
        <w:rPr>
          <w:rFonts w:hint="eastAsia" w:ascii="Times New Roman" w:hAnsi="Times New Roman" w:cs="楷体"/>
          <w:bCs/>
          <w:sz w:val="24"/>
        </w:rPr>
        <w:t xml:space="preserve">赖浏安 </w:t>
      </w:r>
      <w:r>
        <w:rPr>
          <w:rFonts w:ascii="Times New Roman" w:hAnsi="Times New Roman" w:cs="楷体"/>
          <w:bCs/>
          <w:sz w:val="24"/>
        </w:rPr>
        <w:t>苏晓</w:t>
      </w:r>
      <w:r>
        <w:rPr>
          <w:rFonts w:hint="eastAsia" w:ascii="Times New Roman" w:hAnsi="Times New Roman" w:cs="楷体"/>
          <w:bCs/>
          <w:sz w:val="24"/>
        </w:rPr>
        <w:t xml:space="preserve"> 江萍 廖昕怡 朱瑛 李桐 潘键群</w:t>
      </w:r>
    </w:p>
    <w:bookmarkEnd w:id="1"/>
    <w:p>
      <w:pPr>
        <w:adjustRightInd w:val="0"/>
        <w:snapToGrid w:val="0"/>
        <w:ind w:firstLine="1004" w:firstLineChars="500"/>
        <w:jc w:val="left"/>
        <w:rPr>
          <w:rFonts w:ascii="Times New Roman" w:hAnsi="Times New Roman" w:cs="Arial"/>
          <w:b/>
          <w:kern w:val="0"/>
          <w:sz w:val="20"/>
          <w:szCs w:val="20"/>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Times New Roman" w:hAnsi="Times New Roman" w:cs="Arial"/>
          <w:b/>
          <w:kern w:val="0"/>
          <w:sz w:val="20"/>
          <w:szCs w:val="20"/>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Times New Roman" w:hAnsi="Times New Roman" w:cs="Arial"/>
          <w:b/>
          <w:kern w:val="0"/>
          <w:sz w:val="20"/>
          <w:szCs w:val="20"/>
        </w:rPr>
      </w:pPr>
      <w:r>
        <w:rPr>
          <w:rFonts w:ascii="Times New Roman" w:hAnsi="Times New Roman" w:cs="宋体"/>
          <w:kern w:val="0"/>
          <w:sz w:val="20"/>
          <w:szCs w:val="20"/>
        </w:rPr>
        <w:t>　</w:t>
      </w:r>
    </w:p>
    <w:p>
      <w:pPr>
        <w:widowControl/>
        <w:adjustRightInd w:val="0"/>
        <w:snapToGrid w:val="0"/>
        <w:jc w:val="left"/>
        <w:rPr>
          <w:rFonts w:ascii="Times New Roman" w:hAnsi="Times New Roman" w:cs="宋体"/>
          <w:kern w:val="0"/>
          <w:sz w:val="20"/>
          <w:szCs w:val="20"/>
        </w:rPr>
      </w:pPr>
      <w:r>
        <w:rPr>
          <w:rFonts w:ascii="Times New Roman" w:hAnsi="Times New Roman" w:cs="宋体"/>
          <w:sz w:val="20"/>
          <w:szCs w:val="20"/>
        </w:rPr>
        <w:br w:type="page"/>
      </w:r>
    </w:p>
    <w:p>
      <w:pPr>
        <w:widowControl/>
        <w:tabs>
          <w:tab w:val="left" w:pos="615"/>
        </w:tabs>
        <w:adjustRightInd w:val="0"/>
        <w:snapToGrid w:val="0"/>
        <w:jc w:val="left"/>
        <w:rPr>
          <w:rFonts w:ascii="Times New Roman" w:hAnsi="Times New Roman" w:cs="宋体"/>
          <w:kern w:val="0"/>
          <w:sz w:val="20"/>
          <w:szCs w:val="20"/>
        </w:rPr>
      </w:pPr>
      <w:r>
        <w:rPr>
          <w:rFonts w:ascii="Times New Roman" w:hAnsi="Times New Roman" w:cs="宋体"/>
          <w:kern w:val="0"/>
          <w:sz w:val="20"/>
          <w:szCs w:val="20"/>
        </w:rPr>
        <w:tab/>
      </w:r>
    </w:p>
    <w:p>
      <w:pPr>
        <w:spacing w:line="240" w:lineRule="auto"/>
        <w:rPr>
          <w:rFonts w:ascii="Times New Roman" w:hAnsi="Times New Roman" w:cs="Times New Roman"/>
          <w:sz w:val="24"/>
        </w:rPr>
      </w:pPr>
    </w:p>
    <w:p>
      <w:pPr>
        <w:spacing w:line="240" w:lineRule="auto"/>
        <w:rPr>
          <w:rFonts w:ascii="Times New Roman" w:hAnsi="Times New Roman" w:cs="Times New Roman"/>
          <w:sz w:val="24"/>
        </w:rPr>
        <w:sectPr>
          <w:pgSz w:w="11906" w:h="16838"/>
          <w:pgMar w:top="1440" w:right="1800" w:bottom="1440" w:left="1800" w:header="851" w:footer="992" w:gutter="0"/>
          <w:pgNumType w:fmt="upperRoman" w:start="1"/>
          <w:cols w:space="425" w:num="1"/>
          <w:docGrid w:type="lines" w:linePitch="312" w:charSpace="0"/>
        </w:sectPr>
      </w:pPr>
      <w:r>
        <w:rPr>
          <w:rFonts w:ascii="Times New Roman" w:hAnsi="Times New Roman" w:cs="Times New Roman"/>
          <w:sz w:val="24"/>
        </w:rPr>
        <w:br w:type="page"/>
      </w:r>
      <w:bookmarkEnd w:id="0"/>
    </w:p>
    <w:sdt>
      <w:sdtPr>
        <w:rPr>
          <w:rStyle w:val="16"/>
          <w:rFonts w:ascii="Times New Roman" w:hAnsi="Times New Roman"/>
        </w:rPr>
        <w:id w:val="-1739864054"/>
        <w:docPartObj>
          <w:docPartGallery w:val="Table of Contents"/>
          <w:docPartUnique/>
        </w:docPartObj>
      </w:sdtPr>
      <w:sdtEndPr>
        <w:rPr>
          <w:rStyle w:val="14"/>
          <w:rFonts w:ascii="Times New Roman" w:hAnsi="Times New Roman"/>
          <w:color w:val="auto"/>
          <w:u w:val="none"/>
          <w:lang w:val="zh-CN"/>
        </w:rPr>
      </w:sdtEndPr>
      <w:sdtContent>
        <w:p>
          <w:pPr>
            <w:jc w:val="center"/>
            <w:rPr>
              <w:rFonts w:ascii="Times New Roman" w:hAnsi="Times New Roman"/>
              <w:b/>
              <w:bCs/>
              <w:sz w:val="36"/>
              <w:szCs w:val="36"/>
            </w:rPr>
          </w:pPr>
          <w:bookmarkStart w:id="2" w:name="_Toc2016465260"/>
          <w:r>
            <w:rPr>
              <w:rFonts w:hint="eastAsia" w:ascii="Times New Roman" w:hAnsi="Times New Roman"/>
              <w:b/>
              <w:bCs/>
              <w:sz w:val="36"/>
              <w:szCs w:val="36"/>
            </w:rPr>
            <w:t>目录</w:t>
          </w:r>
        </w:p>
        <w:p>
          <w:pPr>
            <w:pStyle w:val="9"/>
            <w:tabs>
              <w:tab w:val="right" w:leader="dot" w:pos="8296"/>
            </w:tabs>
            <w:rPr>
              <w:rFonts w:ascii="Times New Roman" w:hAnsi="Times New Roman"/>
              <w:sz w:val="21"/>
              <w:szCs w:val="22"/>
              <w14:ligatures w14:val="standardContextual"/>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r>
            <w:fldChar w:fldCharType="begin"/>
          </w:r>
          <w:r>
            <w:instrText xml:space="preserve"> HYPERLINK \l "_Toc152320428" </w:instrText>
          </w:r>
          <w:r>
            <w:fldChar w:fldCharType="separate"/>
          </w:r>
          <w:r>
            <w:rPr>
              <w:rStyle w:val="16"/>
              <w:rFonts w:ascii="Times New Roman" w:hAnsi="Times New Roman" w:cs="楷体"/>
            </w:rPr>
            <w:t>第一部分 专项资金基本概况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_Toc152320428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"_Toc152320429" </w:instrText>
          </w:r>
          <w:r>
            <w:fldChar w:fldCharType="separate"/>
          </w:r>
          <w:r>
            <w:rPr>
              <w:rStyle w:val="16"/>
              <w:rFonts w:ascii="Times New Roman" w:hAnsi="Times New Roman" w:cs="黑体"/>
            </w:rPr>
            <w:t>一、专项资金实施背景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_Toc152320429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"_Toc152320430" </w:instrText>
          </w:r>
          <w:r>
            <w:fldChar w:fldCharType="separate"/>
          </w:r>
          <w:r>
            <w:rPr>
              <w:rStyle w:val="16"/>
              <w:rFonts w:ascii="Times New Roman" w:hAnsi="Times New Roman" w:cs="黑体"/>
            </w:rPr>
            <w:t>二、专项资金实施依据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_Toc152320430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"_Toc152320431" </w:instrText>
          </w:r>
          <w:r>
            <w:fldChar w:fldCharType="separate"/>
          </w:r>
          <w:r>
            <w:rPr>
              <w:rStyle w:val="16"/>
              <w:rFonts w:ascii="Times New Roman" w:hAnsi="Times New Roman" w:cs="黑体"/>
            </w:rPr>
            <w:t>三、专项资金实施目标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_Toc152320431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"_Toc152320432" </w:instrText>
          </w:r>
          <w:r>
            <w:fldChar w:fldCharType="separate"/>
          </w:r>
          <w:r>
            <w:rPr>
              <w:rStyle w:val="16"/>
              <w:rFonts w:ascii="Times New Roman" w:hAnsi="Times New Roman" w:cs="黑体"/>
            </w:rPr>
            <w:t>四、专项资金执行情况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_Toc152320432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"_Toc152320433" </w:instrText>
          </w:r>
          <w:r>
            <w:fldChar w:fldCharType="separate"/>
          </w:r>
          <w:r>
            <w:rPr>
              <w:rStyle w:val="16"/>
              <w:rFonts w:ascii="Times New Roman" w:hAnsi="Times New Roman" w:cs="黑体"/>
            </w:rPr>
            <w:t>五、专项资金管理流程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_Toc152320433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pPr>
            <w:pStyle w:val="9"/>
            <w:tabs>
              <w:tab w:val="right" w:leader="dot" w:pos="8296"/>
            </w:tabs>
            <w:rPr>
              <w:rFonts w:ascii="Times New Roman" w:hAnsi="Times New Roman"/>
              <w:sz w:val="21"/>
              <w:szCs w:val="22"/>
              <w14:ligatures w14:val="standardContextual"/>
            </w:rPr>
          </w:pPr>
          <w:r>
            <w:fldChar w:fldCharType="begin"/>
          </w:r>
          <w:r>
            <w:instrText xml:space="preserve"> HYPERLINK \l "_Toc152320434" </w:instrText>
          </w:r>
          <w:r>
            <w:fldChar w:fldCharType="separate"/>
          </w:r>
          <w:r>
            <w:rPr>
              <w:rStyle w:val="16"/>
              <w:rFonts w:ascii="Times New Roman" w:hAnsi="Times New Roman" w:cs="楷体"/>
            </w:rPr>
            <w:t>第二部分 绩效评价工作开展情况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_Toc152320434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"_Toc152320435" </w:instrText>
          </w:r>
          <w:r>
            <w:fldChar w:fldCharType="separate"/>
          </w:r>
          <w:r>
            <w:rPr>
              <w:rStyle w:val="16"/>
              <w:rFonts w:ascii="Times New Roman" w:hAnsi="Times New Roman" w:cs="黑体"/>
            </w:rPr>
            <w:t>一、评价工作组介绍</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_Toc152320435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"_Toc152320436" </w:instrText>
          </w:r>
          <w:r>
            <w:fldChar w:fldCharType="separate"/>
          </w:r>
          <w:r>
            <w:rPr>
              <w:rStyle w:val="16"/>
              <w:rFonts w:ascii="Times New Roman" w:hAnsi="Times New Roman" w:cs="黑体"/>
            </w:rPr>
            <w:t>二、评价目的</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_Toc152320436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"_Toc152320437" </w:instrText>
          </w:r>
          <w:r>
            <w:fldChar w:fldCharType="separate"/>
          </w:r>
          <w:r>
            <w:rPr>
              <w:rStyle w:val="16"/>
              <w:rFonts w:ascii="Times New Roman" w:hAnsi="Times New Roman" w:cs="Times New Roman"/>
            </w:rPr>
            <w:t>（一）评价专项资金管理的规范性和合理性</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_Toc152320437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"_Toc152320438" </w:instrText>
          </w:r>
          <w:r>
            <w:fldChar w:fldCharType="separate"/>
          </w:r>
          <w:r>
            <w:rPr>
              <w:rStyle w:val="16"/>
              <w:rFonts w:ascii="Times New Roman" w:hAnsi="Times New Roman" w:cs="Times New Roman"/>
            </w:rPr>
            <w:t>（二）评价专项资金的产出和效果</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_Toc152320438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"_Toc152320439" </w:instrText>
          </w:r>
          <w:r>
            <w:fldChar w:fldCharType="separate"/>
          </w:r>
          <w:r>
            <w:rPr>
              <w:rStyle w:val="16"/>
              <w:rFonts w:ascii="Times New Roman" w:hAnsi="Times New Roman" w:cs="Times New Roman"/>
            </w:rPr>
            <w:t>（三）落实兜底保障工作，完善救助保障体系</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_Toc152320439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"_Toc152320440" </w:instrText>
          </w:r>
          <w:r>
            <w:fldChar w:fldCharType="separate"/>
          </w:r>
          <w:r>
            <w:rPr>
              <w:rStyle w:val="16"/>
              <w:rFonts w:ascii="Times New Roman" w:hAnsi="Times New Roman" w:cs="黑体"/>
            </w:rPr>
            <w:t>三、评价对象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_Toc152320440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"_Toc152320441" </w:instrText>
          </w:r>
          <w:r>
            <w:fldChar w:fldCharType="separate"/>
          </w:r>
          <w:r>
            <w:rPr>
              <w:rStyle w:val="16"/>
              <w:rFonts w:ascii="Times New Roman" w:hAnsi="Times New Roman" w:cs="黑体"/>
            </w:rPr>
            <w:t>四、评价范围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_Toc152320441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"_Toc152320442" </w:instrText>
          </w:r>
          <w:r>
            <w:fldChar w:fldCharType="separate"/>
          </w:r>
          <w:r>
            <w:rPr>
              <w:rStyle w:val="16"/>
              <w:rFonts w:ascii="Times New Roman" w:hAnsi="Times New Roman" w:cs="黑体"/>
            </w:rPr>
            <w:t>五、评价原则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_Toc152320442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"_Toc152320443" </w:instrText>
          </w:r>
          <w:r>
            <w:fldChar w:fldCharType="separate"/>
          </w:r>
          <w:r>
            <w:rPr>
              <w:rStyle w:val="16"/>
              <w:rFonts w:ascii="Times New Roman" w:hAnsi="Times New Roman" w:cs="Times New Roman"/>
            </w:rPr>
            <w:t>（一）服务大局原则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_Toc152320443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"_Toc152320444" </w:instrText>
          </w:r>
          <w:r>
            <w:fldChar w:fldCharType="separate"/>
          </w:r>
          <w:r>
            <w:rPr>
              <w:rStyle w:val="16"/>
              <w:rFonts w:ascii="Times New Roman" w:hAnsi="Times New Roman" w:cs="Times New Roman"/>
            </w:rPr>
            <w:t>（二）科学规范原则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_Toc152320444 \h </w:instrText>
          </w:r>
          <w:r>
            <w:rPr>
              <w:rFonts w:ascii="Times New Roman" w:hAnsi="Times New Roman"/>
            </w:rPr>
            <w:fldChar w:fldCharType="separate"/>
          </w:r>
          <w:r>
            <w:rPr>
              <w:rFonts w:ascii="Times New Roman" w:hAnsi="Times New Roman"/>
            </w:rPr>
            <w:t>9</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"_Toc152320445" </w:instrText>
          </w:r>
          <w:r>
            <w:fldChar w:fldCharType="separate"/>
          </w:r>
          <w:r>
            <w:rPr>
              <w:rStyle w:val="16"/>
              <w:rFonts w:ascii="Times New Roman" w:hAnsi="Times New Roman" w:cs="Times New Roman"/>
            </w:rPr>
            <w:t>（三）公正公开原则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_Toc152320445 \h </w:instrText>
          </w:r>
          <w:r>
            <w:rPr>
              <w:rFonts w:ascii="Times New Roman" w:hAnsi="Times New Roman"/>
            </w:rPr>
            <w:fldChar w:fldCharType="separate"/>
          </w:r>
          <w:r>
            <w:rPr>
              <w:rFonts w:ascii="Times New Roman" w:hAnsi="Times New Roman"/>
            </w:rPr>
            <w:t>9</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"_Toc152320446" </w:instrText>
          </w:r>
          <w:r>
            <w:fldChar w:fldCharType="separate"/>
          </w:r>
          <w:r>
            <w:rPr>
              <w:rStyle w:val="16"/>
              <w:rFonts w:ascii="Times New Roman" w:hAnsi="Times New Roman" w:cs="Times New Roman"/>
            </w:rPr>
            <w:t>（四）问题导向原则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_Toc152320446 \h </w:instrText>
          </w:r>
          <w:r>
            <w:rPr>
              <w:rFonts w:ascii="Times New Roman" w:hAnsi="Times New Roman"/>
            </w:rPr>
            <w:fldChar w:fldCharType="separate"/>
          </w:r>
          <w:r>
            <w:rPr>
              <w:rFonts w:ascii="Times New Roman" w:hAnsi="Times New Roman"/>
            </w:rPr>
            <w:t>9</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"_Toc152320447" </w:instrText>
          </w:r>
          <w:r>
            <w:fldChar w:fldCharType="separate"/>
          </w:r>
          <w:r>
            <w:rPr>
              <w:rStyle w:val="16"/>
              <w:rFonts w:ascii="Times New Roman" w:hAnsi="Times New Roman" w:cs="Times New Roman"/>
            </w:rPr>
            <w:t>（五）绩效相关原则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_Toc152320447 \h </w:instrText>
          </w:r>
          <w:r>
            <w:rPr>
              <w:rFonts w:ascii="Times New Roman" w:hAnsi="Times New Roman"/>
            </w:rPr>
            <w:fldChar w:fldCharType="separate"/>
          </w:r>
          <w:r>
            <w:rPr>
              <w:rFonts w:ascii="Times New Roman" w:hAnsi="Times New Roman"/>
            </w:rPr>
            <w:t>9</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"_Toc152320448" </w:instrText>
          </w:r>
          <w:r>
            <w:fldChar w:fldCharType="separate"/>
          </w:r>
          <w:r>
            <w:rPr>
              <w:rStyle w:val="16"/>
              <w:rFonts w:ascii="Times New Roman" w:hAnsi="Times New Roman" w:cs="黑体"/>
            </w:rPr>
            <w:t>六、评价指标体系</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_Toc152320448 \h </w:instrText>
          </w:r>
          <w:r>
            <w:rPr>
              <w:rFonts w:ascii="Times New Roman" w:hAnsi="Times New Roman"/>
            </w:rPr>
            <w:fldChar w:fldCharType="separate"/>
          </w:r>
          <w:r>
            <w:rPr>
              <w:rFonts w:ascii="Times New Roman" w:hAnsi="Times New Roman"/>
            </w:rPr>
            <w:t>9</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"_Toc152320449" </w:instrText>
          </w:r>
          <w:r>
            <w:fldChar w:fldCharType="separate"/>
          </w:r>
          <w:r>
            <w:rPr>
              <w:rStyle w:val="16"/>
              <w:rFonts w:ascii="Times New Roman" w:hAnsi="Times New Roman" w:cs="黑体"/>
            </w:rPr>
            <w:t>七、评价方法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_Toc152320449 \h </w:instrText>
          </w:r>
          <w:r>
            <w:rPr>
              <w:rFonts w:ascii="Times New Roman" w:hAnsi="Times New Roman"/>
            </w:rPr>
            <w:fldChar w:fldCharType="separate"/>
          </w:r>
          <w:r>
            <w:rPr>
              <w:rFonts w:ascii="Times New Roman" w:hAnsi="Times New Roman"/>
            </w:rPr>
            <w:t>11</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"_Toc152320450" </w:instrText>
          </w:r>
          <w:r>
            <w:fldChar w:fldCharType="separate"/>
          </w:r>
          <w:r>
            <w:rPr>
              <w:rStyle w:val="16"/>
              <w:rFonts w:ascii="Times New Roman" w:hAnsi="Times New Roman" w:cs="Times New Roman"/>
            </w:rPr>
            <w:t>（一）成效分析法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_Toc152320450 \h </w:instrText>
          </w:r>
          <w:r>
            <w:rPr>
              <w:rFonts w:ascii="Times New Roman" w:hAnsi="Times New Roman"/>
            </w:rPr>
            <w:fldChar w:fldCharType="separate"/>
          </w:r>
          <w:r>
            <w:rPr>
              <w:rFonts w:ascii="Times New Roman" w:hAnsi="Times New Roman"/>
            </w:rPr>
            <w:t>11</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"_Toc152320451" </w:instrText>
          </w:r>
          <w:r>
            <w:fldChar w:fldCharType="separate"/>
          </w:r>
          <w:r>
            <w:rPr>
              <w:rStyle w:val="16"/>
              <w:rFonts w:ascii="Times New Roman" w:hAnsi="Times New Roman" w:cs="Times New Roman"/>
            </w:rPr>
            <w:t>（二）比较法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_Toc152320451 \h </w:instrText>
          </w:r>
          <w:r>
            <w:rPr>
              <w:rFonts w:ascii="Times New Roman" w:hAnsi="Times New Roman"/>
            </w:rPr>
            <w:fldChar w:fldCharType="separate"/>
          </w:r>
          <w:r>
            <w:rPr>
              <w:rFonts w:ascii="Times New Roman" w:hAnsi="Times New Roman"/>
            </w:rPr>
            <w:t>11</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"_Toc152320452" </w:instrText>
          </w:r>
          <w:r>
            <w:fldChar w:fldCharType="separate"/>
          </w:r>
          <w:r>
            <w:rPr>
              <w:rStyle w:val="16"/>
              <w:rFonts w:ascii="Times New Roman" w:hAnsi="Times New Roman" w:cs="Times New Roman"/>
            </w:rPr>
            <w:t>（三）案卷研究法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_Toc152320452 \h </w:instrText>
          </w:r>
          <w:r>
            <w:rPr>
              <w:rFonts w:ascii="Times New Roman" w:hAnsi="Times New Roman"/>
            </w:rPr>
            <w:fldChar w:fldCharType="separate"/>
          </w:r>
          <w:r>
            <w:rPr>
              <w:rFonts w:ascii="Times New Roman" w:hAnsi="Times New Roman"/>
            </w:rPr>
            <w:t>11</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"_Toc152320453" </w:instrText>
          </w:r>
          <w:r>
            <w:fldChar w:fldCharType="separate"/>
          </w:r>
          <w:r>
            <w:rPr>
              <w:rStyle w:val="16"/>
              <w:rFonts w:ascii="Times New Roman" w:hAnsi="Times New Roman" w:cs="Times New Roman"/>
            </w:rPr>
            <w:t>（四）因素分析法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_Toc152320453 \h </w:instrText>
          </w:r>
          <w:r>
            <w:rPr>
              <w:rFonts w:ascii="Times New Roman" w:hAnsi="Times New Roman"/>
            </w:rPr>
            <w:fldChar w:fldCharType="separate"/>
          </w:r>
          <w:r>
            <w:rPr>
              <w:rFonts w:ascii="Times New Roman" w:hAnsi="Times New Roman"/>
            </w:rPr>
            <w:t>11</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"_Toc152320454" </w:instrText>
          </w:r>
          <w:r>
            <w:fldChar w:fldCharType="separate"/>
          </w:r>
          <w:r>
            <w:rPr>
              <w:rStyle w:val="16"/>
              <w:rFonts w:ascii="Times New Roman" w:hAnsi="Times New Roman" w:cs="Times New Roman"/>
            </w:rPr>
            <w:t>（五）公众评判法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_Toc152320454 \h </w:instrText>
          </w:r>
          <w:r>
            <w:rPr>
              <w:rFonts w:ascii="Times New Roman" w:hAnsi="Times New Roman"/>
            </w:rPr>
            <w:fldChar w:fldCharType="separate"/>
          </w:r>
          <w:r>
            <w:rPr>
              <w:rFonts w:ascii="Times New Roman" w:hAnsi="Times New Roman"/>
            </w:rPr>
            <w:t>12</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"_Toc152320455" </w:instrText>
          </w:r>
          <w:r>
            <w:fldChar w:fldCharType="separate"/>
          </w:r>
          <w:r>
            <w:rPr>
              <w:rStyle w:val="16"/>
              <w:rFonts w:ascii="Times New Roman" w:hAnsi="Times New Roman" w:cs="黑体"/>
            </w:rPr>
            <w:t>八、评价标准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_Toc152320455 \h </w:instrText>
          </w:r>
          <w:r>
            <w:rPr>
              <w:rFonts w:ascii="Times New Roman" w:hAnsi="Times New Roman"/>
            </w:rPr>
            <w:fldChar w:fldCharType="separate"/>
          </w:r>
          <w:r>
            <w:rPr>
              <w:rFonts w:ascii="Times New Roman" w:hAnsi="Times New Roman"/>
            </w:rPr>
            <w:t>12</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"_Toc152320456" </w:instrText>
          </w:r>
          <w:r>
            <w:fldChar w:fldCharType="separate"/>
          </w:r>
          <w:r>
            <w:rPr>
              <w:rStyle w:val="16"/>
              <w:rFonts w:ascii="Times New Roman" w:hAnsi="Times New Roman" w:cs="Times New Roman"/>
            </w:rPr>
            <w:t>（一）评价标准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_Toc152320456 \h </w:instrText>
          </w:r>
          <w:r>
            <w:rPr>
              <w:rFonts w:ascii="Times New Roman" w:hAnsi="Times New Roman"/>
            </w:rPr>
            <w:fldChar w:fldCharType="separate"/>
          </w:r>
          <w:r>
            <w:rPr>
              <w:rFonts w:ascii="Times New Roman" w:hAnsi="Times New Roman"/>
            </w:rPr>
            <w:t>12</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"_Toc152320457" </w:instrText>
          </w:r>
          <w:r>
            <w:fldChar w:fldCharType="separate"/>
          </w:r>
          <w:r>
            <w:rPr>
              <w:rStyle w:val="16"/>
              <w:rFonts w:ascii="Times New Roman" w:hAnsi="Times New Roman" w:cs="Times New Roman"/>
            </w:rPr>
            <w:t>（二）评价依据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_Toc152320457 \h </w:instrText>
          </w:r>
          <w:r>
            <w:rPr>
              <w:rFonts w:ascii="Times New Roman" w:hAnsi="Times New Roman"/>
            </w:rPr>
            <w:fldChar w:fldCharType="separate"/>
          </w:r>
          <w:r>
            <w:rPr>
              <w:rFonts w:ascii="Times New Roman" w:hAnsi="Times New Roman"/>
            </w:rPr>
            <w:t>12</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"_Toc152320458" </w:instrText>
          </w:r>
          <w:r>
            <w:fldChar w:fldCharType="separate"/>
          </w:r>
          <w:r>
            <w:rPr>
              <w:rStyle w:val="16"/>
              <w:rFonts w:ascii="Times New Roman" w:hAnsi="Times New Roman" w:cs="黑体"/>
            </w:rPr>
            <w:t>九、评价开展过程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_Toc152320458 \h </w:instrText>
          </w:r>
          <w:r>
            <w:rPr>
              <w:rFonts w:ascii="Times New Roman" w:hAnsi="Times New Roman"/>
            </w:rPr>
            <w:fldChar w:fldCharType="separate"/>
          </w:r>
          <w:r>
            <w:rPr>
              <w:rFonts w:ascii="Times New Roman" w:hAnsi="Times New Roman"/>
            </w:rPr>
            <w:t>14</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"_Toc152320459" </w:instrText>
          </w:r>
          <w:r>
            <w:fldChar w:fldCharType="separate"/>
          </w:r>
          <w:r>
            <w:rPr>
              <w:rStyle w:val="16"/>
              <w:rFonts w:ascii="Times New Roman" w:hAnsi="Times New Roman" w:cs="Times New Roman"/>
            </w:rPr>
            <w:t>（一）前期准备阶段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_Toc152320459 \h </w:instrText>
          </w:r>
          <w:r>
            <w:rPr>
              <w:rFonts w:ascii="Times New Roman" w:hAnsi="Times New Roman"/>
            </w:rPr>
            <w:fldChar w:fldCharType="separate"/>
          </w:r>
          <w:r>
            <w:rPr>
              <w:rFonts w:ascii="Times New Roman" w:hAnsi="Times New Roman"/>
            </w:rPr>
            <w:t>14</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"_Toc152320460" </w:instrText>
          </w:r>
          <w:r>
            <w:fldChar w:fldCharType="separate"/>
          </w:r>
          <w:r>
            <w:rPr>
              <w:rStyle w:val="16"/>
              <w:rFonts w:ascii="Times New Roman" w:hAnsi="Times New Roman" w:cs="Times New Roman"/>
            </w:rPr>
            <w:t>（二）组织实施阶段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_Toc152320460 \h </w:instrText>
          </w:r>
          <w:r>
            <w:rPr>
              <w:rFonts w:ascii="Times New Roman" w:hAnsi="Times New Roman"/>
            </w:rPr>
            <w:fldChar w:fldCharType="separate"/>
          </w:r>
          <w:r>
            <w:rPr>
              <w:rFonts w:ascii="Times New Roman" w:hAnsi="Times New Roman"/>
            </w:rPr>
            <w:t>15</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"_Toc152320461" </w:instrText>
          </w:r>
          <w:r>
            <w:fldChar w:fldCharType="separate"/>
          </w:r>
          <w:r>
            <w:rPr>
              <w:rStyle w:val="16"/>
              <w:rFonts w:ascii="Times New Roman" w:hAnsi="Times New Roman" w:cs="Times New Roman"/>
            </w:rPr>
            <w:t>（三）报告形成阶段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_Toc152320461 \h </w:instrText>
          </w:r>
          <w:r>
            <w:rPr>
              <w:rFonts w:ascii="Times New Roman" w:hAnsi="Times New Roman"/>
            </w:rPr>
            <w:fldChar w:fldCharType="separate"/>
          </w:r>
          <w:r>
            <w:rPr>
              <w:rFonts w:ascii="Times New Roman" w:hAnsi="Times New Roman"/>
            </w:rPr>
            <w:t>16</w:t>
          </w:r>
          <w:r>
            <w:rPr>
              <w:rFonts w:ascii="Times New Roman" w:hAnsi="Times New Roman"/>
            </w:rPr>
            <w:fldChar w:fldCharType="end"/>
          </w:r>
          <w:r>
            <w:rPr>
              <w:rFonts w:ascii="Times New Roman" w:hAnsi="Times New Roman"/>
            </w:rPr>
            <w:fldChar w:fldCharType="end"/>
          </w:r>
        </w:p>
        <w:p>
          <w:pPr>
            <w:pStyle w:val="9"/>
            <w:tabs>
              <w:tab w:val="right" w:leader="dot" w:pos="8296"/>
            </w:tabs>
            <w:rPr>
              <w:rFonts w:ascii="Times New Roman" w:hAnsi="Times New Roman"/>
              <w:sz w:val="21"/>
              <w:szCs w:val="22"/>
              <w14:ligatures w14:val="standardContextual"/>
            </w:rPr>
          </w:pPr>
          <w:r>
            <w:fldChar w:fldCharType="begin"/>
          </w:r>
          <w:r>
            <w:instrText xml:space="preserve"> HYPERLINK \l "_Toc152320462" </w:instrText>
          </w:r>
          <w:r>
            <w:fldChar w:fldCharType="separate"/>
          </w:r>
          <w:r>
            <w:rPr>
              <w:rStyle w:val="16"/>
              <w:rFonts w:ascii="Times New Roman" w:hAnsi="Times New Roman" w:cs="楷体"/>
            </w:rPr>
            <w:t>第三部分 绩效评价结果</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_Toc152320462 \h </w:instrText>
          </w:r>
          <w:r>
            <w:rPr>
              <w:rFonts w:ascii="Times New Roman" w:hAnsi="Times New Roman"/>
            </w:rPr>
            <w:fldChar w:fldCharType="separate"/>
          </w:r>
          <w:r>
            <w:rPr>
              <w:rFonts w:ascii="Times New Roman" w:hAnsi="Times New Roman"/>
            </w:rPr>
            <w:t>17</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"_Toc152320463" </w:instrText>
          </w:r>
          <w:r>
            <w:fldChar w:fldCharType="separate"/>
          </w:r>
          <w:r>
            <w:rPr>
              <w:rStyle w:val="16"/>
              <w:rFonts w:ascii="Times New Roman" w:hAnsi="Times New Roman" w:cs="黑体"/>
            </w:rPr>
            <w:t>一、绩效评价得分情况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_Toc152320463 \h </w:instrText>
          </w:r>
          <w:r>
            <w:rPr>
              <w:rFonts w:ascii="Times New Roman" w:hAnsi="Times New Roman"/>
            </w:rPr>
            <w:fldChar w:fldCharType="separate"/>
          </w:r>
          <w:r>
            <w:rPr>
              <w:rFonts w:ascii="Times New Roman" w:hAnsi="Times New Roman"/>
            </w:rPr>
            <w:t>17</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"_Toc152320464" </w:instrText>
          </w:r>
          <w:r>
            <w:fldChar w:fldCharType="separate"/>
          </w:r>
          <w:r>
            <w:rPr>
              <w:rStyle w:val="16"/>
              <w:rFonts w:ascii="Times New Roman" w:hAnsi="Times New Roman" w:cs="黑体"/>
            </w:rPr>
            <w:t>二、绩效评价指标分析</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_Toc152320464 \h </w:instrText>
          </w:r>
          <w:r>
            <w:rPr>
              <w:rFonts w:ascii="Times New Roman" w:hAnsi="Times New Roman"/>
            </w:rPr>
            <w:fldChar w:fldCharType="separate"/>
          </w:r>
          <w:r>
            <w:rPr>
              <w:rFonts w:ascii="Times New Roman" w:hAnsi="Times New Roman"/>
            </w:rPr>
            <w:t>18</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"_Toc152320465" </w:instrText>
          </w:r>
          <w:r>
            <w:fldChar w:fldCharType="separate"/>
          </w:r>
          <w:r>
            <w:rPr>
              <w:rStyle w:val="16"/>
              <w:rFonts w:ascii="Times New Roman" w:hAnsi="Times New Roman" w:cs="Times New Roman"/>
            </w:rPr>
            <w:t>（一）项目决策情况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_Toc152320465 \h </w:instrText>
          </w:r>
          <w:r>
            <w:rPr>
              <w:rFonts w:ascii="Times New Roman" w:hAnsi="Times New Roman"/>
            </w:rPr>
            <w:fldChar w:fldCharType="separate"/>
          </w:r>
          <w:r>
            <w:rPr>
              <w:rFonts w:ascii="Times New Roman" w:hAnsi="Times New Roman"/>
            </w:rPr>
            <w:t>18</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"_Toc152320466" </w:instrText>
          </w:r>
          <w:r>
            <w:fldChar w:fldCharType="separate"/>
          </w:r>
          <w:r>
            <w:rPr>
              <w:rStyle w:val="16"/>
              <w:rFonts w:ascii="Times New Roman" w:hAnsi="Times New Roman"/>
            </w:rPr>
            <w:t>（二）项目过程情况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_Toc152320466 \h </w:instrText>
          </w:r>
          <w:r>
            <w:rPr>
              <w:rFonts w:ascii="Times New Roman" w:hAnsi="Times New Roman"/>
            </w:rPr>
            <w:fldChar w:fldCharType="separate"/>
          </w:r>
          <w:r>
            <w:rPr>
              <w:rFonts w:ascii="Times New Roman" w:hAnsi="Times New Roman"/>
            </w:rPr>
            <w:t>19</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"_Toc152320467" </w:instrText>
          </w:r>
          <w:r>
            <w:fldChar w:fldCharType="separate"/>
          </w:r>
          <w:r>
            <w:rPr>
              <w:rStyle w:val="16"/>
              <w:rFonts w:ascii="Times New Roman" w:hAnsi="Times New Roman"/>
            </w:rPr>
            <w:t>（三）项目产出情况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_Toc152320467 \h </w:instrText>
          </w:r>
          <w:r>
            <w:rPr>
              <w:rFonts w:ascii="Times New Roman" w:hAnsi="Times New Roman"/>
            </w:rPr>
            <w:fldChar w:fldCharType="separate"/>
          </w:r>
          <w:r>
            <w:rPr>
              <w:rFonts w:ascii="Times New Roman" w:hAnsi="Times New Roman"/>
            </w:rPr>
            <w:t>19</w:t>
          </w:r>
          <w:r>
            <w:rPr>
              <w:rFonts w:ascii="Times New Roman" w:hAnsi="Times New Roman"/>
            </w:rPr>
            <w:fldChar w:fldCharType="end"/>
          </w:r>
          <w:r>
            <w:rPr>
              <w:rFonts w:ascii="Times New Roman" w:hAnsi="Times New Roman"/>
            </w:rPr>
            <w:fldChar w:fldCharType="end"/>
          </w:r>
        </w:p>
        <w:p>
          <w:pPr>
            <w:pStyle w:val="6"/>
            <w:tabs>
              <w:tab w:val="right" w:leader="dot" w:pos="8296"/>
            </w:tabs>
            <w:ind w:left="1120"/>
            <w:rPr>
              <w:rFonts w:ascii="Times New Roman" w:hAnsi="Times New Roman"/>
              <w:sz w:val="21"/>
              <w:szCs w:val="22"/>
              <w14:ligatures w14:val="standardContextual"/>
            </w:rPr>
          </w:pPr>
          <w:r>
            <w:fldChar w:fldCharType="begin"/>
          </w:r>
          <w:r>
            <w:instrText xml:space="preserve"> HYPERLINK \l "_Toc152320468" </w:instrText>
          </w:r>
          <w:r>
            <w:fldChar w:fldCharType="separate"/>
          </w:r>
          <w:r>
            <w:rPr>
              <w:rStyle w:val="16"/>
              <w:rFonts w:ascii="Times New Roman" w:hAnsi="Times New Roman"/>
            </w:rPr>
            <w:t>（四）项目效益情况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_Toc152320468 \h </w:instrText>
          </w:r>
          <w:r>
            <w:rPr>
              <w:rFonts w:ascii="Times New Roman" w:hAnsi="Times New Roman"/>
            </w:rPr>
            <w:fldChar w:fldCharType="separate"/>
          </w:r>
          <w:r>
            <w:rPr>
              <w:rFonts w:ascii="Times New Roman" w:hAnsi="Times New Roman"/>
            </w:rPr>
            <w:t>21</w:t>
          </w:r>
          <w:r>
            <w:rPr>
              <w:rFonts w:ascii="Times New Roman" w:hAnsi="Times New Roman"/>
            </w:rPr>
            <w:fldChar w:fldCharType="end"/>
          </w:r>
          <w:r>
            <w:rPr>
              <w:rFonts w:ascii="Times New Roman" w:hAnsi="Times New Roman"/>
            </w:rPr>
            <w:fldChar w:fldCharType="end"/>
          </w:r>
        </w:p>
        <w:p>
          <w:pPr>
            <w:pStyle w:val="9"/>
            <w:tabs>
              <w:tab w:val="right" w:leader="dot" w:pos="8296"/>
            </w:tabs>
            <w:rPr>
              <w:rFonts w:ascii="Times New Roman" w:hAnsi="Times New Roman"/>
              <w:sz w:val="21"/>
              <w:szCs w:val="22"/>
              <w14:ligatures w14:val="standardContextual"/>
            </w:rPr>
          </w:pPr>
          <w:r>
            <w:fldChar w:fldCharType="begin"/>
          </w:r>
          <w:r>
            <w:instrText xml:space="preserve"> HYPERLINK \l "_Toc152320469" </w:instrText>
          </w:r>
          <w:r>
            <w:fldChar w:fldCharType="separate"/>
          </w:r>
          <w:r>
            <w:rPr>
              <w:rStyle w:val="16"/>
              <w:rFonts w:ascii="Times New Roman" w:hAnsi="Times New Roman" w:cs="楷体"/>
            </w:rPr>
            <w:t>第四部分 存在主要问题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_Toc152320469 \h </w:instrText>
          </w:r>
          <w:r>
            <w:rPr>
              <w:rFonts w:ascii="Times New Roman" w:hAnsi="Times New Roman"/>
            </w:rPr>
            <w:fldChar w:fldCharType="separate"/>
          </w:r>
          <w:r>
            <w:rPr>
              <w:rFonts w:ascii="Times New Roman" w:hAnsi="Times New Roman"/>
            </w:rPr>
            <w:t>23</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"_Toc152320470" </w:instrText>
          </w:r>
          <w:r>
            <w:fldChar w:fldCharType="separate"/>
          </w:r>
          <w:r>
            <w:rPr>
              <w:rStyle w:val="16"/>
              <w:rFonts w:ascii="Times New Roman" w:hAnsi="Times New Roman" w:cs="黑体"/>
            </w:rPr>
            <w:t>一、绩效评价指标设定有待优化</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_Toc152320470 \h </w:instrText>
          </w:r>
          <w:r>
            <w:rPr>
              <w:rFonts w:ascii="Times New Roman" w:hAnsi="Times New Roman"/>
            </w:rPr>
            <w:fldChar w:fldCharType="separate"/>
          </w:r>
          <w:r>
            <w:rPr>
              <w:rFonts w:ascii="Times New Roman" w:hAnsi="Times New Roman"/>
            </w:rPr>
            <w:t>23</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"_Toc152320471" </w:instrText>
          </w:r>
          <w:r>
            <w:fldChar w:fldCharType="separate"/>
          </w:r>
          <w:r>
            <w:rPr>
              <w:rStyle w:val="16"/>
              <w:rFonts w:ascii="Times New Roman" w:hAnsi="Times New Roman" w:cs="黑体"/>
            </w:rPr>
            <w:t>二、救助方式不适应差异化需求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_Toc152320471 \h </w:instrText>
          </w:r>
          <w:r>
            <w:rPr>
              <w:rFonts w:ascii="Times New Roman" w:hAnsi="Times New Roman"/>
            </w:rPr>
            <w:fldChar w:fldCharType="separate"/>
          </w:r>
          <w:r>
            <w:rPr>
              <w:rFonts w:ascii="Times New Roman" w:hAnsi="Times New Roman"/>
            </w:rPr>
            <w:t>23</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"_Toc152320472" </w:instrText>
          </w:r>
          <w:r>
            <w:fldChar w:fldCharType="separate"/>
          </w:r>
          <w:r>
            <w:rPr>
              <w:rStyle w:val="16"/>
              <w:rFonts w:ascii="Times New Roman" w:hAnsi="Times New Roman" w:cs="黑体"/>
            </w:rPr>
            <w:t>三、相关工作人员培训力度还需加强</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_Toc152320472 \h </w:instrText>
          </w:r>
          <w:r>
            <w:rPr>
              <w:rFonts w:ascii="Times New Roman" w:hAnsi="Times New Roman"/>
            </w:rPr>
            <w:fldChar w:fldCharType="separate"/>
          </w:r>
          <w:r>
            <w:rPr>
              <w:rFonts w:ascii="Times New Roman" w:hAnsi="Times New Roman"/>
            </w:rPr>
            <w:t>23</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"_Toc152320473" </w:instrText>
          </w:r>
          <w:r>
            <w:fldChar w:fldCharType="separate"/>
          </w:r>
          <w:r>
            <w:rPr>
              <w:rStyle w:val="16"/>
              <w:rFonts w:ascii="Times New Roman" w:hAnsi="Times New Roman" w:cs="黑体"/>
            </w:rPr>
            <w:t>四、救助对象识别与管理机制有待完善</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_Toc152320473 \h </w:instrText>
          </w:r>
          <w:r>
            <w:rPr>
              <w:rFonts w:ascii="Times New Roman" w:hAnsi="Times New Roman"/>
            </w:rPr>
            <w:fldChar w:fldCharType="separate"/>
          </w:r>
          <w:r>
            <w:rPr>
              <w:rFonts w:ascii="Times New Roman" w:hAnsi="Times New Roman"/>
            </w:rPr>
            <w:t>24</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"_Toc152320474" </w:instrText>
          </w:r>
          <w:r>
            <w:fldChar w:fldCharType="separate"/>
          </w:r>
          <w:r>
            <w:rPr>
              <w:rStyle w:val="16"/>
              <w:rFonts w:ascii="Times New Roman" w:hAnsi="Times New Roman" w:cs="黑体"/>
            </w:rPr>
            <w:t>五、部门间信息共享有待充分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_Toc152320474 \h </w:instrText>
          </w:r>
          <w:r>
            <w:rPr>
              <w:rFonts w:ascii="Times New Roman" w:hAnsi="Times New Roman"/>
            </w:rPr>
            <w:fldChar w:fldCharType="separate"/>
          </w:r>
          <w:r>
            <w:rPr>
              <w:rFonts w:ascii="Times New Roman" w:hAnsi="Times New Roman"/>
            </w:rPr>
            <w:t>24</w:t>
          </w:r>
          <w:r>
            <w:rPr>
              <w:rFonts w:ascii="Times New Roman" w:hAnsi="Times New Roman"/>
            </w:rPr>
            <w:fldChar w:fldCharType="end"/>
          </w:r>
          <w:r>
            <w:rPr>
              <w:rFonts w:ascii="Times New Roman" w:hAnsi="Times New Roman"/>
            </w:rPr>
            <w:fldChar w:fldCharType="end"/>
          </w:r>
        </w:p>
        <w:p>
          <w:pPr>
            <w:pStyle w:val="9"/>
            <w:tabs>
              <w:tab w:val="right" w:leader="dot" w:pos="8296"/>
            </w:tabs>
            <w:rPr>
              <w:rFonts w:ascii="Times New Roman" w:hAnsi="Times New Roman"/>
              <w:sz w:val="21"/>
              <w:szCs w:val="22"/>
              <w14:ligatures w14:val="standardContextual"/>
            </w:rPr>
          </w:pPr>
          <w:r>
            <w:fldChar w:fldCharType="begin"/>
          </w:r>
          <w:r>
            <w:instrText xml:space="preserve"> HYPERLINK \l "_Toc152320475" </w:instrText>
          </w:r>
          <w:r>
            <w:fldChar w:fldCharType="separate"/>
          </w:r>
          <w:r>
            <w:rPr>
              <w:rStyle w:val="16"/>
              <w:rFonts w:ascii="Times New Roman" w:hAnsi="Times New Roman" w:cs="楷体"/>
            </w:rPr>
            <w:t>第五部分 改进措施与管理建议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_Toc152320475 \h </w:instrText>
          </w:r>
          <w:r>
            <w:rPr>
              <w:rFonts w:ascii="Times New Roman" w:hAnsi="Times New Roman"/>
            </w:rPr>
            <w:fldChar w:fldCharType="separate"/>
          </w:r>
          <w:r>
            <w:rPr>
              <w:rFonts w:ascii="Times New Roman" w:hAnsi="Times New Roman"/>
            </w:rPr>
            <w:t>25</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"_Toc152320476" </w:instrText>
          </w:r>
          <w:r>
            <w:fldChar w:fldCharType="separate"/>
          </w:r>
          <w:r>
            <w:rPr>
              <w:rStyle w:val="16"/>
              <w:rFonts w:ascii="Times New Roman" w:hAnsi="Times New Roman" w:cs="黑体"/>
            </w:rPr>
            <w:t>一、优化绩效评价工作</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_Toc152320476 \h </w:instrText>
          </w:r>
          <w:r>
            <w:rPr>
              <w:rFonts w:ascii="Times New Roman" w:hAnsi="Times New Roman"/>
            </w:rPr>
            <w:fldChar w:fldCharType="separate"/>
          </w:r>
          <w:r>
            <w:rPr>
              <w:rFonts w:ascii="Times New Roman" w:hAnsi="Times New Roman"/>
            </w:rPr>
            <w:t>25</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"_Toc152320477" </w:instrText>
          </w:r>
          <w:r>
            <w:fldChar w:fldCharType="separate"/>
          </w:r>
          <w:r>
            <w:rPr>
              <w:rStyle w:val="16"/>
              <w:rFonts w:ascii="Times New Roman" w:hAnsi="Times New Roman" w:cs="黑体"/>
            </w:rPr>
            <w:t>二、创新社会救助方式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_Toc152320477 \h </w:instrText>
          </w:r>
          <w:r>
            <w:rPr>
              <w:rFonts w:ascii="Times New Roman" w:hAnsi="Times New Roman"/>
            </w:rPr>
            <w:fldChar w:fldCharType="separate"/>
          </w:r>
          <w:r>
            <w:rPr>
              <w:rFonts w:ascii="Times New Roman" w:hAnsi="Times New Roman"/>
            </w:rPr>
            <w:t>25</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"_Toc152320478" </w:instrText>
          </w:r>
          <w:r>
            <w:fldChar w:fldCharType="separate"/>
          </w:r>
          <w:r>
            <w:rPr>
              <w:rStyle w:val="16"/>
              <w:rFonts w:ascii="Times New Roman" w:hAnsi="Times New Roman" w:cs="黑体"/>
            </w:rPr>
            <w:t>三、加强人员技能培训</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_Toc152320478 \h </w:instrText>
          </w:r>
          <w:r>
            <w:rPr>
              <w:rFonts w:ascii="Times New Roman" w:hAnsi="Times New Roman"/>
            </w:rPr>
            <w:fldChar w:fldCharType="separate"/>
          </w:r>
          <w:r>
            <w:rPr>
              <w:rFonts w:ascii="Times New Roman" w:hAnsi="Times New Roman"/>
            </w:rPr>
            <w:t>25</w:t>
          </w:r>
          <w:r>
            <w:rPr>
              <w:rFonts w:ascii="Times New Roman" w:hAnsi="Times New Roman"/>
            </w:rPr>
            <w:fldChar w:fldCharType="end"/>
          </w:r>
          <w:r>
            <w:rPr>
              <w:rFonts w:ascii="Times New Roman" w:hAnsi="Times New Roman"/>
            </w:rPr>
            <w:fldChar w:fldCharType="end"/>
          </w:r>
        </w:p>
        <w:p>
          <w:pPr>
            <w:pStyle w:val="10"/>
            <w:tabs>
              <w:tab w:val="right" w:leader="dot" w:pos="8296"/>
            </w:tabs>
            <w:ind w:left="560"/>
            <w:rPr>
              <w:rFonts w:ascii="Times New Roman" w:hAnsi="Times New Roman"/>
              <w:sz w:val="21"/>
              <w:szCs w:val="22"/>
              <w14:ligatures w14:val="standardContextual"/>
            </w:rPr>
          </w:pPr>
          <w:r>
            <w:fldChar w:fldCharType="begin"/>
          </w:r>
          <w:r>
            <w:instrText xml:space="preserve"> HYPERLINK \l "_Toc152320479" </w:instrText>
          </w:r>
          <w:r>
            <w:fldChar w:fldCharType="separate"/>
          </w:r>
          <w:r>
            <w:rPr>
              <w:rStyle w:val="16"/>
              <w:rFonts w:ascii="Times New Roman" w:hAnsi="Times New Roman" w:cs="黑体"/>
            </w:rPr>
            <w:t>五、建立信息共享机制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_Toc152320479 \h </w:instrText>
          </w:r>
          <w:r>
            <w:rPr>
              <w:rFonts w:ascii="Times New Roman" w:hAnsi="Times New Roman"/>
            </w:rPr>
            <w:fldChar w:fldCharType="separate"/>
          </w:r>
          <w:r>
            <w:rPr>
              <w:rFonts w:ascii="Times New Roman" w:hAnsi="Times New Roman"/>
            </w:rPr>
            <w:t>26</w:t>
          </w:r>
          <w:r>
            <w:rPr>
              <w:rFonts w:ascii="Times New Roman" w:hAnsi="Times New Roman"/>
            </w:rPr>
            <w:fldChar w:fldCharType="end"/>
          </w:r>
          <w:r>
            <w:rPr>
              <w:rFonts w:ascii="Times New Roman" w:hAnsi="Times New Roman"/>
            </w:rPr>
            <w:fldChar w:fldCharType="end"/>
          </w:r>
        </w:p>
        <w:p>
          <w:pPr>
            <w:pStyle w:val="9"/>
            <w:tabs>
              <w:tab w:val="right" w:leader="dot" w:pos="8296"/>
            </w:tabs>
            <w:rPr>
              <w:rFonts w:ascii="Times New Roman" w:hAnsi="Times New Roman"/>
              <w:sz w:val="21"/>
              <w:szCs w:val="22"/>
              <w14:ligatures w14:val="standardContextual"/>
            </w:rPr>
          </w:pPr>
          <w:r>
            <w:fldChar w:fldCharType="begin"/>
          </w:r>
          <w:r>
            <w:instrText xml:space="preserve"> HYPERLINK \l "_Toc152320480" </w:instrText>
          </w:r>
          <w:r>
            <w:fldChar w:fldCharType="separate"/>
          </w:r>
          <w:r>
            <w:rPr>
              <w:rStyle w:val="16"/>
              <w:rFonts w:ascii="Times New Roman" w:hAnsi="Times New Roman"/>
            </w:rPr>
            <w:t>附件：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_Toc152320480 \h </w:instrText>
          </w:r>
          <w:r>
            <w:rPr>
              <w:rFonts w:ascii="Times New Roman" w:hAnsi="Times New Roman"/>
            </w:rPr>
            <w:fldChar w:fldCharType="separate"/>
          </w:r>
          <w:r>
            <w:rPr>
              <w:rFonts w:ascii="Times New Roman" w:hAnsi="Times New Roman"/>
            </w:rPr>
            <w:t>27</w:t>
          </w:r>
          <w:r>
            <w:rPr>
              <w:rFonts w:ascii="Times New Roman" w:hAnsi="Times New Roman"/>
            </w:rPr>
            <w:fldChar w:fldCharType="end"/>
          </w:r>
          <w:r>
            <w:rPr>
              <w:rFonts w:ascii="Times New Roman" w:hAnsi="Times New Roman"/>
            </w:rPr>
            <w:fldChar w:fldCharType="end"/>
          </w:r>
        </w:p>
        <w:p>
          <w:pPr>
            <w:spacing w:line="440" w:lineRule="exact"/>
            <w:rPr>
              <w:rFonts w:ascii="Times New Roman" w:hAnsi="Times New Roman"/>
            </w:rPr>
          </w:pPr>
          <w:r>
            <w:rPr>
              <w:rFonts w:ascii="Times New Roman" w:hAnsi="Times New Roman"/>
              <w:lang w:val="zh-CN"/>
            </w:rPr>
            <w:fldChar w:fldCharType="end"/>
          </w:r>
        </w:p>
      </w:sdtContent>
    </w:sdt>
    <w:p>
      <w:pPr>
        <w:jc w:val="center"/>
        <w:outlineLvl w:val="0"/>
        <w:rPr>
          <w:rFonts w:ascii="Times New Roman" w:hAnsi="Times New Roman" w:cs="楷体"/>
          <w:sz w:val="36"/>
          <w:szCs w:val="36"/>
        </w:rPr>
        <w:sectPr>
          <w:pgSz w:w="11906" w:h="16838"/>
          <w:pgMar w:top="1440" w:right="1800" w:bottom="1440" w:left="1800" w:header="851" w:footer="992" w:gutter="0"/>
          <w:cols w:space="425" w:num="1"/>
          <w:docGrid w:type="lines" w:linePitch="312" w:charSpace="0"/>
        </w:sectPr>
      </w:pPr>
    </w:p>
    <w:p>
      <w:pPr>
        <w:jc w:val="center"/>
        <w:outlineLvl w:val="0"/>
        <w:rPr>
          <w:rFonts w:ascii="Times New Roman" w:hAnsi="Times New Roman" w:cs="楷体"/>
          <w:sz w:val="36"/>
          <w:szCs w:val="36"/>
        </w:rPr>
      </w:pPr>
    </w:p>
    <w:p>
      <w:pPr>
        <w:jc w:val="center"/>
        <w:outlineLvl w:val="0"/>
        <w:rPr>
          <w:rFonts w:ascii="Times New Roman" w:hAnsi="Times New Roman" w:cs="楷体"/>
          <w:b/>
          <w:bCs/>
          <w:sz w:val="36"/>
          <w:szCs w:val="36"/>
        </w:rPr>
      </w:pPr>
      <w:bookmarkStart w:id="3" w:name="_Toc152320428"/>
      <w:r>
        <w:rPr>
          <w:rFonts w:hint="eastAsia" w:ascii="Times New Roman" w:hAnsi="Times New Roman" w:cs="楷体"/>
          <w:b/>
          <w:bCs/>
          <w:sz w:val="36"/>
          <w:szCs w:val="36"/>
        </w:rPr>
        <w:t>第一部分 专项资金基本概况</w:t>
      </w:r>
      <w:bookmarkEnd w:id="2"/>
      <w:bookmarkEnd w:id="3"/>
    </w:p>
    <w:p>
      <w:pPr>
        <w:rPr>
          <w:rFonts w:ascii="Times New Roman" w:hAnsi="Times New Roman"/>
          <w:b/>
          <w:bCs/>
          <w:sz w:val="24"/>
        </w:rPr>
      </w:pPr>
    </w:p>
    <w:p>
      <w:pPr>
        <w:spacing w:before="156" w:beforeLines="50" w:after="156" w:afterLines="50"/>
        <w:ind w:firstLine="643" w:firstLineChars="200"/>
        <w:outlineLvl w:val="1"/>
        <w:rPr>
          <w:rFonts w:ascii="Times New Roman" w:hAnsi="Times New Roman" w:cs="黑体"/>
          <w:b/>
          <w:bCs/>
          <w:sz w:val="32"/>
          <w:szCs w:val="32"/>
        </w:rPr>
      </w:pPr>
      <w:bookmarkStart w:id="4" w:name="_Toc152320429"/>
      <w:bookmarkStart w:id="5" w:name="_Toc864465875"/>
      <w:r>
        <w:rPr>
          <w:rFonts w:hint="eastAsia" w:ascii="Times New Roman" w:hAnsi="Times New Roman" w:cs="黑体"/>
          <w:b/>
          <w:bCs/>
          <w:sz w:val="32"/>
          <w:szCs w:val="32"/>
        </w:rPr>
        <w:t>一、专项资金实施背景</w:t>
      </w:r>
      <w:bookmarkEnd w:id="4"/>
      <w:bookmarkEnd w:id="5"/>
    </w:p>
    <w:p>
      <w:pPr>
        <w:ind w:firstLine="560" w:firstLineChars="200"/>
        <w:rPr>
          <w:rFonts w:ascii="Times New Roman" w:hAnsi="Times New Roman" w:cs="Times New Roman"/>
          <w:color w:val="000000"/>
        </w:rPr>
      </w:pPr>
      <w:bookmarkStart w:id="6" w:name="_Toc881946015"/>
      <w:r>
        <w:rPr>
          <w:rFonts w:ascii="Times New Roman" w:hAnsi="Times New Roman" w:cs="Arial"/>
          <w:color w:val="191919"/>
          <w:shd w:val="clear" w:color="auto" w:fill="FFFFFF"/>
        </w:rPr>
        <w:t>社会救助事关困难群众基本生活和衣食冷暖，是保障基本民生、促进社会公平、维护社会稳定的兜底性、基础性制度安排，也是集中体现我们党全心全意为人民服务根本宗旨和中国特色社会主义制度优越性的民心事业。</w:t>
      </w:r>
      <w:r>
        <w:rPr>
          <w:rFonts w:hint="eastAsia" w:ascii="Times New Roman" w:hAnsi="Times New Roman" w:cs="Times New Roman"/>
          <w:color w:val="000000"/>
        </w:rPr>
        <w:t>改革开放以来，我国社会救助制度不断完善。</w:t>
      </w:r>
      <w:r>
        <w:rPr>
          <w:rFonts w:ascii="Times New Roman" w:hAnsi="Times New Roman" w:cs="Times New Roman"/>
          <w:color w:val="000000"/>
        </w:rPr>
        <w:t>2014年，国务院颁布实施了《社会救助暂行办法》，以行政法规的形式规定了“8+1”的社会救助体系，即以最低生活保障、特困人员供养、受灾人员救助、医疗救助、教育救助、住房救助、就业救助、临时救助等8项社会救助制度为主体，社会力量参与为补充。</w:t>
      </w:r>
    </w:p>
    <w:p>
      <w:pPr>
        <w:ind w:firstLine="560" w:firstLineChars="200"/>
        <w:rPr>
          <w:rFonts w:ascii="Times New Roman" w:hAnsi="Times New Roman" w:cs="Times New Roman"/>
          <w:color w:val="000000"/>
        </w:rPr>
      </w:pPr>
      <w:r>
        <w:rPr>
          <w:rFonts w:hint="eastAsia" w:ascii="Times New Roman" w:hAnsi="Times New Roman" w:cs="Times New Roman"/>
          <w:color w:val="000000"/>
        </w:rPr>
        <w:t>困难群众救助补助资金是指中央财政补助以及省级财政和市县财政安排的，用于发放城乡最低基本生活保障、特困人员救助供养、临时救助、残疾人两项补贴、困难老年人补贴、流浪乞讨人员救助、孤儿和艾滋病病毒感染儿童基本生活保障、事实无人抚养儿童基本生活保障等的资金。惠安县困难群众救助补助资金由县财政局和县民政局按职责分工管理。县民政局负责补助资金日常管理工作，配合县财政局制定补助资金管理制度，规范补助资金预算编制和资金分配，提出补助资金绩效目标并实施监控评价，不断提高资金使用绩效等，切实维护困难群众基本生活权益。补助资金主要用于保障困难群众基本生活，为生活无着的流浪乞讨人员提供临时救助，对流浪未成年人履行临时监护责任，保障孤儿和艾滋病病毒感染儿童生存，使其生活得更有尊严，更好融入社会。对于确保城乡困难群众享有与脱贫攻坚进程和同步小康进程相适应的基本生活水平具有重要意义。</w:t>
      </w:r>
    </w:p>
    <w:p>
      <w:pPr>
        <w:spacing w:before="156" w:beforeLines="50" w:after="156" w:afterLines="50"/>
        <w:ind w:firstLine="643" w:firstLineChars="200"/>
        <w:outlineLvl w:val="1"/>
        <w:rPr>
          <w:rFonts w:ascii="Times New Roman" w:hAnsi="Times New Roman" w:cs="黑体"/>
          <w:b/>
          <w:bCs/>
          <w:sz w:val="32"/>
          <w:szCs w:val="32"/>
        </w:rPr>
      </w:pPr>
      <w:bookmarkStart w:id="7" w:name="_Toc152320430"/>
      <w:r>
        <w:rPr>
          <w:rFonts w:hint="eastAsia" w:ascii="Times New Roman" w:hAnsi="Times New Roman" w:cs="黑体"/>
          <w:b/>
          <w:bCs/>
          <w:sz w:val="32"/>
          <w:szCs w:val="32"/>
        </w:rPr>
        <w:t>二、专项资金实施依据</w:t>
      </w:r>
      <w:bookmarkEnd w:id="6"/>
      <w:bookmarkEnd w:id="7"/>
    </w:p>
    <w:p>
      <w:pPr>
        <w:ind w:firstLine="560" w:firstLineChars="200"/>
        <w:rPr>
          <w:rFonts w:ascii="Times New Roman" w:hAnsi="Times New Roman"/>
        </w:rPr>
      </w:pPr>
      <w:r>
        <w:rPr>
          <w:rFonts w:hint="eastAsia" w:ascii="Times New Roman" w:hAnsi="Times New Roman" w:cs="Times New Roman"/>
          <w:szCs w:val="28"/>
        </w:rPr>
        <w:t>本专项资金立项依据为《泉州市民政局 泉州市财政局 泉州市人力资源和社会保障局</w:t>
      </w:r>
      <w:r>
        <w:rPr>
          <w:rFonts w:ascii="Times New Roman" w:hAnsi="Times New Roman" w:cs="Times New Roman"/>
          <w:szCs w:val="28"/>
        </w:rPr>
        <w:t>关于贯彻落实进一步做好困难群众基本生活保障工作的通知》（泉民保〔2020〕14号）</w:t>
      </w:r>
      <w:r>
        <w:rPr>
          <w:rFonts w:hint="eastAsia" w:ascii="Times New Roman" w:hAnsi="Times New Roman" w:cs="Times New Roman"/>
          <w:szCs w:val="28"/>
        </w:rPr>
        <w:t>、《</w:t>
      </w:r>
      <w:r>
        <w:rPr>
          <w:rFonts w:ascii="Times New Roman" w:hAnsi="Times New Roman" w:cs="Times New Roman"/>
          <w:szCs w:val="28"/>
        </w:rPr>
        <w:t>惠安县民政局 惠安县财政局关于做好惠安县城乡居民最低生活保障工作的通知》（惠民〔2020〕56号）</w:t>
      </w:r>
      <w:r>
        <w:rPr>
          <w:rFonts w:hint="eastAsia" w:ascii="Times New Roman" w:hAnsi="Times New Roman" w:cs="Times New Roman"/>
          <w:szCs w:val="28"/>
        </w:rPr>
        <w:t>、</w:t>
      </w:r>
      <w:r>
        <w:rPr>
          <w:rFonts w:hint="eastAsia" w:ascii="Times New Roman" w:hAnsi="Times New Roman"/>
        </w:rPr>
        <w:t>《中共惠安县委办公室 惠安县人民政府办公室关于</w:t>
      </w:r>
      <w:r>
        <w:rPr>
          <w:rFonts w:ascii="Times New Roman" w:hAnsi="Times New Roman" w:cs="Times New Roman"/>
        </w:rPr>
        <w:t>2022</w:t>
      </w:r>
      <w:r>
        <w:rPr>
          <w:rFonts w:hint="eastAsia" w:ascii="Times New Roman" w:hAnsi="Times New Roman"/>
        </w:rPr>
        <w:t>年县委县</w:t>
      </w:r>
      <w:r>
        <w:rPr>
          <w:rFonts w:hint="eastAsia" w:ascii="Times New Roman" w:hAnsi="Times New Roman" w:cs="Times New Roman"/>
          <w:szCs w:val="28"/>
        </w:rPr>
        <w:t>政府为民办实事项目责任分解的通知》（惠委办〔</w:t>
      </w:r>
      <w:r>
        <w:rPr>
          <w:rFonts w:ascii="Times New Roman" w:hAnsi="Times New Roman" w:cs="Times New Roman"/>
          <w:szCs w:val="28"/>
        </w:rPr>
        <w:t>2021</w:t>
      </w:r>
      <w:r>
        <w:rPr>
          <w:rFonts w:hint="eastAsia" w:ascii="Times New Roman" w:hAnsi="Times New Roman" w:cs="Times New Roman"/>
          <w:szCs w:val="28"/>
        </w:rPr>
        <w:t>〕</w:t>
      </w:r>
      <w:r>
        <w:rPr>
          <w:rFonts w:ascii="Times New Roman" w:hAnsi="Times New Roman" w:cs="Times New Roman"/>
          <w:szCs w:val="28"/>
        </w:rPr>
        <w:t>74</w:t>
      </w:r>
      <w:r>
        <w:rPr>
          <w:rFonts w:hint="eastAsia" w:ascii="Times New Roman" w:hAnsi="Times New Roman" w:cs="Times New Roman"/>
          <w:szCs w:val="28"/>
        </w:rPr>
        <w:t>号）、</w:t>
      </w:r>
      <w:r>
        <w:rPr>
          <w:rFonts w:hint="eastAsia" w:ascii="Times New Roman" w:hAnsi="Times New Roman"/>
        </w:rPr>
        <w:t>《中共惠安县委办公室 惠安县人民政府办公室关于</w:t>
      </w:r>
      <w:r>
        <w:rPr>
          <w:rFonts w:ascii="Times New Roman" w:hAnsi="Times New Roman" w:cs="Times New Roman"/>
        </w:rPr>
        <w:t>2021</w:t>
      </w:r>
      <w:r>
        <w:rPr>
          <w:rFonts w:hint="eastAsia" w:ascii="Times New Roman" w:hAnsi="Times New Roman"/>
        </w:rPr>
        <w:t>年县委县</w:t>
      </w:r>
      <w:r>
        <w:rPr>
          <w:rFonts w:hint="eastAsia" w:ascii="Times New Roman" w:hAnsi="Times New Roman" w:cs="Times New Roman"/>
          <w:szCs w:val="28"/>
        </w:rPr>
        <w:t>政府为民办实事项目责任分解的通知》（惠委办〔</w:t>
      </w:r>
      <w:r>
        <w:rPr>
          <w:rFonts w:ascii="Times New Roman" w:hAnsi="Times New Roman" w:cs="Times New Roman"/>
          <w:szCs w:val="28"/>
        </w:rPr>
        <w:t>2021</w:t>
      </w:r>
      <w:r>
        <w:rPr>
          <w:rFonts w:hint="eastAsia" w:ascii="Times New Roman" w:hAnsi="Times New Roman" w:cs="Times New Roman"/>
          <w:szCs w:val="28"/>
        </w:rPr>
        <w:t>〕</w:t>
      </w:r>
      <w:r>
        <w:rPr>
          <w:rFonts w:ascii="Times New Roman" w:hAnsi="Times New Roman" w:cs="Times New Roman"/>
          <w:szCs w:val="28"/>
        </w:rPr>
        <w:t>8</w:t>
      </w:r>
      <w:r>
        <w:rPr>
          <w:rFonts w:hint="eastAsia" w:ascii="Times New Roman" w:hAnsi="Times New Roman" w:cs="Times New Roman"/>
          <w:szCs w:val="28"/>
        </w:rPr>
        <w:t>号）等政策文件。</w:t>
      </w:r>
    </w:p>
    <w:p>
      <w:pPr>
        <w:ind w:firstLine="560" w:firstLineChars="200"/>
        <w:rPr>
          <w:rFonts w:ascii="Times New Roman" w:hAnsi="Times New Roman" w:cs="Times New Roman"/>
          <w:szCs w:val="28"/>
        </w:rPr>
      </w:pPr>
      <w:bookmarkStart w:id="8" w:name="_Hlk149467172"/>
      <w:r>
        <w:rPr>
          <w:rFonts w:hint="eastAsia" w:ascii="Times New Roman" w:hAnsi="Times New Roman" w:cs="Times New Roman"/>
          <w:szCs w:val="28"/>
        </w:rPr>
        <w:t>本专项资金设立申请、经费批复与实施的过程文件</w:t>
      </w:r>
      <w:bookmarkEnd w:id="8"/>
      <w:r>
        <w:rPr>
          <w:rFonts w:hint="eastAsia" w:ascii="Times New Roman" w:hAnsi="Times New Roman" w:cs="Times New Roman"/>
          <w:szCs w:val="28"/>
        </w:rPr>
        <w:t>为《</w:t>
      </w:r>
      <w:r>
        <w:rPr>
          <w:rFonts w:ascii="Times New Roman" w:hAnsi="Times New Roman" w:cs="Times New Roman"/>
          <w:szCs w:val="28"/>
        </w:rPr>
        <w:t>惠安县人民政府关于完善困难残疾人生活补贴和重度残疾人护理补贴制度的实施意见》（惠政文〔2016〕75号）、</w:t>
      </w:r>
      <w:r>
        <w:rPr>
          <w:rFonts w:hint="eastAsia" w:ascii="Times New Roman" w:hAnsi="Times New Roman" w:cs="Times New Roman"/>
          <w:szCs w:val="28"/>
        </w:rPr>
        <w:t>《</w:t>
      </w:r>
      <w:r>
        <w:rPr>
          <w:rFonts w:ascii="Times New Roman" w:hAnsi="Times New Roman" w:cs="Times New Roman"/>
          <w:szCs w:val="28"/>
        </w:rPr>
        <w:t>惠安县人民政府办公室关于印发惠安县城乡居民临时救助实施方案的通知》（惠政办〔2019〕61号）、</w:t>
      </w:r>
      <w:r>
        <w:rPr>
          <w:rFonts w:hint="eastAsia" w:ascii="Times New Roman" w:hAnsi="Times New Roman" w:cs="Times New Roman"/>
          <w:szCs w:val="28"/>
        </w:rPr>
        <w:t>《福建省民政厅等</w:t>
      </w:r>
      <w:r>
        <w:rPr>
          <w:rFonts w:ascii="Times New Roman" w:hAnsi="Times New Roman" w:cs="Times New Roman"/>
          <w:szCs w:val="28"/>
        </w:rPr>
        <w:t>4部门关于做好残疾人两项补贴提标并建立动态调整机制工作的通知》（闽民事〔2019〕168号）</w:t>
      </w:r>
      <w:r>
        <w:rPr>
          <w:rFonts w:hint="eastAsia" w:ascii="Times New Roman" w:hAnsi="Times New Roman" w:cs="Times New Roman"/>
          <w:szCs w:val="28"/>
        </w:rPr>
        <w:t>等通知以及近年的惠安县困难群众救助补助资金申报表等。</w:t>
      </w:r>
    </w:p>
    <w:p>
      <w:pPr>
        <w:spacing w:before="156" w:beforeLines="50" w:after="156" w:afterLines="50"/>
        <w:ind w:firstLine="643" w:firstLineChars="200"/>
        <w:outlineLvl w:val="1"/>
        <w:rPr>
          <w:rFonts w:ascii="Times New Roman" w:hAnsi="Times New Roman" w:cs="黑体"/>
          <w:b/>
          <w:bCs/>
          <w:sz w:val="32"/>
          <w:szCs w:val="32"/>
        </w:rPr>
      </w:pPr>
      <w:bookmarkStart w:id="9" w:name="_Toc1019056815"/>
      <w:bookmarkStart w:id="10" w:name="_Toc152320431"/>
      <w:r>
        <w:rPr>
          <w:rFonts w:hint="eastAsia" w:ascii="Times New Roman" w:hAnsi="Times New Roman" w:cs="黑体"/>
          <w:b/>
          <w:bCs/>
          <w:sz w:val="32"/>
          <w:szCs w:val="32"/>
        </w:rPr>
        <w:t>三、专项资金实施目标</w:t>
      </w:r>
      <w:bookmarkEnd w:id="9"/>
      <w:bookmarkEnd w:id="10"/>
    </w:p>
    <w:p>
      <w:pPr>
        <w:ind w:firstLine="560" w:firstLineChars="200"/>
        <w:rPr>
          <w:rFonts w:ascii="Times New Roman" w:hAnsi="Times New Roman"/>
        </w:rPr>
      </w:pPr>
      <w:r>
        <w:rPr>
          <w:rFonts w:hint="eastAsia" w:ascii="Times New Roman" w:hAnsi="Times New Roman" w:cs="Times New Roman"/>
          <w:szCs w:val="28"/>
        </w:rPr>
        <w:t>依据《中共惠安县委办公室惠安县人民政府办公室 关于</w:t>
      </w:r>
      <w:r>
        <w:rPr>
          <w:rFonts w:ascii="Times New Roman" w:hAnsi="Times New Roman" w:cs="Times New Roman"/>
          <w:szCs w:val="28"/>
        </w:rPr>
        <w:t>2022</w:t>
      </w:r>
      <w:r>
        <w:rPr>
          <w:rFonts w:hint="eastAsia" w:ascii="Times New Roman" w:hAnsi="Times New Roman" w:cs="Times New Roman"/>
          <w:szCs w:val="28"/>
        </w:rPr>
        <w:t>年县委县政府为民办实事项目责任分解的通知》（惠委办〔</w:t>
      </w:r>
      <w:r>
        <w:rPr>
          <w:rFonts w:ascii="Times New Roman" w:hAnsi="Times New Roman" w:cs="Times New Roman"/>
          <w:szCs w:val="28"/>
        </w:rPr>
        <w:t>2021</w:t>
      </w:r>
      <w:r>
        <w:rPr>
          <w:rFonts w:hint="eastAsia" w:ascii="Times New Roman" w:hAnsi="Times New Roman" w:cs="Times New Roman"/>
          <w:szCs w:val="28"/>
        </w:rPr>
        <w:t>〕</w:t>
      </w:r>
      <w:r>
        <w:rPr>
          <w:rFonts w:ascii="Times New Roman" w:hAnsi="Times New Roman" w:cs="Times New Roman"/>
          <w:szCs w:val="28"/>
        </w:rPr>
        <w:t>74</w:t>
      </w:r>
      <w:r>
        <w:rPr>
          <w:rFonts w:hint="eastAsia" w:ascii="Times New Roman" w:hAnsi="Times New Roman" w:cs="Times New Roman"/>
          <w:szCs w:val="28"/>
        </w:rPr>
        <w:t>号）、《中共惠安县委办公室惠安县人民政府办公室 关于</w:t>
      </w:r>
      <w:r>
        <w:rPr>
          <w:rFonts w:ascii="Times New Roman" w:hAnsi="Times New Roman" w:cs="Times New Roman"/>
          <w:szCs w:val="28"/>
        </w:rPr>
        <w:t>2021</w:t>
      </w:r>
      <w:r>
        <w:rPr>
          <w:rFonts w:hint="eastAsia" w:ascii="Times New Roman" w:hAnsi="Times New Roman" w:cs="Times New Roman"/>
          <w:szCs w:val="28"/>
        </w:rPr>
        <w:t>年县委县政府为民办实事项目责任分解的通知》（惠委办〔</w:t>
      </w:r>
      <w:r>
        <w:rPr>
          <w:rFonts w:ascii="Times New Roman" w:hAnsi="Times New Roman" w:cs="Times New Roman"/>
          <w:szCs w:val="28"/>
        </w:rPr>
        <w:t>2021</w:t>
      </w:r>
      <w:r>
        <w:rPr>
          <w:rFonts w:hint="eastAsia" w:ascii="Times New Roman" w:hAnsi="Times New Roman" w:cs="Times New Roman"/>
          <w:szCs w:val="28"/>
        </w:rPr>
        <w:t>〕</w:t>
      </w:r>
      <w:r>
        <w:rPr>
          <w:rFonts w:ascii="Times New Roman" w:hAnsi="Times New Roman" w:cs="Times New Roman"/>
          <w:szCs w:val="28"/>
        </w:rPr>
        <w:t>8</w:t>
      </w:r>
      <w:r>
        <w:rPr>
          <w:rFonts w:hint="eastAsia" w:ascii="Times New Roman" w:hAnsi="Times New Roman" w:cs="Times New Roman"/>
          <w:szCs w:val="28"/>
        </w:rPr>
        <w:t>号）等文件精神，困难群众救助补助专项资金用于特困人员救助供养、城乡低保、临时救助、流浪乞讨人员救助（含农村留守儿童、困境儿童等未成年人的应急处置、救助帮扶、监护支持、精神关爱等社会保护支出）、孤儿（含艾滋病病毒感染儿童和事实无人扶养儿童）基本生活保障补助支出</w:t>
      </w:r>
      <w:r>
        <w:rPr>
          <w:rFonts w:ascii="Times New Roman" w:hAnsi="Times New Roman" w:cs="Times New Roman"/>
          <w:szCs w:val="28"/>
        </w:rPr>
        <w:t>。</w:t>
      </w:r>
      <w:r>
        <w:rPr>
          <w:rFonts w:hint="eastAsia" w:ascii="Times New Roman" w:hAnsi="Times New Roman" w:cs="Times New Roman"/>
          <w:szCs w:val="28"/>
        </w:rPr>
        <w:t>本项目总体目标为：实现对符合条件的困难群众“应保尽保”，大力完善社会救助保障体系，实行社会化逐月发放最低生活保障金，并根据社会经济发展水平，不断提高城乡低保标准和补助水平，着力改善民生，为困难群众的基本生活实施兜底保障。</w:t>
      </w:r>
      <w:r>
        <w:rPr>
          <w:rFonts w:ascii="Times New Roman" w:hAnsi="Times New Roman" w:cs="Times New Roman"/>
          <w:szCs w:val="28"/>
        </w:rPr>
        <w:t>2022</w:t>
      </w:r>
      <w:r>
        <w:rPr>
          <w:rFonts w:hint="eastAsia" w:ascii="Times New Roman" w:hAnsi="Times New Roman" w:cs="Times New Roman"/>
          <w:szCs w:val="28"/>
        </w:rPr>
        <w:t>年度和</w:t>
      </w:r>
      <w:r>
        <w:rPr>
          <w:rFonts w:ascii="Times New Roman" w:hAnsi="Times New Roman" w:cs="Times New Roman"/>
          <w:szCs w:val="28"/>
        </w:rPr>
        <w:t>2021</w:t>
      </w:r>
      <w:r>
        <w:rPr>
          <w:rFonts w:hint="eastAsia" w:ascii="Times New Roman" w:hAnsi="Times New Roman" w:cs="Times New Roman"/>
          <w:szCs w:val="28"/>
        </w:rPr>
        <w:t>年度实施目标均为：在规定时间内按照低保标准为困难群众发放补助，解决困难群众的基本生活困难，为其的基本生活实施兜底保障，维持</w:t>
      </w:r>
      <w:r>
        <w:rPr>
          <w:rFonts w:ascii="Times New Roman" w:hAnsi="Times New Roman" w:cs="Times New Roman"/>
          <w:szCs w:val="28"/>
        </w:rPr>
        <w:t>100%</w:t>
      </w:r>
      <w:r>
        <w:rPr>
          <w:rFonts w:hint="eastAsia" w:ascii="Times New Roman" w:hAnsi="Times New Roman" w:cs="Times New Roman"/>
          <w:szCs w:val="28"/>
        </w:rPr>
        <w:t>的低保救助率，并对低保对象进行入户抽查，提高困难群众等人群对低保政策的知晓率和认同感，努力提升低保对象满意度。</w:t>
      </w:r>
    </w:p>
    <w:p>
      <w:pPr>
        <w:tabs>
          <w:tab w:val="left" w:pos="2694"/>
        </w:tabs>
        <w:spacing w:before="156" w:beforeLines="50" w:after="156" w:afterLines="50"/>
        <w:ind w:firstLine="643" w:firstLineChars="200"/>
        <w:outlineLvl w:val="1"/>
        <w:rPr>
          <w:rFonts w:ascii="Times New Roman" w:hAnsi="Times New Roman" w:cs="黑体"/>
          <w:b/>
          <w:bCs/>
          <w:sz w:val="32"/>
          <w:szCs w:val="32"/>
        </w:rPr>
      </w:pPr>
      <w:bookmarkStart w:id="11" w:name="_Toc152320432"/>
      <w:bookmarkStart w:id="12" w:name="_Toc1474093742"/>
      <w:r>
        <w:rPr>
          <w:rFonts w:hint="eastAsia" w:ascii="Times New Roman" w:hAnsi="Times New Roman" w:cs="黑体"/>
          <w:b/>
          <w:bCs/>
          <w:sz w:val="32"/>
          <w:szCs w:val="32"/>
        </w:rPr>
        <w:t>四、专项资金执行情况</w:t>
      </w:r>
      <w:bookmarkEnd w:id="11"/>
      <w:bookmarkEnd w:id="12"/>
    </w:p>
    <w:p>
      <w:pPr>
        <w:ind w:firstLine="560" w:firstLineChars="200"/>
        <w:rPr>
          <w:rFonts w:ascii="Times New Roman" w:hAnsi="Times New Roman" w:cs="Times New Roman"/>
          <w:szCs w:val="28"/>
        </w:rPr>
      </w:pPr>
      <w:bookmarkStart w:id="13" w:name="_Hlk115714663"/>
      <w:r>
        <w:rPr>
          <w:rFonts w:hint="eastAsia" w:ascii="Times New Roman" w:hAnsi="Times New Roman" w:cs="Times New Roman"/>
          <w:szCs w:val="28"/>
        </w:rPr>
        <w:t>根据《</w:t>
      </w:r>
      <w:r>
        <w:rPr>
          <w:rFonts w:ascii="Times New Roman" w:hAnsi="Times New Roman" w:cs="Times New Roman"/>
          <w:szCs w:val="28"/>
        </w:rPr>
        <w:t>惠安县民政局 惠安县财政局关于做好惠安县城乡居民最低生活保障工作的通知》（惠民〔2020〕56号）</w:t>
      </w:r>
      <w:r>
        <w:rPr>
          <w:rFonts w:hint="eastAsia" w:ascii="Times New Roman" w:hAnsi="Times New Roman" w:cs="Times New Roman"/>
          <w:szCs w:val="28"/>
        </w:rPr>
        <w:t>、《</w:t>
      </w:r>
      <w:r>
        <w:rPr>
          <w:rFonts w:ascii="Times New Roman" w:hAnsi="Times New Roman" w:cs="Times New Roman"/>
          <w:szCs w:val="28"/>
        </w:rPr>
        <w:t>惠安县人民政府关于完善困难残疾人生活补贴和重度残疾人护理补贴制度的实施意见》（惠政文〔2016〕75号）、</w:t>
      </w:r>
      <w:r>
        <w:rPr>
          <w:rFonts w:hint="eastAsia" w:ascii="Times New Roman" w:hAnsi="Times New Roman" w:cs="Times New Roman"/>
          <w:szCs w:val="28"/>
        </w:rPr>
        <w:t>《</w:t>
      </w:r>
      <w:r>
        <w:rPr>
          <w:rFonts w:ascii="Times New Roman" w:hAnsi="Times New Roman" w:cs="Times New Roman"/>
          <w:szCs w:val="28"/>
        </w:rPr>
        <w:t>惠安县人民政府办公室关于印发惠安县城乡居民临时救助实施方案的通知》（惠政办〔2019〕61号）、</w:t>
      </w:r>
      <w:r>
        <w:rPr>
          <w:rFonts w:hint="eastAsia" w:ascii="Times New Roman" w:hAnsi="Times New Roman" w:cs="Times New Roman"/>
          <w:szCs w:val="28"/>
        </w:rPr>
        <w:t>《福建省民政厅等</w:t>
      </w:r>
      <w:r>
        <w:rPr>
          <w:rFonts w:ascii="Times New Roman" w:hAnsi="Times New Roman" w:cs="Times New Roman"/>
          <w:szCs w:val="28"/>
        </w:rPr>
        <w:t>4部门关于做好残疾人两项补贴提标并建立动态调整机制工作的通知》（闽民事〔2019〕168号）、</w:t>
      </w:r>
      <w:r>
        <w:rPr>
          <w:rFonts w:hint="eastAsia" w:ascii="Times New Roman" w:hAnsi="Times New Roman" w:cs="Times New Roman"/>
          <w:szCs w:val="28"/>
        </w:rPr>
        <w:t>《</w:t>
      </w:r>
      <w:r>
        <w:rPr>
          <w:rFonts w:ascii="Times New Roman" w:hAnsi="Times New Roman" w:cs="Times New Roman"/>
          <w:szCs w:val="28"/>
        </w:rPr>
        <w:t>关于贯彻落实进一步做好困难群众基本生活保障工作的通知》（泉民保（2020）14号）</w:t>
      </w:r>
      <w:r>
        <w:rPr>
          <w:rFonts w:hint="eastAsia" w:ascii="Times New Roman" w:hAnsi="Times New Roman" w:cs="Times New Roman"/>
          <w:szCs w:val="28"/>
        </w:rPr>
        <w:t>等资金下达文件，</w:t>
      </w:r>
      <w:r>
        <w:rPr>
          <w:rFonts w:ascii="Times New Roman" w:hAnsi="Times New Roman" w:cs="Times New Roman"/>
          <w:szCs w:val="28"/>
        </w:rPr>
        <w:t>2021</w:t>
      </w:r>
      <w:r>
        <w:rPr>
          <w:rFonts w:hint="eastAsia" w:ascii="Times New Roman" w:hAnsi="Times New Roman" w:cs="Times New Roman"/>
          <w:szCs w:val="28"/>
        </w:rPr>
        <w:t>年度预算安排金额为</w:t>
      </w:r>
      <w:r>
        <w:rPr>
          <w:rFonts w:ascii="Times New Roman" w:hAnsi="Times New Roman" w:cs="Times New Roman"/>
          <w:szCs w:val="28"/>
        </w:rPr>
        <w:t>7913.22</w:t>
      </w:r>
      <w:r>
        <w:rPr>
          <w:rFonts w:hint="eastAsia" w:ascii="Times New Roman" w:hAnsi="Times New Roman" w:cs="Times New Roman"/>
          <w:szCs w:val="28"/>
        </w:rPr>
        <w:t>万元，其中：财政资金</w:t>
      </w:r>
      <w:r>
        <w:rPr>
          <w:rFonts w:ascii="Times New Roman" w:hAnsi="Times New Roman" w:cs="Times New Roman"/>
          <w:szCs w:val="28"/>
        </w:rPr>
        <w:t>-中央财政资金0.00万元、财政资金-省财政资金2839.72万元、财政资金-地方财政资金5415.90万元、历年结余资金108.70万元、其他资金798.28万元</w:t>
      </w:r>
      <w:r>
        <w:rPr>
          <w:rFonts w:hint="eastAsia" w:ascii="Times New Roman" w:hAnsi="Times New Roman" w:cs="Times New Roman"/>
          <w:szCs w:val="28"/>
        </w:rPr>
        <w:t>，实际支出金额为</w:t>
      </w:r>
      <w:r>
        <w:rPr>
          <w:rFonts w:ascii="Times New Roman" w:hAnsi="Times New Roman" w:cs="Times New Roman"/>
          <w:szCs w:val="28"/>
        </w:rPr>
        <w:t>7869.14</w:t>
      </w:r>
      <w:r>
        <w:rPr>
          <w:rFonts w:hint="eastAsia" w:ascii="Times New Roman" w:hAnsi="Times New Roman" w:cs="Times New Roman"/>
          <w:szCs w:val="28"/>
        </w:rPr>
        <w:t>万元，预算执行率为</w:t>
      </w:r>
      <w:r>
        <w:rPr>
          <w:rFonts w:ascii="Times New Roman" w:hAnsi="Times New Roman" w:cs="Times New Roman"/>
          <w:szCs w:val="28"/>
        </w:rPr>
        <w:t>99.44%</w:t>
      </w:r>
      <w:r>
        <w:rPr>
          <w:rFonts w:hint="eastAsia" w:ascii="Times New Roman" w:hAnsi="Times New Roman" w:cs="Times New Roman"/>
          <w:szCs w:val="28"/>
        </w:rPr>
        <w:t>。</w:t>
      </w:r>
    </w:p>
    <w:p>
      <w:pPr>
        <w:ind w:firstLine="560" w:firstLineChars="200"/>
        <w:rPr>
          <w:rFonts w:ascii="Times New Roman" w:hAnsi="Times New Roman" w:cs="Times New Roman"/>
          <w:szCs w:val="28"/>
        </w:rPr>
      </w:pPr>
      <w:r>
        <w:rPr>
          <w:rFonts w:hint="eastAsia" w:ascii="Times New Roman" w:hAnsi="Times New Roman" w:cs="Times New Roman"/>
          <w:szCs w:val="28"/>
        </w:rPr>
        <w:t>根据《惠安县民政局 惠安县财政局关于做好惠安县城乡居民最低生活保障工作的通知</w:t>
      </w:r>
      <w:r>
        <w:rPr>
          <w:rFonts w:ascii="Times New Roman" w:hAnsi="Times New Roman" w:cs="Times New Roman"/>
          <w:szCs w:val="28"/>
        </w:rPr>
        <w:t>》</w:t>
      </w:r>
      <w:r>
        <w:rPr>
          <w:rFonts w:hint="eastAsia" w:ascii="Times New Roman" w:hAnsi="Times New Roman" w:cs="Times New Roman"/>
          <w:szCs w:val="28"/>
        </w:rPr>
        <w:t>（惠民〔</w:t>
      </w:r>
      <w:r>
        <w:rPr>
          <w:rFonts w:ascii="Times New Roman" w:hAnsi="Times New Roman" w:cs="Times New Roman"/>
          <w:szCs w:val="28"/>
        </w:rPr>
        <w:t>2020〕56号</w:t>
      </w:r>
      <w:r>
        <w:rPr>
          <w:rFonts w:hint="eastAsia" w:ascii="Times New Roman" w:hAnsi="Times New Roman" w:cs="Times New Roman"/>
          <w:szCs w:val="28"/>
        </w:rPr>
        <w:t>）、《泉州市民政局 泉州市财政局转发关于调整孤儿及事实无人抚养儿童基本生活保障补助政策的通知</w:t>
      </w:r>
      <w:r>
        <w:rPr>
          <w:rFonts w:ascii="Times New Roman" w:hAnsi="Times New Roman" w:cs="Times New Roman"/>
          <w:szCs w:val="28"/>
        </w:rPr>
        <w:t>》</w:t>
      </w:r>
      <w:r>
        <w:rPr>
          <w:rFonts w:hint="eastAsia" w:ascii="Times New Roman" w:hAnsi="Times New Roman" w:cs="Times New Roman"/>
          <w:szCs w:val="28"/>
        </w:rPr>
        <w:t>（</w:t>
      </w:r>
      <w:r>
        <w:rPr>
          <w:rFonts w:ascii="Times New Roman" w:hAnsi="Times New Roman" w:cs="Times New Roman"/>
          <w:szCs w:val="28"/>
        </w:rPr>
        <w:t>泉民福〔2020〕20号</w:t>
      </w:r>
      <w:r>
        <w:rPr>
          <w:rFonts w:hint="eastAsia" w:ascii="Times New Roman" w:hAnsi="Times New Roman" w:cs="Times New Roman"/>
          <w:szCs w:val="28"/>
        </w:rPr>
        <w:t>）</w:t>
      </w:r>
      <w:r>
        <w:rPr>
          <w:rFonts w:ascii="Times New Roman" w:hAnsi="Times New Roman" w:cs="Times New Roman"/>
          <w:szCs w:val="28"/>
        </w:rPr>
        <w:t xml:space="preserve"> </w:t>
      </w:r>
      <w:r>
        <w:rPr>
          <w:rFonts w:hint="eastAsia" w:ascii="Times New Roman" w:hAnsi="Times New Roman" w:cs="Times New Roman"/>
          <w:szCs w:val="28"/>
        </w:rPr>
        <w:t>、《福建省财政厅福建省民政厅关于提前下达</w:t>
      </w:r>
      <w:r>
        <w:rPr>
          <w:rFonts w:ascii="Times New Roman" w:hAnsi="Times New Roman" w:cs="Times New Roman"/>
          <w:szCs w:val="28"/>
        </w:rPr>
        <w:t>2022 年困难群众救助补助资金预算的通知》</w:t>
      </w:r>
      <w:r>
        <w:rPr>
          <w:rFonts w:hint="eastAsia" w:ascii="Times New Roman" w:hAnsi="Times New Roman" w:cs="Times New Roman"/>
          <w:szCs w:val="28"/>
        </w:rPr>
        <w:t>（闽财社指</w:t>
      </w:r>
      <w:r>
        <w:rPr>
          <w:rFonts w:ascii="Times New Roman" w:hAnsi="Times New Roman" w:cs="Times New Roman"/>
          <w:szCs w:val="28"/>
        </w:rPr>
        <w:t>〔2021〕79号</w:t>
      </w:r>
      <w:r>
        <w:rPr>
          <w:rFonts w:hint="eastAsia" w:ascii="Times New Roman" w:hAnsi="Times New Roman" w:cs="Times New Roman"/>
          <w:szCs w:val="28"/>
        </w:rPr>
        <w:t>）、《泉州市财政局泉州市民政局关于提前下达</w:t>
      </w:r>
      <w:r>
        <w:rPr>
          <w:rFonts w:ascii="Times New Roman" w:hAnsi="Times New Roman" w:cs="Times New Roman"/>
          <w:szCs w:val="28"/>
        </w:rPr>
        <w:t>2022年城乡低保市级补助资金的通知》</w:t>
      </w:r>
      <w:r>
        <w:rPr>
          <w:rFonts w:hint="eastAsia" w:ascii="Times New Roman" w:hAnsi="Times New Roman" w:cs="Times New Roman"/>
          <w:szCs w:val="28"/>
        </w:rPr>
        <w:t>（泉财预</w:t>
      </w:r>
      <w:r>
        <w:rPr>
          <w:rFonts w:ascii="Times New Roman" w:hAnsi="Times New Roman" w:cs="Times New Roman"/>
          <w:szCs w:val="28"/>
        </w:rPr>
        <w:t>〔2021〕314号</w:t>
      </w:r>
      <w:r>
        <w:rPr>
          <w:rFonts w:hint="eastAsia" w:ascii="Times New Roman" w:hAnsi="Times New Roman" w:cs="Times New Roman"/>
          <w:szCs w:val="28"/>
        </w:rPr>
        <w:t>）等资金下达文件，</w:t>
      </w:r>
      <w:r>
        <w:rPr>
          <w:rFonts w:ascii="Times New Roman" w:hAnsi="Times New Roman" w:cs="Times New Roman"/>
          <w:szCs w:val="28"/>
        </w:rPr>
        <w:t>2022</w:t>
      </w:r>
      <w:r>
        <w:rPr>
          <w:rFonts w:hint="eastAsia" w:ascii="Times New Roman" w:hAnsi="Times New Roman" w:cs="Times New Roman"/>
          <w:szCs w:val="28"/>
        </w:rPr>
        <w:t>年度预算安排金额为</w:t>
      </w:r>
      <w:r>
        <w:rPr>
          <w:rFonts w:ascii="Times New Roman" w:hAnsi="Times New Roman" w:cs="Times New Roman"/>
          <w:szCs w:val="28"/>
        </w:rPr>
        <w:t>7745.22</w:t>
      </w:r>
      <w:r>
        <w:rPr>
          <w:rFonts w:hint="eastAsia" w:ascii="Times New Roman" w:hAnsi="Times New Roman" w:cs="Times New Roman"/>
          <w:szCs w:val="28"/>
        </w:rPr>
        <w:t>万元，实际支出金额为</w:t>
      </w:r>
      <w:r>
        <w:rPr>
          <w:rFonts w:ascii="Times New Roman" w:hAnsi="Times New Roman" w:cs="Times New Roman"/>
          <w:szCs w:val="28"/>
        </w:rPr>
        <w:t>7511.59</w:t>
      </w:r>
      <w:r>
        <w:rPr>
          <w:rFonts w:hint="eastAsia" w:ascii="Times New Roman" w:hAnsi="Times New Roman" w:cs="Times New Roman"/>
          <w:szCs w:val="28"/>
        </w:rPr>
        <w:t>万元，预算执行率为</w:t>
      </w:r>
      <w:r>
        <w:rPr>
          <w:rFonts w:ascii="Times New Roman" w:hAnsi="Times New Roman" w:cs="Times New Roman"/>
          <w:szCs w:val="28"/>
        </w:rPr>
        <w:t>96.98%</w:t>
      </w:r>
      <w:r>
        <w:rPr>
          <w:rFonts w:hint="eastAsia" w:ascii="Times New Roman" w:hAnsi="Times New Roman" w:cs="Times New Roman"/>
          <w:szCs w:val="28"/>
        </w:rPr>
        <w:t>。</w:t>
      </w:r>
      <w:r>
        <w:rPr>
          <w:rFonts w:ascii="Times New Roman" w:hAnsi="Times New Roman" w:cs="Times New Roman"/>
          <w:szCs w:val="28"/>
        </w:rPr>
        <w:t>2021</w:t>
      </w:r>
      <w:r>
        <w:rPr>
          <w:rFonts w:hint="eastAsia" w:ascii="Times New Roman" w:hAnsi="Times New Roman" w:cs="Times New Roman"/>
          <w:szCs w:val="28"/>
        </w:rPr>
        <w:t>-</w:t>
      </w:r>
      <w:r>
        <w:rPr>
          <w:rFonts w:ascii="Times New Roman" w:hAnsi="Times New Roman" w:cs="Times New Roman"/>
          <w:szCs w:val="28"/>
        </w:rPr>
        <w:t>2022</w:t>
      </w:r>
      <w:r>
        <w:rPr>
          <w:rFonts w:hint="eastAsia" w:ascii="Times New Roman" w:hAnsi="Times New Roman" w:cs="Times New Roman"/>
          <w:szCs w:val="28"/>
        </w:rPr>
        <w:t>年度的预算执行率为</w:t>
      </w:r>
      <w:r>
        <w:rPr>
          <w:rFonts w:ascii="Times New Roman" w:hAnsi="Times New Roman" w:cs="Times New Roman"/>
          <w:szCs w:val="28"/>
        </w:rPr>
        <w:t>98.21</w:t>
      </w:r>
      <w:r>
        <w:rPr>
          <w:rFonts w:hint="eastAsia" w:ascii="Times New Roman" w:hAnsi="Times New Roman" w:cs="Times New Roman"/>
          <w:szCs w:val="28"/>
        </w:rPr>
        <w:t>%。具体执行情况见表</w:t>
      </w:r>
      <w:r>
        <w:rPr>
          <w:rFonts w:ascii="Times New Roman" w:hAnsi="Times New Roman" w:cs="Times New Roman"/>
          <w:szCs w:val="28"/>
        </w:rPr>
        <w:t>1</w:t>
      </w:r>
      <w:r>
        <w:rPr>
          <w:rFonts w:hint="eastAsia" w:ascii="Times New Roman" w:hAnsi="Times New Roman" w:cs="Times New Roman"/>
          <w:szCs w:val="28"/>
        </w:rPr>
        <w:t>。</w:t>
      </w:r>
      <w:r>
        <w:rPr>
          <w:rFonts w:ascii="Times New Roman" w:hAnsi="Times New Roman" w:cs="Times New Roman"/>
          <w:szCs w:val="28"/>
        </w:rPr>
        <w:br w:type="page"/>
      </w:r>
    </w:p>
    <w:bookmarkEnd w:id="13"/>
    <w:p>
      <w:pPr>
        <w:jc w:val="center"/>
        <w:rPr>
          <w:rFonts w:ascii="Times New Roman" w:hAnsi="Times New Roman" w:cs="Times New Roman"/>
          <w:b/>
          <w:bCs/>
          <w:kern w:val="0"/>
          <w:sz w:val="24"/>
          <w:lang w:bidi="ar"/>
        </w:rPr>
      </w:pPr>
      <w:r>
        <w:rPr>
          <w:rFonts w:hint="eastAsia" w:ascii="Times New Roman" w:hAnsi="Times New Roman" w:cs="Times New Roman"/>
          <w:b/>
          <w:bCs/>
          <w:kern w:val="0"/>
          <w:sz w:val="24"/>
          <w:lang w:bidi="ar"/>
        </w:rPr>
        <w:t>表</w:t>
      </w:r>
      <w:r>
        <w:rPr>
          <w:rFonts w:ascii="Times New Roman" w:hAnsi="Times New Roman" w:cs="Times New Roman"/>
          <w:b/>
          <w:bCs/>
          <w:kern w:val="0"/>
          <w:sz w:val="24"/>
          <w:lang w:bidi="ar"/>
        </w:rPr>
        <w:t>1</w:t>
      </w:r>
      <w:r>
        <w:rPr>
          <w:rFonts w:hint="eastAsia" w:ascii="Times New Roman" w:hAnsi="Times New Roman" w:cs="Times New Roman"/>
          <w:b/>
          <w:bCs/>
          <w:kern w:val="0"/>
          <w:sz w:val="24"/>
          <w:lang w:bidi="ar"/>
        </w:rPr>
        <w:t xml:space="preserve">  </w:t>
      </w:r>
      <w:r>
        <w:rPr>
          <w:rFonts w:ascii="Times New Roman" w:hAnsi="Times New Roman" w:cs="Times New Roman"/>
          <w:b/>
          <w:bCs/>
          <w:kern w:val="0"/>
          <w:sz w:val="24"/>
          <w:lang w:bidi="ar"/>
        </w:rPr>
        <w:t>2021</w:t>
      </w:r>
      <w:r>
        <w:rPr>
          <w:rFonts w:hint="eastAsia" w:ascii="Times New Roman" w:hAnsi="Times New Roman" w:cs="Times New Roman"/>
          <w:b/>
          <w:bCs/>
          <w:kern w:val="0"/>
          <w:sz w:val="24"/>
          <w:lang w:bidi="ar"/>
        </w:rPr>
        <w:t>-</w:t>
      </w:r>
      <w:r>
        <w:rPr>
          <w:rFonts w:ascii="Times New Roman" w:hAnsi="Times New Roman" w:cs="Times New Roman"/>
          <w:b/>
          <w:bCs/>
          <w:kern w:val="0"/>
          <w:sz w:val="24"/>
          <w:lang w:bidi="ar"/>
        </w:rPr>
        <w:t>2022年</w:t>
      </w:r>
      <w:r>
        <w:rPr>
          <w:rFonts w:hint="eastAsia" w:ascii="Times New Roman" w:hAnsi="Times New Roman"/>
          <w:b/>
          <w:bCs/>
          <w:sz w:val="24"/>
        </w:rPr>
        <w:t>困难群众救助补助专项资金</w:t>
      </w:r>
      <w:r>
        <w:rPr>
          <w:rFonts w:ascii="Times New Roman" w:hAnsi="Times New Roman" w:cs="Times New Roman"/>
          <w:b/>
          <w:bCs/>
          <w:kern w:val="0"/>
          <w:sz w:val="24"/>
          <w:lang w:bidi="ar"/>
        </w:rPr>
        <w:t>预算</w:t>
      </w:r>
      <w:r>
        <w:rPr>
          <w:rFonts w:hint="eastAsia" w:ascii="Times New Roman" w:hAnsi="Times New Roman" w:cs="Times New Roman"/>
          <w:b/>
          <w:bCs/>
          <w:kern w:val="0"/>
          <w:sz w:val="24"/>
          <w:lang w:bidi="ar"/>
        </w:rPr>
        <w:t>执行情况表</w:t>
      </w:r>
    </w:p>
    <w:tbl>
      <w:tblPr>
        <w:tblStyle w:val="13"/>
        <w:tblW w:w="5346" w:type="pct"/>
        <w:tblInd w:w="-245" w:type="dxa"/>
        <w:tblLayout w:type="autofit"/>
        <w:tblCellMar>
          <w:top w:w="0" w:type="dxa"/>
          <w:left w:w="108" w:type="dxa"/>
          <w:bottom w:w="0" w:type="dxa"/>
          <w:right w:w="108" w:type="dxa"/>
        </w:tblCellMar>
      </w:tblPr>
      <w:tblGrid>
        <w:gridCol w:w="966"/>
        <w:gridCol w:w="2628"/>
        <w:gridCol w:w="1453"/>
        <w:gridCol w:w="1451"/>
        <w:gridCol w:w="2614"/>
      </w:tblGrid>
      <w:tr>
        <w:tblPrEx>
          <w:tblCellMar>
            <w:top w:w="0" w:type="dxa"/>
            <w:left w:w="108" w:type="dxa"/>
            <w:bottom w:w="0" w:type="dxa"/>
            <w:right w:w="108" w:type="dxa"/>
          </w:tblCellMar>
        </w:tblPrEx>
        <w:trPr>
          <w:trHeight w:val="289" w:hRule="atLeast"/>
          <w:tblHeader/>
        </w:trPr>
        <w:tc>
          <w:tcPr>
            <w:tcW w:w="530" w:type="pct"/>
            <w:tcBorders>
              <w:top w:val="single" w:color="auto" w:sz="12" w:space="0"/>
              <w:bottom w:val="single" w:color="auto" w:sz="4" w:space="0"/>
            </w:tcBorders>
            <w:shd w:val="clear" w:color="auto" w:fill="auto"/>
            <w:vAlign w:val="center"/>
          </w:tcPr>
          <w:p>
            <w:pPr>
              <w:widowControl/>
              <w:spacing w:line="240" w:lineRule="auto"/>
              <w:jc w:val="center"/>
              <w:rPr>
                <w:rFonts w:ascii="Times New Roman" w:hAnsi="Times New Roman" w:cs="宋体"/>
                <w:b/>
                <w:bCs/>
                <w:color w:val="000000"/>
                <w:kern w:val="0"/>
                <w:sz w:val="22"/>
                <w:szCs w:val="22"/>
              </w:rPr>
            </w:pPr>
            <w:bookmarkStart w:id="14" w:name="_Toc1389323381"/>
            <w:r>
              <w:rPr>
                <w:rFonts w:hint="eastAsia" w:ascii="Times New Roman" w:hAnsi="Times New Roman" w:cs="宋体"/>
                <w:b/>
                <w:bCs/>
                <w:color w:val="000000"/>
                <w:kern w:val="0"/>
                <w:sz w:val="22"/>
                <w:szCs w:val="22"/>
              </w:rPr>
              <w:t>所属预算年度</w:t>
            </w:r>
          </w:p>
        </w:tc>
        <w:tc>
          <w:tcPr>
            <w:tcW w:w="1441" w:type="pct"/>
            <w:tcBorders>
              <w:top w:val="single" w:color="auto" w:sz="12" w:space="0"/>
              <w:bottom w:val="single" w:color="auto" w:sz="4" w:space="0"/>
            </w:tcBorders>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项目</w:t>
            </w:r>
          </w:p>
        </w:tc>
        <w:tc>
          <w:tcPr>
            <w:tcW w:w="797" w:type="pct"/>
            <w:tcBorders>
              <w:top w:val="single" w:color="auto" w:sz="12" w:space="0"/>
              <w:bottom w:val="single" w:color="auto" w:sz="4" w:space="0"/>
            </w:tcBorders>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预算资金（万元）</w:t>
            </w:r>
          </w:p>
        </w:tc>
        <w:tc>
          <w:tcPr>
            <w:tcW w:w="796" w:type="pct"/>
            <w:tcBorders>
              <w:top w:val="single" w:color="auto" w:sz="12" w:space="0"/>
              <w:bottom w:val="single" w:color="auto" w:sz="4" w:space="0"/>
            </w:tcBorders>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实际支出（万元）</w:t>
            </w:r>
          </w:p>
        </w:tc>
        <w:tc>
          <w:tcPr>
            <w:tcW w:w="1433" w:type="pct"/>
            <w:tcBorders>
              <w:top w:val="single" w:color="auto" w:sz="12" w:space="0"/>
              <w:bottom w:val="single" w:color="auto" w:sz="4" w:space="0"/>
            </w:tcBorders>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文号</w:t>
            </w:r>
          </w:p>
        </w:tc>
      </w:tr>
      <w:tr>
        <w:tblPrEx>
          <w:tblCellMar>
            <w:top w:w="0" w:type="dxa"/>
            <w:left w:w="108" w:type="dxa"/>
            <w:bottom w:w="0" w:type="dxa"/>
            <w:right w:w="108" w:type="dxa"/>
          </w:tblCellMar>
        </w:tblPrEx>
        <w:trPr>
          <w:trHeight w:val="289" w:hRule="atLeast"/>
        </w:trPr>
        <w:tc>
          <w:tcPr>
            <w:tcW w:w="530" w:type="pct"/>
            <w:vMerge w:val="restart"/>
            <w:tcBorders>
              <w:top w:val="single" w:color="auto" w:sz="4" w:space="0"/>
            </w:tcBorders>
            <w:shd w:val="clear" w:color="auto" w:fill="auto"/>
            <w:vAlign w:val="center"/>
          </w:tcPr>
          <w:p>
            <w:pPr>
              <w:spacing w:line="240" w:lineRule="auto"/>
              <w:jc w:val="center"/>
              <w:rPr>
                <w:rFonts w:ascii="Times New Roman" w:hAnsi="Times New Roman" w:cs="宋体"/>
                <w:b/>
                <w:bCs/>
                <w:color w:val="000000"/>
                <w:kern w:val="0"/>
                <w:sz w:val="22"/>
                <w:szCs w:val="22"/>
              </w:rPr>
            </w:pPr>
            <w:r>
              <w:rPr>
                <w:rFonts w:ascii="Times New Roman" w:hAnsi="Times New Roman" w:cs="Times New Roman"/>
                <w:b/>
                <w:bCs/>
                <w:color w:val="000000"/>
                <w:kern w:val="0"/>
                <w:sz w:val="22"/>
                <w:szCs w:val="22"/>
              </w:rPr>
              <w:t>2021</w:t>
            </w:r>
            <w:r>
              <w:rPr>
                <w:rFonts w:hint="eastAsia" w:ascii="Times New Roman" w:hAnsi="Times New Roman" w:cs="宋体"/>
                <w:b/>
                <w:bCs/>
                <w:color w:val="000000"/>
                <w:kern w:val="0"/>
                <w:sz w:val="22"/>
                <w:szCs w:val="22"/>
              </w:rPr>
              <w:t>年</w:t>
            </w:r>
          </w:p>
        </w:tc>
        <w:tc>
          <w:tcPr>
            <w:tcW w:w="1441" w:type="pct"/>
            <w:tcBorders>
              <w:top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Times New Roman"/>
                <w:color w:val="000000"/>
                <w:kern w:val="0"/>
                <w:sz w:val="22"/>
                <w:szCs w:val="22"/>
              </w:rPr>
              <w:t>城乡低保补助</w:t>
            </w:r>
          </w:p>
        </w:tc>
        <w:tc>
          <w:tcPr>
            <w:tcW w:w="797" w:type="pct"/>
            <w:tcBorders>
              <w:top w:val="single" w:color="auto" w:sz="4" w:space="0"/>
            </w:tcBorders>
            <w:shd w:val="clear" w:color="auto" w:fill="auto"/>
            <w:vAlign w:val="center"/>
          </w:tcPr>
          <w:p>
            <w:pPr>
              <w:widowControl/>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5718.10</w:t>
            </w:r>
          </w:p>
        </w:tc>
        <w:tc>
          <w:tcPr>
            <w:tcW w:w="796" w:type="pct"/>
            <w:tcBorders>
              <w:top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5714.33</w:t>
            </w:r>
          </w:p>
        </w:tc>
        <w:tc>
          <w:tcPr>
            <w:tcW w:w="1433" w:type="pct"/>
            <w:tcBorders>
              <w:top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惠民〔</w:t>
            </w:r>
            <w:r>
              <w:rPr>
                <w:rFonts w:ascii="Times New Roman" w:hAnsi="Times New Roman" w:cs="Times New Roman"/>
                <w:color w:val="000000"/>
                <w:kern w:val="0"/>
                <w:sz w:val="22"/>
                <w:szCs w:val="22"/>
              </w:rPr>
              <w:t>2020</w:t>
            </w:r>
            <w:r>
              <w:rPr>
                <w:rFonts w:ascii="Times New Roman" w:hAnsi="Times New Roman" w:cs="宋体"/>
                <w:color w:val="000000"/>
                <w:kern w:val="0"/>
                <w:sz w:val="22"/>
                <w:szCs w:val="22"/>
              </w:rPr>
              <w:t>〕</w:t>
            </w:r>
            <w:r>
              <w:rPr>
                <w:rFonts w:ascii="Times New Roman" w:hAnsi="Times New Roman" w:cs="Times New Roman"/>
                <w:color w:val="000000"/>
                <w:kern w:val="0"/>
                <w:sz w:val="22"/>
                <w:szCs w:val="22"/>
              </w:rPr>
              <w:t>56</w:t>
            </w:r>
            <w:r>
              <w:rPr>
                <w:rFonts w:ascii="Times New Roman" w:hAnsi="Times New Roman" w:cs="宋体"/>
                <w:color w:val="000000"/>
                <w:kern w:val="0"/>
                <w:sz w:val="22"/>
                <w:szCs w:val="22"/>
              </w:rPr>
              <w:t>号</w:t>
            </w:r>
          </w:p>
        </w:tc>
      </w:tr>
      <w:tr>
        <w:tblPrEx>
          <w:tblCellMar>
            <w:top w:w="0" w:type="dxa"/>
            <w:left w:w="108" w:type="dxa"/>
            <w:bottom w:w="0" w:type="dxa"/>
            <w:right w:w="108" w:type="dxa"/>
          </w:tblCellMar>
        </w:tblPrEx>
        <w:trPr>
          <w:trHeight w:val="289" w:hRule="atLeast"/>
        </w:trPr>
        <w:tc>
          <w:tcPr>
            <w:tcW w:w="530" w:type="pct"/>
            <w:vMerge w:val="continue"/>
            <w:shd w:val="clear" w:color="auto" w:fill="auto"/>
            <w:vAlign w:val="center"/>
          </w:tcPr>
          <w:p>
            <w:pPr>
              <w:widowControl/>
              <w:spacing w:line="240" w:lineRule="auto"/>
              <w:jc w:val="center"/>
              <w:rPr>
                <w:rFonts w:ascii="Times New Roman" w:hAnsi="Times New Roman" w:cs="宋体"/>
                <w:b/>
                <w:bCs/>
                <w:color w:val="000000"/>
                <w:kern w:val="0"/>
                <w:sz w:val="22"/>
                <w:szCs w:val="22"/>
              </w:rPr>
            </w:pPr>
          </w:p>
        </w:tc>
        <w:tc>
          <w:tcPr>
            <w:tcW w:w="1441" w:type="pct"/>
            <w:shd w:val="clear" w:color="auto" w:fill="auto"/>
            <w:vAlign w:val="center"/>
          </w:tcPr>
          <w:p>
            <w:pPr>
              <w:widowControl/>
              <w:spacing w:line="240" w:lineRule="auto"/>
              <w:jc w:val="center"/>
              <w:rPr>
                <w:rFonts w:ascii="Times New Roman" w:hAnsi="Times New Roman"/>
                <w:color w:val="000000"/>
                <w:kern w:val="0"/>
                <w:sz w:val="22"/>
                <w:szCs w:val="22"/>
              </w:rPr>
            </w:pPr>
            <w:r>
              <w:rPr>
                <w:rFonts w:hint="eastAsia" w:ascii="Times New Roman" w:hAnsi="Times New Roman"/>
                <w:color w:val="000000"/>
                <w:sz w:val="22"/>
                <w:szCs w:val="22"/>
              </w:rPr>
              <w:t>春节困难群体价格补贴</w:t>
            </w:r>
          </w:p>
        </w:tc>
        <w:tc>
          <w:tcPr>
            <w:tcW w:w="797" w:type="pct"/>
            <w:shd w:val="clear" w:color="auto" w:fill="auto"/>
            <w:vAlign w:val="bottom"/>
          </w:tcPr>
          <w:p>
            <w:pPr>
              <w:widowControl/>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sz w:val="22"/>
                <w:szCs w:val="22"/>
              </w:rPr>
              <w:t>140</w:t>
            </w:r>
            <w:r>
              <w:rPr>
                <w:rFonts w:hint="eastAsia" w:ascii="Times New Roman" w:hAnsi="Times New Roman"/>
                <w:color w:val="000000"/>
                <w:sz w:val="22"/>
                <w:szCs w:val="22"/>
              </w:rPr>
              <w:t>.</w:t>
            </w:r>
            <w:r>
              <w:rPr>
                <w:rFonts w:ascii="Times New Roman" w:hAnsi="Times New Roman" w:cs="Times New Roman"/>
                <w:color w:val="000000"/>
                <w:sz w:val="22"/>
                <w:szCs w:val="22"/>
              </w:rPr>
              <w:t>00</w:t>
            </w:r>
            <w:r>
              <w:rPr>
                <w:rFonts w:hint="eastAsia" w:ascii="Times New Roman" w:hAnsi="Times New Roman"/>
                <w:color w:val="000000"/>
                <w:sz w:val="22"/>
                <w:szCs w:val="22"/>
              </w:rPr>
              <w:t xml:space="preserve"> </w:t>
            </w:r>
          </w:p>
        </w:tc>
        <w:tc>
          <w:tcPr>
            <w:tcW w:w="796" w:type="pct"/>
            <w:shd w:val="clear" w:color="auto" w:fill="auto"/>
            <w:vAlign w:val="bottom"/>
          </w:tcPr>
          <w:p>
            <w:pPr>
              <w:widowControl/>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sz w:val="22"/>
                <w:szCs w:val="22"/>
              </w:rPr>
              <w:t>129</w:t>
            </w:r>
            <w:r>
              <w:rPr>
                <w:rFonts w:hint="eastAsia" w:ascii="Times New Roman" w:hAnsi="Times New Roman"/>
                <w:color w:val="000000"/>
                <w:sz w:val="22"/>
                <w:szCs w:val="22"/>
              </w:rPr>
              <w:t>.</w:t>
            </w:r>
            <w:r>
              <w:rPr>
                <w:rFonts w:ascii="Times New Roman" w:hAnsi="Times New Roman" w:cs="Times New Roman"/>
                <w:color w:val="000000"/>
                <w:sz w:val="22"/>
                <w:szCs w:val="22"/>
              </w:rPr>
              <w:t>10</w:t>
            </w:r>
            <w:r>
              <w:rPr>
                <w:rFonts w:hint="eastAsia" w:ascii="Times New Roman" w:hAnsi="Times New Roman"/>
                <w:color w:val="000000"/>
                <w:sz w:val="22"/>
                <w:szCs w:val="22"/>
              </w:rPr>
              <w:t xml:space="preserve"> </w:t>
            </w:r>
          </w:p>
        </w:tc>
        <w:tc>
          <w:tcPr>
            <w:tcW w:w="1433" w:type="pct"/>
            <w:shd w:val="clear" w:color="auto" w:fill="auto"/>
            <w:vAlign w:val="center"/>
          </w:tcPr>
          <w:p>
            <w:pPr>
              <w:widowControl/>
              <w:spacing w:line="240" w:lineRule="auto"/>
              <w:jc w:val="center"/>
              <w:rPr>
                <w:rFonts w:ascii="Times New Roman" w:hAnsi="Times New Roman" w:cs="宋体"/>
                <w:color w:val="000000"/>
                <w:kern w:val="0"/>
                <w:sz w:val="22"/>
                <w:szCs w:val="22"/>
              </w:rPr>
            </w:pPr>
          </w:p>
        </w:tc>
      </w:tr>
      <w:tr>
        <w:tblPrEx>
          <w:tblCellMar>
            <w:top w:w="0" w:type="dxa"/>
            <w:left w:w="108" w:type="dxa"/>
            <w:bottom w:w="0" w:type="dxa"/>
            <w:right w:w="108" w:type="dxa"/>
          </w:tblCellMar>
        </w:tblPrEx>
        <w:trPr>
          <w:trHeight w:val="289" w:hRule="atLeast"/>
        </w:trPr>
        <w:tc>
          <w:tcPr>
            <w:tcW w:w="530" w:type="pct"/>
            <w:vMerge w:val="continue"/>
            <w:shd w:val="clear" w:color="auto" w:fill="auto"/>
            <w:vAlign w:val="center"/>
          </w:tcPr>
          <w:p>
            <w:pPr>
              <w:widowControl/>
              <w:spacing w:line="240" w:lineRule="auto"/>
              <w:jc w:val="center"/>
              <w:rPr>
                <w:rFonts w:ascii="Times New Roman" w:hAnsi="Times New Roman" w:cs="宋体"/>
                <w:b/>
                <w:bCs/>
                <w:color w:val="000000"/>
                <w:kern w:val="0"/>
                <w:sz w:val="22"/>
                <w:szCs w:val="22"/>
              </w:rPr>
            </w:pPr>
          </w:p>
        </w:tc>
        <w:tc>
          <w:tcPr>
            <w:tcW w:w="1441"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Times New Roman"/>
                <w:color w:val="000000"/>
                <w:kern w:val="0"/>
                <w:sz w:val="22"/>
                <w:szCs w:val="22"/>
              </w:rPr>
              <w:t>困难群众临时救助、救急难及残疾人两项补贴</w:t>
            </w:r>
          </w:p>
        </w:tc>
        <w:tc>
          <w:tcPr>
            <w:tcW w:w="797" w:type="pct"/>
            <w:shd w:val="clear" w:color="auto" w:fill="auto"/>
            <w:vAlign w:val="center"/>
          </w:tcPr>
          <w:p>
            <w:pPr>
              <w:widowControl/>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2055.12</w:t>
            </w:r>
          </w:p>
        </w:tc>
        <w:tc>
          <w:tcPr>
            <w:tcW w:w="796"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2025.71</w:t>
            </w:r>
          </w:p>
        </w:tc>
        <w:tc>
          <w:tcPr>
            <w:tcW w:w="1433"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惠政文〔</w:t>
            </w:r>
            <w:r>
              <w:rPr>
                <w:rFonts w:ascii="Times New Roman" w:hAnsi="Times New Roman" w:cs="Times New Roman"/>
                <w:color w:val="000000"/>
                <w:kern w:val="0"/>
                <w:sz w:val="22"/>
                <w:szCs w:val="22"/>
              </w:rPr>
              <w:t>2016</w:t>
            </w:r>
            <w:r>
              <w:rPr>
                <w:rFonts w:ascii="Times New Roman" w:hAnsi="Times New Roman" w:cs="宋体"/>
                <w:color w:val="000000"/>
                <w:kern w:val="0"/>
                <w:sz w:val="22"/>
                <w:szCs w:val="22"/>
              </w:rPr>
              <w:t>〕</w:t>
            </w:r>
            <w:r>
              <w:rPr>
                <w:rFonts w:ascii="Times New Roman" w:hAnsi="Times New Roman" w:cs="Times New Roman"/>
                <w:color w:val="000000"/>
                <w:kern w:val="0"/>
                <w:sz w:val="22"/>
                <w:szCs w:val="22"/>
              </w:rPr>
              <w:t>75</w:t>
            </w:r>
            <w:r>
              <w:rPr>
                <w:rFonts w:ascii="Times New Roman" w:hAnsi="Times New Roman" w:cs="宋体"/>
                <w:color w:val="000000"/>
                <w:kern w:val="0"/>
                <w:sz w:val="22"/>
                <w:szCs w:val="22"/>
              </w:rPr>
              <w:t>号</w:t>
            </w:r>
          </w:p>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惠政办〔</w:t>
            </w:r>
            <w:r>
              <w:rPr>
                <w:rFonts w:ascii="Times New Roman" w:hAnsi="Times New Roman" w:cs="Times New Roman"/>
                <w:color w:val="000000"/>
                <w:kern w:val="0"/>
                <w:sz w:val="22"/>
                <w:szCs w:val="22"/>
              </w:rPr>
              <w:t>2019</w:t>
            </w:r>
            <w:r>
              <w:rPr>
                <w:rFonts w:ascii="Times New Roman" w:hAnsi="Times New Roman" w:cs="宋体"/>
                <w:color w:val="000000"/>
                <w:kern w:val="0"/>
                <w:sz w:val="22"/>
                <w:szCs w:val="22"/>
              </w:rPr>
              <w:t>〕</w:t>
            </w:r>
            <w:r>
              <w:rPr>
                <w:rFonts w:ascii="Times New Roman" w:hAnsi="Times New Roman" w:cs="Times New Roman"/>
                <w:color w:val="000000"/>
                <w:kern w:val="0"/>
                <w:sz w:val="22"/>
                <w:szCs w:val="22"/>
              </w:rPr>
              <w:t>61</w:t>
            </w:r>
            <w:r>
              <w:rPr>
                <w:rFonts w:ascii="Times New Roman" w:hAnsi="Times New Roman" w:cs="宋体"/>
                <w:color w:val="000000"/>
                <w:kern w:val="0"/>
                <w:sz w:val="22"/>
                <w:szCs w:val="22"/>
              </w:rPr>
              <w:t>号</w:t>
            </w:r>
          </w:p>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闽民事（</w:t>
            </w:r>
            <w:r>
              <w:rPr>
                <w:rFonts w:ascii="Times New Roman" w:hAnsi="Times New Roman" w:cs="Times New Roman"/>
                <w:color w:val="000000"/>
                <w:kern w:val="0"/>
                <w:sz w:val="22"/>
                <w:szCs w:val="22"/>
              </w:rPr>
              <w:t>2019</w:t>
            </w:r>
            <w:r>
              <w:rPr>
                <w:rFonts w:ascii="Times New Roman" w:hAnsi="Times New Roman" w:cs="宋体"/>
                <w:color w:val="000000"/>
                <w:kern w:val="0"/>
                <w:sz w:val="22"/>
                <w:szCs w:val="22"/>
              </w:rPr>
              <w:t>）</w:t>
            </w:r>
            <w:r>
              <w:rPr>
                <w:rFonts w:ascii="Times New Roman" w:hAnsi="Times New Roman" w:cs="Times New Roman"/>
                <w:color w:val="000000"/>
                <w:kern w:val="0"/>
                <w:sz w:val="22"/>
                <w:szCs w:val="22"/>
              </w:rPr>
              <w:t>168</w:t>
            </w:r>
            <w:r>
              <w:rPr>
                <w:rFonts w:ascii="Times New Roman" w:hAnsi="Times New Roman" w:cs="宋体"/>
                <w:color w:val="000000"/>
                <w:kern w:val="0"/>
                <w:sz w:val="22"/>
                <w:szCs w:val="22"/>
              </w:rPr>
              <w:t>号</w:t>
            </w:r>
          </w:p>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泉民保（</w:t>
            </w:r>
            <w:r>
              <w:rPr>
                <w:rFonts w:ascii="Times New Roman" w:hAnsi="Times New Roman" w:cs="Times New Roman"/>
                <w:color w:val="000000"/>
                <w:kern w:val="0"/>
                <w:sz w:val="22"/>
                <w:szCs w:val="22"/>
              </w:rPr>
              <w:t>2020</w:t>
            </w:r>
            <w:r>
              <w:rPr>
                <w:rFonts w:ascii="Times New Roman" w:hAnsi="Times New Roman" w:cs="宋体"/>
                <w:color w:val="000000"/>
                <w:kern w:val="0"/>
                <w:sz w:val="22"/>
                <w:szCs w:val="22"/>
              </w:rPr>
              <w:t>）</w:t>
            </w:r>
            <w:r>
              <w:rPr>
                <w:rFonts w:ascii="Times New Roman" w:hAnsi="Times New Roman" w:cs="Times New Roman"/>
                <w:color w:val="000000"/>
                <w:kern w:val="0"/>
                <w:sz w:val="22"/>
                <w:szCs w:val="22"/>
              </w:rPr>
              <w:t>14</w:t>
            </w:r>
            <w:r>
              <w:rPr>
                <w:rFonts w:ascii="Times New Roman" w:hAnsi="Times New Roman" w:cs="宋体"/>
                <w:color w:val="000000"/>
                <w:kern w:val="0"/>
                <w:sz w:val="22"/>
                <w:szCs w:val="22"/>
              </w:rPr>
              <w:t>号</w:t>
            </w:r>
          </w:p>
        </w:tc>
      </w:tr>
      <w:tr>
        <w:tblPrEx>
          <w:tblCellMar>
            <w:top w:w="0" w:type="dxa"/>
            <w:left w:w="108" w:type="dxa"/>
            <w:bottom w:w="0" w:type="dxa"/>
            <w:right w:w="108" w:type="dxa"/>
          </w:tblCellMar>
        </w:tblPrEx>
        <w:trPr>
          <w:trHeight w:val="289" w:hRule="atLeast"/>
        </w:trPr>
        <w:tc>
          <w:tcPr>
            <w:tcW w:w="530"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441" w:type="pct"/>
            <w:shd w:val="clear" w:color="auto" w:fill="auto"/>
            <w:vAlign w:val="center"/>
          </w:tcPr>
          <w:p>
            <w:pPr>
              <w:widowControl/>
              <w:spacing w:line="240" w:lineRule="auto"/>
              <w:jc w:val="center"/>
              <w:rPr>
                <w:rFonts w:ascii="Times New Roman" w:hAnsi="Times New Roman" w:cs="Times New Roman"/>
                <w:color w:val="000000"/>
                <w:kern w:val="0"/>
                <w:sz w:val="22"/>
                <w:szCs w:val="22"/>
              </w:rPr>
            </w:pPr>
            <w:r>
              <w:rPr>
                <w:rFonts w:hint="eastAsia" w:ascii="Times New Roman" w:hAnsi="Times New Roman" w:cs="Times New Roman"/>
                <w:b/>
                <w:bCs/>
                <w:color w:val="000000"/>
                <w:kern w:val="0"/>
                <w:sz w:val="22"/>
                <w:szCs w:val="22"/>
              </w:rPr>
              <w:t>小计</w:t>
            </w:r>
          </w:p>
        </w:tc>
        <w:tc>
          <w:tcPr>
            <w:tcW w:w="797" w:type="pct"/>
            <w:shd w:val="clear" w:color="auto" w:fill="auto"/>
            <w:vAlign w:val="bottom"/>
          </w:tcPr>
          <w:p>
            <w:pPr>
              <w:widowControl/>
              <w:spacing w:line="240" w:lineRule="auto"/>
              <w:jc w:val="center"/>
              <w:rPr>
                <w:rFonts w:ascii="Times New Roman" w:hAnsi="Times New Roman" w:cs="Times New Roman"/>
                <w:b/>
                <w:bCs/>
                <w:color w:val="000000"/>
                <w:kern w:val="0"/>
                <w:sz w:val="22"/>
                <w:szCs w:val="22"/>
              </w:rPr>
            </w:pPr>
            <w:r>
              <w:rPr>
                <w:rFonts w:ascii="Times New Roman" w:hAnsi="Times New Roman" w:cs="Times New Roman"/>
                <w:b/>
                <w:bCs/>
                <w:color w:val="000000"/>
                <w:sz w:val="22"/>
                <w:szCs w:val="22"/>
              </w:rPr>
              <w:t>7913</w:t>
            </w:r>
            <w:r>
              <w:rPr>
                <w:rFonts w:hint="eastAsia" w:ascii="Times New Roman" w:hAnsi="Times New Roman"/>
                <w:b/>
                <w:bCs/>
                <w:color w:val="000000"/>
                <w:sz w:val="22"/>
                <w:szCs w:val="22"/>
              </w:rPr>
              <w:t>.</w:t>
            </w:r>
            <w:r>
              <w:rPr>
                <w:rFonts w:ascii="Times New Roman" w:hAnsi="Times New Roman" w:cs="Times New Roman"/>
                <w:b/>
                <w:bCs/>
                <w:color w:val="000000"/>
                <w:sz w:val="22"/>
                <w:szCs w:val="22"/>
              </w:rPr>
              <w:t>22</w:t>
            </w:r>
            <w:r>
              <w:rPr>
                <w:rFonts w:hint="eastAsia" w:ascii="Times New Roman" w:hAnsi="Times New Roman"/>
                <w:b/>
                <w:bCs/>
                <w:color w:val="000000"/>
                <w:sz w:val="22"/>
                <w:szCs w:val="22"/>
              </w:rPr>
              <w:t xml:space="preserve"> </w:t>
            </w:r>
          </w:p>
        </w:tc>
        <w:tc>
          <w:tcPr>
            <w:tcW w:w="796" w:type="pct"/>
            <w:shd w:val="clear" w:color="auto" w:fill="auto"/>
            <w:vAlign w:val="bottom"/>
          </w:tcPr>
          <w:p>
            <w:pPr>
              <w:widowControl/>
              <w:spacing w:line="240" w:lineRule="auto"/>
              <w:jc w:val="center"/>
              <w:rPr>
                <w:rFonts w:ascii="Times New Roman" w:hAnsi="Times New Roman" w:cs="宋体"/>
                <w:b/>
                <w:bCs/>
                <w:color w:val="000000"/>
                <w:kern w:val="0"/>
                <w:sz w:val="22"/>
                <w:szCs w:val="22"/>
              </w:rPr>
            </w:pPr>
            <w:r>
              <w:rPr>
                <w:rFonts w:ascii="Times New Roman" w:hAnsi="Times New Roman" w:cs="Times New Roman"/>
                <w:b/>
                <w:bCs/>
                <w:color w:val="000000"/>
                <w:sz w:val="22"/>
                <w:szCs w:val="22"/>
              </w:rPr>
              <w:t>7869</w:t>
            </w:r>
            <w:r>
              <w:rPr>
                <w:rFonts w:hint="eastAsia" w:ascii="Times New Roman" w:hAnsi="Times New Roman"/>
                <w:b/>
                <w:bCs/>
                <w:color w:val="000000"/>
                <w:sz w:val="22"/>
                <w:szCs w:val="22"/>
              </w:rPr>
              <w:t>.</w:t>
            </w:r>
            <w:r>
              <w:rPr>
                <w:rFonts w:ascii="Times New Roman" w:hAnsi="Times New Roman" w:cs="Times New Roman"/>
                <w:b/>
                <w:bCs/>
                <w:color w:val="000000"/>
                <w:sz w:val="22"/>
                <w:szCs w:val="22"/>
              </w:rPr>
              <w:t>14</w:t>
            </w:r>
            <w:r>
              <w:rPr>
                <w:rFonts w:hint="eastAsia" w:ascii="Times New Roman" w:hAnsi="Times New Roman"/>
                <w:b/>
                <w:bCs/>
                <w:color w:val="000000"/>
                <w:sz w:val="22"/>
                <w:szCs w:val="22"/>
              </w:rPr>
              <w:t xml:space="preserve"> </w:t>
            </w:r>
          </w:p>
        </w:tc>
        <w:tc>
          <w:tcPr>
            <w:tcW w:w="1433" w:type="pct"/>
            <w:shd w:val="clear" w:color="auto" w:fill="auto"/>
            <w:vAlign w:val="center"/>
          </w:tcPr>
          <w:p>
            <w:pPr>
              <w:widowControl/>
              <w:spacing w:line="240" w:lineRule="auto"/>
              <w:jc w:val="center"/>
              <w:rPr>
                <w:rFonts w:ascii="Times New Roman" w:hAnsi="Times New Roman" w:cs="宋体"/>
                <w:color w:val="000000"/>
                <w:kern w:val="0"/>
                <w:sz w:val="22"/>
                <w:szCs w:val="22"/>
              </w:rPr>
            </w:pPr>
          </w:p>
        </w:tc>
      </w:tr>
      <w:tr>
        <w:tblPrEx>
          <w:tblCellMar>
            <w:top w:w="0" w:type="dxa"/>
            <w:left w:w="108" w:type="dxa"/>
            <w:bottom w:w="0" w:type="dxa"/>
            <w:right w:w="108" w:type="dxa"/>
          </w:tblCellMar>
        </w:tblPrEx>
        <w:trPr>
          <w:trHeight w:val="289" w:hRule="atLeast"/>
        </w:trPr>
        <w:tc>
          <w:tcPr>
            <w:tcW w:w="530" w:type="pct"/>
            <w:vMerge w:val="restart"/>
            <w:tcBorders>
              <w:top w:val="nil"/>
            </w:tcBorders>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ascii="Times New Roman" w:hAnsi="Times New Roman" w:cs="Times New Roman"/>
                <w:b/>
                <w:bCs/>
                <w:color w:val="000000"/>
                <w:kern w:val="0"/>
                <w:sz w:val="22"/>
                <w:szCs w:val="22"/>
              </w:rPr>
              <w:t>2022</w:t>
            </w:r>
            <w:r>
              <w:rPr>
                <w:rFonts w:hint="eastAsia" w:ascii="Times New Roman" w:hAnsi="Times New Roman" w:cs="宋体"/>
                <w:b/>
                <w:bCs/>
                <w:color w:val="000000"/>
                <w:kern w:val="0"/>
                <w:sz w:val="22"/>
                <w:szCs w:val="22"/>
              </w:rPr>
              <w:t>年</w:t>
            </w:r>
          </w:p>
        </w:tc>
        <w:tc>
          <w:tcPr>
            <w:tcW w:w="1441" w:type="pct"/>
            <w:tcBorders>
              <w:top w:val="nil"/>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Times New Roman"/>
                <w:color w:val="000000"/>
                <w:kern w:val="0"/>
                <w:sz w:val="22"/>
                <w:szCs w:val="22"/>
              </w:rPr>
              <w:t>城乡低保补助</w:t>
            </w:r>
          </w:p>
        </w:tc>
        <w:tc>
          <w:tcPr>
            <w:tcW w:w="797" w:type="pct"/>
            <w:tcBorders>
              <w:top w:val="nil"/>
            </w:tcBorders>
            <w:shd w:val="clear" w:color="auto" w:fill="auto"/>
            <w:vAlign w:val="center"/>
          </w:tcPr>
          <w:p>
            <w:pPr>
              <w:widowControl/>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487.07</w:t>
            </w:r>
          </w:p>
        </w:tc>
        <w:tc>
          <w:tcPr>
            <w:tcW w:w="796" w:type="pct"/>
            <w:tcBorders>
              <w:top w:val="nil"/>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487.07</w:t>
            </w:r>
          </w:p>
        </w:tc>
        <w:tc>
          <w:tcPr>
            <w:tcW w:w="1433" w:type="pct"/>
            <w:tcBorders>
              <w:top w:val="nil"/>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泉财预〔</w:t>
            </w:r>
            <w:r>
              <w:rPr>
                <w:rFonts w:ascii="Times New Roman" w:hAnsi="Times New Roman" w:cs="Times New Roman"/>
                <w:color w:val="000000"/>
                <w:kern w:val="0"/>
                <w:sz w:val="22"/>
                <w:szCs w:val="22"/>
              </w:rPr>
              <w:t>2021</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314</w:t>
            </w:r>
            <w:r>
              <w:rPr>
                <w:rFonts w:ascii="Times New Roman" w:hAnsi="Times New Roman" w:cs="宋体"/>
                <w:color w:val="000000"/>
                <w:kern w:val="0"/>
                <w:sz w:val="22"/>
                <w:szCs w:val="22"/>
              </w:rPr>
              <w:t>号</w:t>
            </w:r>
          </w:p>
        </w:tc>
      </w:tr>
      <w:tr>
        <w:tblPrEx>
          <w:tblCellMar>
            <w:top w:w="0" w:type="dxa"/>
            <w:left w:w="108" w:type="dxa"/>
            <w:bottom w:w="0" w:type="dxa"/>
            <w:right w:w="108" w:type="dxa"/>
          </w:tblCellMar>
        </w:tblPrEx>
        <w:trPr>
          <w:trHeight w:val="289" w:hRule="atLeast"/>
        </w:trPr>
        <w:tc>
          <w:tcPr>
            <w:tcW w:w="530" w:type="pct"/>
            <w:vMerge w:val="continue"/>
            <w:tcBorders>
              <w:top w:val="nil"/>
            </w:tcBorders>
            <w:vAlign w:val="center"/>
          </w:tcPr>
          <w:p>
            <w:pPr>
              <w:widowControl/>
              <w:spacing w:line="240" w:lineRule="auto"/>
              <w:jc w:val="left"/>
              <w:rPr>
                <w:rFonts w:ascii="Times New Roman" w:hAnsi="Times New Roman" w:cs="宋体"/>
                <w:b/>
                <w:bCs/>
                <w:color w:val="000000"/>
                <w:kern w:val="0"/>
                <w:sz w:val="22"/>
                <w:szCs w:val="22"/>
              </w:rPr>
            </w:pPr>
          </w:p>
        </w:tc>
        <w:tc>
          <w:tcPr>
            <w:tcW w:w="1441" w:type="pct"/>
            <w:tcBorders>
              <w:top w:val="nil"/>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Times New Roman"/>
                <w:color w:val="000000"/>
                <w:kern w:val="0"/>
                <w:sz w:val="22"/>
                <w:szCs w:val="22"/>
              </w:rPr>
              <w:t>困难群众救助补助（提前下达）</w:t>
            </w:r>
          </w:p>
        </w:tc>
        <w:tc>
          <w:tcPr>
            <w:tcW w:w="797" w:type="pct"/>
            <w:tcBorders>
              <w:top w:val="nil"/>
            </w:tcBorders>
            <w:shd w:val="clear" w:color="auto" w:fill="auto"/>
            <w:vAlign w:val="center"/>
          </w:tcPr>
          <w:p>
            <w:pPr>
              <w:widowControl/>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2648.00</w:t>
            </w:r>
          </w:p>
        </w:tc>
        <w:tc>
          <w:tcPr>
            <w:tcW w:w="796" w:type="pct"/>
            <w:tcBorders>
              <w:top w:val="nil"/>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2648.00</w:t>
            </w:r>
          </w:p>
        </w:tc>
        <w:tc>
          <w:tcPr>
            <w:tcW w:w="1433" w:type="pct"/>
            <w:tcBorders>
              <w:top w:val="nil"/>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闽财社指〔</w:t>
            </w:r>
            <w:r>
              <w:rPr>
                <w:rFonts w:ascii="Times New Roman" w:hAnsi="Times New Roman" w:cs="Times New Roman"/>
                <w:color w:val="000000"/>
                <w:kern w:val="0"/>
                <w:sz w:val="22"/>
                <w:szCs w:val="22"/>
              </w:rPr>
              <w:t>2021</w:t>
            </w:r>
            <w:r>
              <w:rPr>
                <w:rFonts w:ascii="Times New Roman" w:hAnsi="Times New Roman" w:cs="宋体"/>
                <w:color w:val="000000"/>
                <w:kern w:val="0"/>
                <w:sz w:val="22"/>
                <w:szCs w:val="22"/>
              </w:rPr>
              <w:t>〕</w:t>
            </w:r>
            <w:r>
              <w:rPr>
                <w:rFonts w:ascii="Times New Roman" w:hAnsi="Times New Roman" w:cs="Times New Roman"/>
                <w:color w:val="000000"/>
                <w:kern w:val="0"/>
                <w:sz w:val="22"/>
                <w:szCs w:val="22"/>
              </w:rPr>
              <w:t>79</w:t>
            </w:r>
            <w:r>
              <w:rPr>
                <w:rFonts w:ascii="Times New Roman" w:hAnsi="Times New Roman" w:cs="宋体"/>
                <w:color w:val="000000"/>
                <w:kern w:val="0"/>
                <w:sz w:val="22"/>
                <w:szCs w:val="22"/>
              </w:rPr>
              <w:t>号</w:t>
            </w:r>
          </w:p>
        </w:tc>
      </w:tr>
      <w:tr>
        <w:tblPrEx>
          <w:tblCellMar>
            <w:top w:w="0" w:type="dxa"/>
            <w:left w:w="108" w:type="dxa"/>
            <w:bottom w:w="0" w:type="dxa"/>
            <w:right w:w="108" w:type="dxa"/>
          </w:tblCellMar>
        </w:tblPrEx>
        <w:trPr>
          <w:trHeight w:val="289" w:hRule="atLeast"/>
        </w:trPr>
        <w:tc>
          <w:tcPr>
            <w:tcW w:w="530"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441"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Times New Roman"/>
                <w:color w:val="000000"/>
                <w:kern w:val="0"/>
                <w:sz w:val="22"/>
                <w:szCs w:val="22"/>
              </w:rPr>
              <w:t>困难群众救助补助</w:t>
            </w:r>
          </w:p>
        </w:tc>
        <w:tc>
          <w:tcPr>
            <w:tcW w:w="797" w:type="pct"/>
            <w:shd w:val="clear" w:color="auto" w:fill="auto"/>
            <w:vAlign w:val="center"/>
          </w:tcPr>
          <w:p>
            <w:pPr>
              <w:widowControl/>
              <w:spacing w:line="240" w:lineRule="auto"/>
              <w:jc w:val="center"/>
              <w:rPr>
                <w:rFonts w:ascii="Times New Roman" w:hAnsi="Times New Roman"/>
                <w:color w:val="000000"/>
                <w:kern w:val="0"/>
                <w:sz w:val="22"/>
                <w:szCs w:val="22"/>
              </w:rPr>
            </w:pPr>
            <w:r>
              <w:rPr>
                <w:rFonts w:ascii="Times New Roman" w:hAnsi="Times New Roman" w:cs="Times New Roman"/>
                <w:color w:val="000000"/>
                <w:sz w:val="22"/>
                <w:szCs w:val="22"/>
              </w:rPr>
              <w:t>4610</w:t>
            </w:r>
            <w:r>
              <w:rPr>
                <w:rFonts w:ascii="Times New Roman" w:hAnsi="Times New Roman"/>
                <w:color w:val="000000"/>
                <w:sz w:val="22"/>
                <w:szCs w:val="22"/>
              </w:rPr>
              <w:t>.</w:t>
            </w:r>
            <w:r>
              <w:rPr>
                <w:rFonts w:ascii="Times New Roman" w:hAnsi="Times New Roman" w:cs="Times New Roman"/>
                <w:color w:val="000000"/>
                <w:sz w:val="22"/>
                <w:szCs w:val="22"/>
              </w:rPr>
              <w:t>15</w:t>
            </w:r>
          </w:p>
        </w:tc>
        <w:tc>
          <w:tcPr>
            <w:tcW w:w="796" w:type="pct"/>
            <w:shd w:val="clear" w:color="auto" w:fill="auto"/>
            <w:vAlign w:val="center"/>
          </w:tcPr>
          <w:p>
            <w:pPr>
              <w:widowControl/>
              <w:spacing w:line="240" w:lineRule="auto"/>
              <w:jc w:val="center"/>
              <w:rPr>
                <w:rFonts w:ascii="Times New Roman" w:hAnsi="Times New Roman"/>
                <w:color w:val="000000"/>
                <w:kern w:val="0"/>
                <w:sz w:val="22"/>
                <w:szCs w:val="22"/>
              </w:rPr>
            </w:pPr>
            <w:r>
              <w:rPr>
                <w:rFonts w:ascii="Times New Roman" w:hAnsi="Times New Roman" w:cs="Times New Roman"/>
                <w:color w:val="000000"/>
                <w:sz w:val="22"/>
                <w:szCs w:val="22"/>
              </w:rPr>
              <w:t>4376</w:t>
            </w:r>
            <w:r>
              <w:rPr>
                <w:rFonts w:ascii="Times New Roman" w:hAnsi="Times New Roman"/>
                <w:color w:val="000000"/>
                <w:sz w:val="22"/>
                <w:szCs w:val="22"/>
              </w:rPr>
              <w:t>.</w:t>
            </w:r>
            <w:r>
              <w:rPr>
                <w:rFonts w:ascii="Times New Roman" w:hAnsi="Times New Roman" w:cs="Times New Roman"/>
                <w:color w:val="000000"/>
                <w:sz w:val="22"/>
                <w:szCs w:val="22"/>
              </w:rPr>
              <w:t>52</w:t>
            </w:r>
          </w:p>
        </w:tc>
        <w:tc>
          <w:tcPr>
            <w:tcW w:w="1433" w:type="pct"/>
            <w:shd w:val="clear" w:color="auto" w:fill="auto"/>
            <w:vAlign w:val="center"/>
          </w:tcPr>
          <w:p>
            <w:pPr>
              <w:widowControl/>
              <w:spacing w:line="240" w:lineRule="auto"/>
              <w:jc w:val="center"/>
              <w:rPr>
                <w:rFonts w:ascii="Times New Roman" w:hAnsi="Times New Roman"/>
                <w:color w:val="000000"/>
                <w:sz w:val="22"/>
                <w:szCs w:val="22"/>
              </w:rPr>
            </w:pPr>
            <w:r>
              <w:rPr>
                <w:rFonts w:hint="eastAsia" w:ascii="Times New Roman" w:hAnsi="Times New Roman"/>
                <w:color w:val="000000"/>
                <w:sz w:val="22"/>
                <w:szCs w:val="22"/>
              </w:rPr>
              <w:t>惠民〔</w:t>
            </w:r>
            <w:r>
              <w:rPr>
                <w:rFonts w:ascii="Times New Roman" w:hAnsi="Times New Roman" w:cs="Times New Roman"/>
                <w:color w:val="000000"/>
                <w:sz w:val="22"/>
                <w:szCs w:val="22"/>
              </w:rPr>
              <w:t>2020</w:t>
            </w:r>
            <w:r>
              <w:rPr>
                <w:rFonts w:hint="eastAsia" w:ascii="Times New Roman" w:hAnsi="Times New Roman"/>
                <w:color w:val="000000"/>
                <w:sz w:val="22"/>
                <w:szCs w:val="22"/>
              </w:rPr>
              <w:t>〕</w:t>
            </w:r>
            <w:r>
              <w:rPr>
                <w:rFonts w:ascii="Times New Roman" w:hAnsi="Times New Roman" w:cs="Times New Roman"/>
                <w:color w:val="000000"/>
                <w:sz w:val="22"/>
                <w:szCs w:val="22"/>
              </w:rPr>
              <w:t>56</w:t>
            </w:r>
            <w:r>
              <w:rPr>
                <w:rFonts w:hint="eastAsia" w:ascii="Times New Roman" w:hAnsi="Times New Roman"/>
                <w:color w:val="000000"/>
                <w:sz w:val="22"/>
                <w:szCs w:val="22"/>
              </w:rPr>
              <w:t>号</w:t>
            </w:r>
          </w:p>
          <w:p>
            <w:pPr>
              <w:widowControl/>
              <w:spacing w:line="240" w:lineRule="auto"/>
              <w:jc w:val="center"/>
              <w:rPr>
                <w:rFonts w:ascii="Times New Roman" w:hAnsi="Times New Roman" w:cs="宋体"/>
                <w:color w:val="000000"/>
                <w:kern w:val="0"/>
                <w:sz w:val="22"/>
                <w:szCs w:val="22"/>
              </w:rPr>
            </w:pPr>
            <w:r>
              <w:rPr>
                <w:rFonts w:hint="eastAsia" w:ascii="Times New Roman" w:hAnsi="Times New Roman"/>
                <w:color w:val="000000"/>
                <w:sz w:val="22"/>
                <w:szCs w:val="22"/>
              </w:rPr>
              <w:t>泉民福〔</w:t>
            </w:r>
            <w:r>
              <w:rPr>
                <w:rFonts w:ascii="Times New Roman" w:hAnsi="Times New Roman" w:cs="Times New Roman"/>
                <w:color w:val="000000"/>
                <w:sz w:val="22"/>
                <w:szCs w:val="22"/>
              </w:rPr>
              <w:t>2020</w:t>
            </w:r>
            <w:r>
              <w:rPr>
                <w:rFonts w:hint="eastAsia" w:ascii="Times New Roman" w:hAnsi="Times New Roman"/>
                <w:color w:val="000000"/>
                <w:sz w:val="22"/>
                <w:szCs w:val="22"/>
              </w:rPr>
              <w:t>〕</w:t>
            </w:r>
            <w:r>
              <w:rPr>
                <w:rFonts w:ascii="Times New Roman" w:hAnsi="Times New Roman" w:cs="Times New Roman"/>
                <w:color w:val="000000"/>
                <w:sz w:val="22"/>
                <w:szCs w:val="22"/>
              </w:rPr>
              <w:t>20</w:t>
            </w:r>
            <w:r>
              <w:rPr>
                <w:rFonts w:hint="eastAsia" w:ascii="Times New Roman" w:hAnsi="Times New Roman"/>
                <w:color w:val="000000"/>
                <w:sz w:val="22"/>
                <w:szCs w:val="22"/>
              </w:rPr>
              <w:t>号</w:t>
            </w:r>
          </w:p>
        </w:tc>
      </w:tr>
      <w:tr>
        <w:tblPrEx>
          <w:tblCellMar>
            <w:top w:w="0" w:type="dxa"/>
            <w:left w:w="108" w:type="dxa"/>
            <w:bottom w:w="0" w:type="dxa"/>
            <w:right w:w="108" w:type="dxa"/>
          </w:tblCellMar>
        </w:tblPrEx>
        <w:trPr>
          <w:trHeight w:val="64" w:hRule="atLeast"/>
        </w:trPr>
        <w:tc>
          <w:tcPr>
            <w:tcW w:w="530" w:type="pct"/>
            <w:vMerge w:val="continue"/>
            <w:vAlign w:val="center"/>
          </w:tcPr>
          <w:p>
            <w:pPr>
              <w:widowControl/>
              <w:spacing w:line="240" w:lineRule="auto"/>
              <w:jc w:val="left"/>
              <w:rPr>
                <w:rFonts w:ascii="Times New Roman" w:hAnsi="Times New Roman" w:cs="宋体"/>
                <w:b/>
                <w:bCs/>
                <w:color w:val="000000"/>
                <w:kern w:val="0"/>
                <w:sz w:val="22"/>
                <w:szCs w:val="22"/>
              </w:rPr>
            </w:pPr>
            <w:bookmarkStart w:id="15" w:name="_Hlk149416234"/>
          </w:p>
        </w:tc>
        <w:tc>
          <w:tcPr>
            <w:tcW w:w="1441" w:type="pct"/>
            <w:shd w:val="clear" w:color="auto" w:fill="auto"/>
            <w:vAlign w:val="center"/>
          </w:tcPr>
          <w:p>
            <w:pPr>
              <w:widowControl/>
              <w:spacing w:line="240" w:lineRule="auto"/>
              <w:jc w:val="center"/>
              <w:rPr>
                <w:rFonts w:ascii="Times New Roman" w:hAnsi="Times New Roman" w:cs="Times New Roman"/>
                <w:b/>
                <w:bCs/>
                <w:color w:val="000000"/>
                <w:kern w:val="0"/>
                <w:sz w:val="22"/>
                <w:szCs w:val="22"/>
              </w:rPr>
            </w:pPr>
            <w:r>
              <w:rPr>
                <w:rFonts w:hint="eastAsia" w:ascii="Times New Roman" w:hAnsi="Times New Roman" w:cs="Times New Roman"/>
                <w:b/>
                <w:bCs/>
                <w:color w:val="000000"/>
                <w:kern w:val="0"/>
                <w:sz w:val="22"/>
                <w:szCs w:val="22"/>
              </w:rPr>
              <w:t>小计</w:t>
            </w:r>
          </w:p>
        </w:tc>
        <w:tc>
          <w:tcPr>
            <w:tcW w:w="797" w:type="pct"/>
            <w:shd w:val="clear" w:color="auto" w:fill="auto"/>
            <w:vAlign w:val="bottom"/>
          </w:tcPr>
          <w:p>
            <w:pPr>
              <w:widowControl/>
              <w:spacing w:line="240" w:lineRule="auto"/>
              <w:jc w:val="center"/>
              <w:rPr>
                <w:rFonts w:ascii="Times New Roman" w:hAnsi="Times New Roman" w:cs="Times New Roman"/>
                <w:b/>
                <w:bCs/>
                <w:color w:val="000000"/>
                <w:kern w:val="0"/>
                <w:sz w:val="22"/>
                <w:szCs w:val="22"/>
              </w:rPr>
            </w:pPr>
            <w:r>
              <w:rPr>
                <w:rFonts w:ascii="Times New Roman" w:hAnsi="Times New Roman" w:cs="Times New Roman"/>
                <w:b/>
                <w:bCs/>
                <w:color w:val="000000"/>
                <w:sz w:val="22"/>
                <w:szCs w:val="22"/>
              </w:rPr>
              <w:t>7745</w:t>
            </w:r>
            <w:r>
              <w:rPr>
                <w:rFonts w:hint="eastAsia" w:ascii="Times New Roman" w:hAnsi="Times New Roman"/>
                <w:b/>
                <w:bCs/>
                <w:color w:val="000000"/>
                <w:sz w:val="22"/>
                <w:szCs w:val="22"/>
              </w:rPr>
              <w:t>.</w:t>
            </w:r>
            <w:r>
              <w:rPr>
                <w:rFonts w:ascii="Times New Roman" w:hAnsi="Times New Roman" w:cs="Times New Roman"/>
                <w:b/>
                <w:bCs/>
                <w:color w:val="000000"/>
                <w:sz w:val="22"/>
                <w:szCs w:val="22"/>
              </w:rPr>
              <w:t>22</w:t>
            </w:r>
            <w:r>
              <w:rPr>
                <w:rFonts w:hint="eastAsia" w:ascii="Times New Roman" w:hAnsi="Times New Roman"/>
                <w:b/>
                <w:bCs/>
                <w:color w:val="000000"/>
                <w:sz w:val="22"/>
                <w:szCs w:val="22"/>
              </w:rPr>
              <w:t xml:space="preserve"> </w:t>
            </w:r>
          </w:p>
        </w:tc>
        <w:tc>
          <w:tcPr>
            <w:tcW w:w="796" w:type="pct"/>
            <w:shd w:val="clear" w:color="auto" w:fill="auto"/>
            <w:vAlign w:val="bottom"/>
          </w:tcPr>
          <w:p>
            <w:pPr>
              <w:widowControl/>
              <w:spacing w:line="240" w:lineRule="auto"/>
              <w:jc w:val="center"/>
              <w:rPr>
                <w:rFonts w:ascii="Times New Roman" w:hAnsi="Times New Roman" w:cs="宋体"/>
                <w:b/>
                <w:bCs/>
                <w:color w:val="000000"/>
                <w:kern w:val="0"/>
                <w:sz w:val="22"/>
                <w:szCs w:val="22"/>
              </w:rPr>
            </w:pPr>
            <w:r>
              <w:rPr>
                <w:rFonts w:ascii="Times New Roman" w:hAnsi="Times New Roman" w:cs="Times New Roman"/>
                <w:b/>
                <w:bCs/>
                <w:color w:val="000000"/>
                <w:sz w:val="22"/>
                <w:szCs w:val="22"/>
              </w:rPr>
              <w:t>7511</w:t>
            </w:r>
            <w:r>
              <w:rPr>
                <w:rFonts w:hint="eastAsia" w:ascii="Times New Roman" w:hAnsi="Times New Roman"/>
                <w:b/>
                <w:bCs/>
                <w:color w:val="000000"/>
                <w:sz w:val="22"/>
                <w:szCs w:val="22"/>
              </w:rPr>
              <w:t>.</w:t>
            </w:r>
            <w:r>
              <w:rPr>
                <w:rFonts w:ascii="Times New Roman" w:hAnsi="Times New Roman" w:cs="Times New Roman"/>
                <w:b/>
                <w:bCs/>
                <w:color w:val="000000"/>
                <w:sz w:val="22"/>
                <w:szCs w:val="22"/>
              </w:rPr>
              <w:t>59</w:t>
            </w:r>
            <w:r>
              <w:rPr>
                <w:rFonts w:hint="eastAsia" w:ascii="Times New Roman" w:hAnsi="Times New Roman"/>
                <w:b/>
                <w:bCs/>
                <w:color w:val="000000"/>
                <w:sz w:val="22"/>
                <w:szCs w:val="22"/>
              </w:rPr>
              <w:t xml:space="preserve"> </w:t>
            </w:r>
          </w:p>
        </w:tc>
        <w:tc>
          <w:tcPr>
            <w:tcW w:w="1433"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　</w:t>
            </w:r>
          </w:p>
        </w:tc>
      </w:tr>
      <w:bookmarkEnd w:id="15"/>
      <w:tr>
        <w:tblPrEx>
          <w:tblCellMar>
            <w:top w:w="0" w:type="dxa"/>
            <w:left w:w="108" w:type="dxa"/>
            <w:bottom w:w="0" w:type="dxa"/>
            <w:right w:w="108" w:type="dxa"/>
          </w:tblCellMar>
        </w:tblPrEx>
        <w:trPr>
          <w:trHeight w:val="289" w:hRule="atLeast"/>
        </w:trPr>
        <w:tc>
          <w:tcPr>
            <w:tcW w:w="530" w:type="pct"/>
            <w:tcBorders>
              <w:bottom w:val="single" w:color="auto" w:sz="12" w:space="0"/>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　</w:t>
            </w:r>
          </w:p>
        </w:tc>
        <w:tc>
          <w:tcPr>
            <w:tcW w:w="1441" w:type="pct"/>
            <w:tcBorders>
              <w:bottom w:val="single" w:color="auto" w:sz="12" w:space="0"/>
            </w:tcBorders>
            <w:shd w:val="clear" w:color="auto" w:fill="auto"/>
            <w:vAlign w:val="center"/>
          </w:tcPr>
          <w:p>
            <w:pPr>
              <w:widowControl/>
              <w:spacing w:line="240" w:lineRule="auto"/>
              <w:jc w:val="center"/>
              <w:rPr>
                <w:rFonts w:ascii="Times New Roman" w:hAnsi="Times New Roman" w:cs="Times New Roman"/>
                <w:b/>
                <w:bCs/>
                <w:color w:val="000000"/>
                <w:kern w:val="0"/>
                <w:sz w:val="22"/>
                <w:szCs w:val="22"/>
              </w:rPr>
            </w:pPr>
            <w:r>
              <w:rPr>
                <w:rFonts w:hint="eastAsia" w:ascii="Times New Roman" w:hAnsi="Times New Roman" w:cs="Times New Roman"/>
                <w:b/>
                <w:bCs/>
                <w:color w:val="000000"/>
                <w:kern w:val="0"/>
                <w:sz w:val="22"/>
                <w:szCs w:val="22"/>
              </w:rPr>
              <w:t>合计</w:t>
            </w:r>
          </w:p>
        </w:tc>
        <w:tc>
          <w:tcPr>
            <w:tcW w:w="797" w:type="pct"/>
            <w:tcBorders>
              <w:bottom w:val="single" w:color="auto" w:sz="12" w:space="0"/>
            </w:tcBorders>
            <w:shd w:val="clear" w:color="auto" w:fill="auto"/>
            <w:vAlign w:val="bottom"/>
          </w:tcPr>
          <w:p>
            <w:pPr>
              <w:widowControl/>
              <w:spacing w:line="240" w:lineRule="auto"/>
              <w:jc w:val="center"/>
              <w:rPr>
                <w:rFonts w:ascii="Times New Roman" w:hAnsi="Times New Roman" w:cs="Times New Roman"/>
                <w:b/>
                <w:bCs/>
                <w:color w:val="000000"/>
                <w:kern w:val="0"/>
                <w:sz w:val="22"/>
                <w:szCs w:val="22"/>
              </w:rPr>
            </w:pPr>
            <w:r>
              <w:rPr>
                <w:rFonts w:ascii="Times New Roman" w:hAnsi="Times New Roman" w:cs="Times New Roman"/>
                <w:b/>
                <w:bCs/>
                <w:color w:val="000000"/>
                <w:sz w:val="22"/>
                <w:szCs w:val="22"/>
              </w:rPr>
              <w:t>15658</w:t>
            </w:r>
            <w:r>
              <w:rPr>
                <w:rFonts w:hint="eastAsia" w:ascii="Times New Roman" w:hAnsi="Times New Roman"/>
                <w:b/>
                <w:bCs/>
                <w:color w:val="000000"/>
                <w:sz w:val="22"/>
                <w:szCs w:val="22"/>
              </w:rPr>
              <w:t>.</w:t>
            </w:r>
            <w:r>
              <w:rPr>
                <w:rFonts w:ascii="Times New Roman" w:hAnsi="Times New Roman" w:cs="Times New Roman"/>
                <w:b/>
                <w:bCs/>
                <w:color w:val="000000"/>
                <w:sz w:val="22"/>
                <w:szCs w:val="22"/>
              </w:rPr>
              <w:t>44</w:t>
            </w:r>
            <w:r>
              <w:rPr>
                <w:rFonts w:hint="eastAsia" w:ascii="Times New Roman" w:hAnsi="Times New Roman"/>
                <w:b/>
                <w:bCs/>
                <w:color w:val="000000"/>
                <w:sz w:val="22"/>
                <w:szCs w:val="22"/>
              </w:rPr>
              <w:t xml:space="preserve"> </w:t>
            </w:r>
          </w:p>
        </w:tc>
        <w:tc>
          <w:tcPr>
            <w:tcW w:w="796" w:type="pct"/>
            <w:tcBorders>
              <w:bottom w:val="single" w:color="auto" w:sz="12" w:space="0"/>
            </w:tcBorders>
            <w:shd w:val="clear" w:color="auto" w:fill="auto"/>
            <w:vAlign w:val="bottom"/>
          </w:tcPr>
          <w:p>
            <w:pPr>
              <w:widowControl/>
              <w:spacing w:line="240" w:lineRule="auto"/>
              <w:jc w:val="center"/>
              <w:rPr>
                <w:rFonts w:ascii="Times New Roman" w:hAnsi="Times New Roman" w:cs="宋体"/>
                <w:b/>
                <w:bCs/>
                <w:color w:val="000000"/>
                <w:kern w:val="0"/>
                <w:sz w:val="22"/>
                <w:szCs w:val="22"/>
              </w:rPr>
            </w:pPr>
            <w:r>
              <w:rPr>
                <w:rFonts w:ascii="Times New Roman" w:hAnsi="Times New Roman" w:cs="Times New Roman"/>
                <w:b/>
                <w:bCs/>
                <w:color w:val="000000"/>
                <w:sz w:val="22"/>
                <w:szCs w:val="22"/>
              </w:rPr>
              <w:t>15380</w:t>
            </w:r>
            <w:r>
              <w:rPr>
                <w:rFonts w:hint="eastAsia" w:ascii="Times New Roman" w:hAnsi="Times New Roman"/>
                <w:b/>
                <w:bCs/>
                <w:color w:val="000000"/>
                <w:sz w:val="22"/>
                <w:szCs w:val="22"/>
              </w:rPr>
              <w:t>.</w:t>
            </w:r>
            <w:r>
              <w:rPr>
                <w:rFonts w:ascii="Times New Roman" w:hAnsi="Times New Roman" w:cs="Times New Roman"/>
                <w:b/>
                <w:bCs/>
                <w:color w:val="000000"/>
                <w:sz w:val="22"/>
                <w:szCs w:val="22"/>
              </w:rPr>
              <w:t>73</w:t>
            </w:r>
            <w:r>
              <w:rPr>
                <w:rFonts w:hint="eastAsia" w:ascii="Times New Roman" w:hAnsi="Times New Roman"/>
                <w:b/>
                <w:bCs/>
                <w:color w:val="000000"/>
                <w:sz w:val="22"/>
                <w:szCs w:val="22"/>
              </w:rPr>
              <w:t xml:space="preserve"> </w:t>
            </w:r>
          </w:p>
        </w:tc>
        <w:tc>
          <w:tcPr>
            <w:tcW w:w="1433" w:type="pct"/>
            <w:tcBorders>
              <w:bottom w:val="single" w:color="auto" w:sz="12" w:space="0"/>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　</w:t>
            </w:r>
          </w:p>
        </w:tc>
      </w:tr>
    </w:tbl>
    <w:p>
      <w:pPr>
        <w:ind w:firstLine="560" w:firstLineChars="200"/>
        <w:rPr>
          <w:rFonts w:ascii="Times New Roman" w:hAnsi="Times New Roman"/>
        </w:rPr>
      </w:pPr>
    </w:p>
    <w:p>
      <w:pPr>
        <w:spacing w:before="156" w:beforeLines="50" w:after="156" w:afterLines="50"/>
        <w:ind w:firstLine="643" w:firstLineChars="200"/>
        <w:outlineLvl w:val="1"/>
        <w:rPr>
          <w:rFonts w:ascii="Times New Roman" w:hAnsi="Times New Roman" w:cs="黑体"/>
          <w:b/>
          <w:bCs/>
          <w:color w:val="FF0000"/>
          <w:sz w:val="32"/>
          <w:szCs w:val="32"/>
        </w:rPr>
      </w:pPr>
      <w:bookmarkStart w:id="16" w:name="_Toc152320433"/>
      <w:r>
        <w:rPr>
          <w:rFonts w:hint="eastAsia" w:ascii="Times New Roman" w:hAnsi="Times New Roman" w:cs="黑体"/>
          <w:b/>
          <w:bCs/>
          <w:sz w:val="32"/>
          <w:szCs w:val="32"/>
        </w:rPr>
        <w:t>五、专项资金管理流程</w:t>
      </w:r>
      <w:bookmarkEnd w:id="14"/>
      <w:bookmarkEnd w:id="16"/>
    </w:p>
    <w:p>
      <w:pPr>
        <w:ind w:firstLine="560" w:firstLineChars="200"/>
        <w:rPr>
          <w:rFonts w:ascii="Times New Roman" w:hAnsi="Times New Roman" w:cs="Times New Roman"/>
          <w:szCs w:val="28"/>
        </w:rPr>
      </w:pPr>
      <w:r>
        <w:rPr>
          <w:rFonts w:hint="eastAsia" w:ascii="Times New Roman" w:hAnsi="Times New Roman" w:cs="Times New Roman"/>
          <w:color w:val="000000"/>
        </w:rPr>
        <w:t>惠安县困难群众救助补助资金由县财政局和县民政局按职责分工管理，主要用于特困人员救助供养、城乡低保、临时救助、流浪乞讨人员救助（含农村留守儿童、困境儿童等未成年人的应急处置、救助帮扶、监护支持、精神关爱等社会保护支出）、孤儿（含艾滋病病毒感染儿童和事实无人扶养儿童）基本生活保障补助支出。</w:t>
      </w:r>
      <w:r>
        <w:rPr>
          <w:rFonts w:hint="eastAsia" w:ascii="Times New Roman" w:hAnsi="Times New Roman" w:cs="Times New Roman"/>
          <w:szCs w:val="28"/>
        </w:rPr>
        <w:t>具体工作程序如下：</w:t>
      </w:r>
    </w:p>
    <w:p>
      <w:pPr>
        <w:ind w:firstLine="560" w:firstLineChars="200"/>
        <w:rPr>
          <w:rFonts w:ascii="Times New Roman" w:hAnsi="Times New Roman" w:cs="Times New Roman"/>
          <w:szCs w:val="28"/>
        </w:rPr>
      </w:pPr>
      <w:r>
        <w:rPr>
          <w:rFonts w:hint="eastAsia" w:ascii="Times New Roman" w:hAnsi="Times New Roman" w:cs="Times New Roman"/>
          <w:szCs w:val="28"/>
        </w:rPr>
        <w:t>（一）</w:t>
      </w:r>
      <w:r>
        <w:rPr>
          <w:rFonts w:ascii="Times New Roman" w:hAnsi="Times New Roman" w:cs="Times New Roman"/>
          <w:szCs w:val="28"/>
        </w:rPr>
        <w:t>申报。</w:t>
      </w:r>
      <w:r>
        <w:rPr>
          <w:rFonts w:hint="eastAsia" w:ascii="Times New Roman" w:hAnsi="Times New Roman" w:cs="Times New Roman"/>
          <w:szCs w:val="28"/>
        </w:rPr>
        <w:t>申请人员由本人向户籍所在地乡镇人民政府（街道办事处）提出书面申请。本人申请有困难的，可以委托村（居）民委员会或者他人代为提出申请，并提交申报材料。</w:t>
      </w:r>
      <w:r>
        <w:rPr>
          <w:rFonts w:ascii="Times New Roman" w:hAnsi="Times New Roman" w:cs="Times New Roman"/>
          <w:szCs w:val="28"/>
        </w:rPr>
        <w:t xml:space="preserve"> </w:t>
      </w:r>
    </w:p>
    <w:p>
      <w:pPr>
        <w:ind w:firstLine="560" w:firstLineChars="200"/>
        <w:rPr>
          <w:rFonts w:ascii="Times New Roman" w:hAnsi="Times New Roman" w:cs="Times New Roman"/>
          <w:szCs w:val="28"/>
        </w:rPr>
      </w:pPr>
      <w:r>
        <w:rPr>
          <w:rFonts w:hint="eastAsia" w:ascii="Times New Roman" w:hAnsi="Times New Roman" w:cs="Times New Roman"/>
          <w:szCs w:val="28"/>
        </w:rPr>
        <w:t>（二）审核</w:t>
      </w:r>
      <w:r>
        <w:rPr>
          <w:rFonts w:ascii="Times New Roman" w:hAnsi="Times New Roman" w:cs="Times New Roman"/>
          <w:szCs w:val="28"/>
        </w:rPr>
        <w:t>。</w:t>
      </w:r>
      <w:r>
        <w:rPr>
          <w:rFonts w:hint="eastAsia" w:ascii="Times New Roman" w:hAnsi="Times New Roman" w:cs="Times New Roman"/>
          <w:szCs w:val="28"/>
        </w:rPr>
        <w:t>乡镇人民政府（街道办事处）应当自受理申请之日起</w:t>
      </w:r>
      <w:r>
        <w:rPr>
          <w:rFonts w:ascii="Times New Roman" w:hAnsi="Times New Roman" w:cs="Times New Roman"/>
          <w:szCs w:val="28"/>
        </w:rPr>
        <w:t>15个工作日内，通过入户调查、邻里访问、信函索证、信息核对等方式，对申请人的经济状况、实际生活状况以及赡养、抚养、扶养状况等进行调查核实，并提出初审意见。</w:t>
      </w:r>
      <w:r>
        <w:rPr>
          <w:rFonts w:hint="eastAsia" w:ascii="Times New Roman" w:hAnsi="Times New Roman" w:cs="Times New Roman"/>
          <w:szCs w:val="28"/>
        </w:rPr>
        <w:t>初审意见及时在申请人所在村（社区）公示，</w:t>
      </w:r>
      <w:r>
        <w:rPr>
          <w:rFonts w:ascii="Times New Roman" w:hAnsi="Times New Roman" w:cs="Times New Roman"/>
          <w:szCs w:val="28"/>
        </w:rPr>
        <w:t>公示期满无异议的，乡镇人民政府（街道办事处）应当将初审意见连同申请、调查核实等相关材料报送县民政部门。</w:t>
      </w:r>
    </w:p>
    <w:p>
      <w:pPr>
        <w:ind w:firstLine="560" w:firstLineChars="200"/>
        <w:rPr>
          <w:rFonts w:ascii="Times New Roman" w:hAnsi="Times New Roman" w:cs="Times New Roman"/>
          <w:szCs w:val="28"/>
        </w:rPr>
      </w:pPr>
      <w:r>
        <w:rPr>
          <w:rFonts w:hint="eastAsia" w:ascii="Times New Roman" w:hAnsi="Times New Roman" w:cs="Times New Roman"/>
          <w:szCs w:val="28"/>
        </w:rPr>
        <w:t>（三）确认</w:t>
      </w:r>
      <w:r>
        <w:rPr>
          <w:rFonts w:ascii="Times New Roman" w:hAnsi="Times New Roman" w:cs="Times New Roman"/>
          <w:szCs w:val="28"/>
        </w:rPr>
        <w:t>。</w:t>
      </w:r>
      <w:r>
        <w:rPr>
          <w:rFonts w:hint="eastAsia" w:ascii="Times New Roman" w:hAnsi="Times New Roman" w:cs="Times New Roman"/>
          <w:szCs w:val="28"/>
        </w:rPr>
        <w:t>县民政部门应当全面审核乡镇人民政府（街道办事处）上报的申请材料、调查材料和初审意见，按照不低于</w:t>
      </w:r>
      <w:r>
        <w:rPr>
          <w:rFonts w:ascii="Times New Roman" w:hAnsi="Times New Roman" w:cs="Times New Roman"/>
          <w:szCs w:val="28"/>
        </w:rPr>
        <w:t>30%的比例随机抽查核实，并在15个工作日内提出确认意见。对符合救助供养条件的申请，县民政部门应当及时予以确认，建立救助供养档案，从确认之日下月起给予救助供养待遇，并通过乡镇人民政府（街道办事处）在申请人所在村（社区）公布。不符合条件、不予同意的，县民政部门应当在</w:t>
      </w:r>
      <w:r>
        <w:rPr>
          <w:rFonts w:hint="eastAsia" w:ascii="Times New Roman" w:hAnsi="Times New Roman" w:cs="Times New Roman"/>
          <w:szCs w:val="28"/>
        </w:rPr>
        <w:t>做出</w:t>
      </w:r>
      <w:r>
        <w:rPr>
          <w:rFonts w:ascii="Times New Roman" w:hAnsi="Times New Roman" w:cs="Times New Roman"/>
          <w:szCs w:val="28"/>
        </w:rPr>
        <w:t>决定3个工作日内，通过乡镇人民政府（街道办事处）书面告知申请人或者其代理人并说明理由。</w:t>
      </w:r>
    </w:p>
    <w:p>
      <w:pPr>
        <w:ind w:firstLine="560" w:firstLineChars="200"/>
        <w:rPr>
          <w:rFonts w:ascii="Times New Roman" w:hAnsi="Times New Roman" w:cs="Times New Roman"/>
          <w:szCs w:val="28"/>
        </w:rPr>
      </w:pPr>
      <w:r>
        <w:rPr>
          <w:rFonts w:hint="eastAsia" w:ascii="Times New Roman" w:hAnsi="Times New Roman" w:cs="Times New Roman"/>
          <w:szCs w:val="28"/>
        </w:rPr>
        <w:t>（四）发放</w:t>
      </w:r>
      <w:r>
        <w:rPr>
          <w:rFonts w:ascii="Times New Roman" w:hAnsi="Times New Roman" w:cs="Times New Roman"/>
          <w:szCs w:val="28"/>
        </w:rPr>
        <w:t>。</w:t>
      </w:r>
      <w:r>
        <w:rPr>
          <w:rFonts w:hint="eastAsia" w:ascii="Times New Roman" w:hAnsi="Times New Roman" w:cs="Times New Roman"/>
          <w:szCs w:val="28"/>
        </w:rPr>
        <w:t>分散供养对象生活救助供养资金按月足额打卡发放，集中供养对象的生活救助供养资金由财政直接拨付供养服务机构。</w:t>
      </w:r>
    </w:p>
    <w:p>
      <w:pPr>
        <w:ind w:firstLine="560" w:firstLineChars="200"/>
        <w:rPr>
          <w:rFonts w:ascii="Times New Roman" w:hAnsi="Times New Roman"/>
        </w:rPr>
      </w:pPr>
      <w:r>
        <w:rPr>
          <w:rFonts w:ascii="Times New Roman" w:hAnsi="Times New Roman"/>
        </w:rPr>
        <w:br w:type="page"/>
      </w:r>
    </w:p>
    <w:p>
      <w:pPr>
        <w:rPr>
          <w:rFonts w:ascii="Times New Roman" w:hAnsi="Times New Roman"/>
        </w:rPr>
      </w:pPr>
    </w:p>
    <w:p>
      <w:pPr>
        <w:jc w:val="center"/>
        <w:outlineLvl w:val="0"/>
        <w:rPr>
          <w:rFonts w:ascii="Times New Roman" w:hAnsi="Times New Roman" w:cs="楷体"/>
          <w:b/>
          <w:bCs/>
          <w:sz w:val="36"/>
          <w:szCs w:val="36"/>
        </w:rPr>
      </w:pPr>
      <w:bookmarkStart w:id="17" w:name="_Toc152320434"/>
      <w:bookmarkStart w:id="18" w:name="_Toc649299437"/>
      <w:r>
        <w:rPr>
          <w:rFonts w:hint="eastAsia" w:ascii="Times New Roman" w:hAnsi="Times New Roman" w:cs="楷体"/>
          <w:b/>
          <w:bCs/>
          <w:sz w:val="36"/>
          <w:szCs w:val="36"/>
        </w:rPr>
        <w:t>第二部分</w:t>
      </w:r>
      <w:r>
        <w:rPr>
          <w:rFonts w:ascii="Times New Roman" w:hAnsi="Times New Roman" w:cs="楷体"/>
          <w:b/>
          <w:bCs/>
          <w:sz w:val="36"/>
          <w:szCs w:val="36"/>
        </w:rPr>
        <w:t xml:space="preserve"> </w:t>
      </w:r>
      <w:r>
        <w:rPr>
          <w:rFonts w:hint="eastAsia" w:ascii="Times New Roman" w:hAnsi="Times New Roman" w:cs="楷体"/>
          <w:b/>
          <w:bCs/>
          <w:sz w:val="36"/>
          <w:szCs w:val="36"/>
        </w:rPr>
        <w:t>绩效评价工作开展情况</w:t>
      </w:r>
      <w:bookmarkEnd w:id="17"/>
      <w:bookmarkEnd w:id="18"/>
    </w:p>
    <w:p>
      <w:pPr>
        <w:rPr>
          <w:rFonts w:ascii="Times New Roman" w:hAnsi="Times New Roman"/>
          <w:b/>
          <w:bCs/>
        </w:rPr>
      </w:pPr>
    </w:p>
    <w:p>
      <w:pPr>
        <w:spacing w:before="156" w:beforeLines="50" w:after="156" w:afterLines="50"/>
        <w:ind w:firstLine="643" w:firstLineChars="200"/>
        <w:outlineLvl w:val="1"/>
        <w:rPr>
          <w:rFonts w:ascii="Times New Roman" w:hAnsi="Times New Roman" w:cs="黑体"/>
          <w:b/>
          <w:bCs/>
          <w:sz w:val="32"/>
          <w:szCs w:val="32"/>
        </w:rPr>
      </w:pPr>
      <w:bookmarkStart w:id="19" w:name="_Toc152320435"/>
      <w:bookmarkStart w:id="20" w:name="_Toc1925960322"/>
      <w:r>
        <w:rPr>
          <w:rFonts w:hint="eastAsia" w:ascii="Times New Roman" w:hAnsi="Times New Roman" w:cs="黑体"/>
          <w:b/>
          <w:bCs/>
          <w:sz w:val="32"/>
          <w:szCs w:val="32"/>
        </w:rPr>
        <w:t>一、评价工作组介绍</w:t>
      </w:r>
      <w:bookmarkEnd w:id="19"/>
      <w:bookmarkEnd w:id="20"/>
    </w:p>
    <w:p>
      <w:pPr>
        <w:ind w:firstLine="560" w:firstLineChars="200"/>
        <w:rPr>
          <w:rFonts w:ascii="Times New Roman" w:hAnsi="Times New Roman" w:cs="Times New Roman"/>
          <w:szCs w:val="28"/>
        </w:rPr>
      </w:pPr>
      <w:r>
        <w:rPr>
          <w:rFonts w:hint="eastAsia" w:ascii="Times New Roman" w:hAnsi="Times New Roman" w:cs="Times New Roman"/>
          <w:szCs w:val="28"/>
        </w:rPr>
        <w:t>惠安县</w:t>
      </w:r>
      <w:r>
        <w:rPr>
          <w:rFonts w:ascii="Times New Roman" w:hAnsi="Times New Roman" w:cs="Times New Roman"/>
          <w:szCs w:val="28"/>
        </w:rPr>
        <w:t>2021-2022</w:t>
      </w:r>
      <w:r>
        <w:rPr>
          <w:rFonts w:hint="eastAsia" w:ascii="Times New Roman" w:hAnsi="Times New Roman" w:cs="Times New Roman"/>
          <w:szCs w:val="28"/>
        </w:rPr>
        <w:t>年困难群众救助补助</w:t>
      </w:r>
      <w:r>
        <w:rPr>
          <w:rFonts w:ascii="Times New Roman" w:hAnsi="Times New Roman" w:cs="Times New Roman"/>
          <w:szCs w:val="28"/>
        </w:rPr>
        <w:t>专项资金的</w:t>
      </w:r>
      <w:r>
        <w:rPr>
          <w:rFonts w:hint="eastAsia" w:ascii="Times New Roman" w:hAnsi="Times New Roman" w:cs="Times New Roman"/>
          <w:szCs w:val="28"/>
        </w:rPr>
        <w:t>项目</w:t>
      </w:r>
      <w:r>
        <w:rPr>
          <w:rFonts w:ascii="Times New Roman" w:hAnsi="Times New Roman" w:cs="Times New Roman"/>
          <w:szCs w:val="28"/>
        </w:rPr>
        <w:t>绩效评价工作组</w:t>
      </w:r>
      <w:r>
        <w:rPr>
          <w:rFonts w:hint="eastAsia" w:ascii="Times New Roman" w:hAnsi="Times New Roman" w:cs="Times New Roman"/>
          <w:szCs w:val="28"/>
        </w:rPr>
        <w:t>包括福州市韦兰信息科技有限公司评价人员。</w:t>
      </w:r>
      <w:r>
        <w:rPr>
          <w:rFonts w:ascii="Times New Roman" w:hAnsi="Times New Roman" w:cs="Times New Roman"/>
          <w:szCs w:val="28"/>
        </w:rPr>
        <w:t>本次部门评价工作组通过组织实施部门绩效评价工作，拟定评价方案、及时收集、汇总和分析资料，最终形成有效的评价组织架构。</w:t>
      </w:r>
    </w:p>
    <w:p>
      <w:pPr>
        <w:spacing w:before="156" w:beforeLines="50" w:after="156" w:afterLines="50"/>
        <w:ind w:firstLine="643" w:firstLineChars="200"/>
        <w:outlineLvl w:val="1"/>
        <w:rPr>
          <w:rFonts w:ascii="Times New Roman" w:hAnsi="Times New Roman" w:cs="黑体"/>
          <w:b/>
          <w:bCs/>
          <w:sz w:val="32"/>
          <w:szCs w:val="32"/>
        </w:rPr>
      </w:pPr>
      <w:bookmarkStart w:id="21" w:name="_Toc702933774"/>
      <w:bookmarkStart w:id="22" w:name="_Toc152320436"/>
      <w:r>
        <w:rPr>
          <w:rFonts w:hint="eastAsia" w:ascii="Times New Roman" w:hAnsi="Times New Roman" w:cs="黑体"/>
          <w:b/>
          <w:bCs/>
          <w:sz w:val="32"/>
          <w:szCs w:val="32"/>
        </w:rPr>
        <w:t>二、评价目的</w:t>
      </w:r>
      <w:bookmarkEnd w:id="21"/>
      <w:bookmarkEnd w:id="22"/>
    </w:p>
    <w:p>
      <w:pPr>
        <w:ind w:firstLine="560" w:firstLineChars="200"/>
        <w:rPr>
          <w:rFonts w:ascii="Times New Roman" w:hAnsi="Times New Roman" w:cs="Times New Roman"/>
          <w:szCs w:val="28"/>
        </w:rPr>
      </w:pPr>
      <w:r>
        <w:rPr>
          <w:rFonts w:hint="eastAsia" w:ascii="Times New Roman" w:hAnsi="Times New Roman" w:cs="Times New Roman"/>
          <w:szCs w:val="28"/>
        </w:rPr>
        <w:t>全面评价惠安县实施困难群众救助补助</w:t>
      </w:r>
      <w:r>
        <w:rPr>
          <w:rFonts w:ascii="Times New Roman" w:hAnsi="Times New Roman" w:cs="Times New Roman"/>
          <w:szCs w:val="28"/>
        </w:rPr>
        <w:t>专项资金</w:t>
      </w:r>
      <w:r>
        <w:rPr>
          <w:rFonts w:hint="eastAsia" w:ascii="Times New Roman" w:hAnsi="Times New Roman" w:cs="Times New Roman"/>
          <w:szCs w:val="28"/>
        </w:rPr>
        <w:t>的使用和管理情况、绩效目标完成情况，并从项目资金使用合规性及成本控制有效性入手，分析项目效益水平，强化预算绩效责任，提高财政资金配置和使用效益。同时，通过运用科学、合理的绩效评价指标、评价标准和评价方法，发现项目实施过程中存在的问题并提出建议。结合评价情况，进一步促进项目规范运营，提高项目运行管理水平。本次绩效评价的目的是：</w:t>
      </w:r>
    </w:p>
    <w:p>
      <w:pPr>
        <w:ind w:firstLine="562" w:firstLineChars="200"/>
        <w:outlineLvl w:val="2"/>
        <w:rPr>
          <w:rFonts w:ascii="Times New Roman" w:hAnsi="Times New Roman" w:cs="Times New Roman"/>
          <w:b/>
          <w:bCs/>
          <w:szCs w:val="28"/>
        </w:rPr>
      </w:pPr>
      <w:bookmarkStart w:id="23" w:name="_Toc1038691344"/>
      <w:bookmarkStart w:id="24" w:name="_Toc152320437"/>
      <w:r>
        <w:rPr>
          <w:rFonts w:hint="eastAsia" w:ascii="Times New Roman" w:hAnsi="Times New Roman" w:cs="Times New Roman"/>
          <w:b/>
          <w:bCs/>
          <w:szCs w:val="28"/>
        </w:rPr>
        <w:t>（一）评价专项资金管理的规范性和合理性</w:t>
      </w:r>
      <w:bookmarkEnd w:id="23"/>
      <w:bookmarkEnd w:id="24"/>
    </w:p>
    <w:p>
      <w:pPr>
        <w:ind w:firstLine="560" w:firstLineChars="200"/>
        <w:rPr>
          <w:rFonts w:ascii="Times New Roman" w:hAnsi="Times New Roman" w:cs="Times New Roman"/>
          <w:szCs w:val="28"/>
        </w:rPr>
      </w:pPr>
      <w:r>
        <w:rPr>
          <w:rFonts w:hint="eastAsia" w:ascii="Times New Roman" w:hAnsi="Times New Roman" w:cs="Times New Roman"/>
          <w:szCs w:val="28"/>
        </w:rPr>
        <w:t>通过评估资金分配办法、标准的合理性、资金安排与目标任务的匹配度及资金下拨、实施进度的及时性等，发现资金分配、使用、管理等方面存在的问题。</w:t>
      </w:r>
    </w:p>
    <w:p>
      <w:pPr>
        <w:ind w:firstLine="562" w:firstLineChars="200"/>
        <w:outlineLvl w:val="2"/>
        <w:rPr>
          <w:rFonts w:ascii="Times New Roman" w:hAnsi="Times New Roman" w:cs="Times New Roman"/>
          <w:b/>
          <w:bCs/>
          <w:szCs w:val="28"/>
        </w:rPr>
      </w:pPr>
      <w:bookmarkStart w:id="25" w:name="_Toc1244625645"/>
      <w:bookmarkStart w:id="26" w:name="_Toc152320438"/>
      <w:r>
        <w:rPr>
          <w:rFonts w:hint="eastAsia" w:ascii="Times New Roman" w:hAnsi="Times New Roman" w:cs="Times New Roman"/>
          <w:b/>
          <w:bCs/>
          <w:szCs w:val="28"/>
        </w:rPr>
        <w:t>（二）评价专项资金的产出和效果</w:t>
      </w:r>
      <w:bookmarkEnd w:id="25"/>
      <w:bookmarkEnd w:id="26"/>
    </w:p>
    <w:p>
      <w:pPr>
        <w:ind w:firstLine="560" w:firstLineChars="200"/>
        <w:rPr>
          <w:rFonts w:ascii="Times New Roman" w:hAnsi="Times New Roman" w:cs="Times New Roman"/>
          <w:szCs w:val="28"/>
        </w:rPr>
      </w:pPr>
      <w:r>
        <w:rPr>
          <w:rFonts w:hint="eastAsia" w:ascii="Times New Roman" w:hAnsi="Times New Roman" w:cs="Times New Roman"/>
          <w:szCs w:val="28"/>
        </w:rPr>
        <w:t>评价专项资金的产出和效益目标的实现情况，为完善预算绩效管理提供参考依据。</w:t>
      </w:r>
    </w:p>
    <w:p>
      <w:pPr>
        <w:ind w:firstLine="562" w:firstLineChars="200"/>
        <w:outlineLvl w:val="2"/>
        <w:rPr>
          <w:rFonts w:ascii="Times New Roman" w:hAnsi="Times New Roman" w:cs="Times New Roman"/>
          <w:b/>
          <w:bCs/>
          <w:szCs w:val="28"/>
        </w:rPr>
      </w:pPr>
      <w:bookmarkStart w:id="27" w:name="_Toc452575074"/>
      <w:bookmarkStart w:id="28" w:name="_Toc152320439"/>
      <w:r>
        <w:rPr>
          <w:rFonts w:hint="eastAsia" w:ascii="Times New Roman" w:hAnsi="Times New Roman" w:cs="Times New Roman"/>
          <w:b/>
          <w:bCs/>
          <w:szCs w:val="28"/>
        </w:rPr>
        <w:t>（三）</w:t>
      </w:r>
      <w:bookmarkEnd w:id="27"/>
      <w:r>
        <w:rPr>
          <w:rFonts w:hint="eastAsia" w:ascii="Times New Roman" w:hAnsi="Times New Roman" w:cs="Times New Roman"/>
          <w:b/>
          <w:bCs/>
          <w:szCs w:val="28"/>
        </w:rPr>
        <w:t>落实兜底保障工作，完善救助保障体系</w:t>
      </w:r>
      <w:bookmarkEnd w:id="28"/>
    </w:p>
    <w:p>
      <w:pPr>
        <w:ind w:firstLine="560" w:firstLineChars="200"/>
        <w:rPr>
          <w:rFonts w:ascii="Times New Roman" w:hAnsi="Times New Roman" w:cs="Times New Roman"/>
          <w:szCs w:val="28"/>
        </w:rPr>
      </w:pPr>
      <w:r>
        <w:rPr>
          <w:rFonts w:hint="eastAsia" w:ascii="Times New Roman" w:hAnsi="Times New Roman" w:cs="Times New Roman"/>
          <w:szCs w:val="28"/>
        </w:rPr>
        <w:t>通过绩效评价，针对绩效管理过程中存在的问题和薄弱环节，提出专项管理的优化方案。发挥专项资金作用，实现对符合条件的困难群众“应保尽保”，大力完善社会救助保障体系，实行社会化逐月发放最低生活保障金，并根据社会经济发展水平，不断提高城乡低保标准和补助水平，着力改善民生，为困难群众的基本生活实施兜底保障。</w:t>
      </w:r>
    </w:p>
    <w:p>
      <w:pPr>
        <w:spacing w:before="156" w:beforeLines="50" w:after="156" w:afterLines="50"/>
        <w:ind w:firstLine="643" w:firstLineChars="200"/>
        <w:outlineLvl w:val="1"/>
        <w:rPr>
          <w:rFonts w:ascii="Times New Roman" w:hAnsi="Times New Roman" w:cs="黑体"/>
          <w:b/>
          <w:bCs/>
          <w:sz w:val="32"/>
          <w:szCs w:val="32"/>
        </w:rPr>
      </w:pPr>
      <w:bookmarkStart w:id="29" w:name="_Toc152320440"/>
      <w:bookmarkStart w:id="30" w:name="_Toc1943839548"/>
      <w:r>
        <w:rPr>
          <w:rFonts w:hint="eastAsia" w:ascii="Times New Roman" w:hAnsi="Times New Roman" w:cs="黑体"/>
          <w:b/>
          <w:bCs/>
          <w:sz w:val="32"/>
          <w:szCs w:val="32"/>
        </w:rPr>
        <w:t>三、评价对象</w:t>
      </w:r>
      <w:bookmarkEnd w:id="29"/>
      <w:bookmarkEnd w:id="30"/>
    </w:p>
    <w:p>
      <w:pPr>
        <w:ind w:firstLine="560" w:firstLineChars="200"/>
        <w:rPr>
          <w:rFonts w:ascii="Times New Roman" w:hAnsi="Times New Roman" w:cs="Times New Roman"/>
          <w:szCs w:val="28"/>
        </w:rPr>
      </w:pPr>
      <w:bookmarkStart w:id="31" w:name="_Toc1547353198"/>
      <w:r>
        <w:rPr>
          <w:rFonts w:hint="eastAsia" w:ascii="Times New Roman" w:hAnsi="Times New Roman" w:cs="Times New Roman"/>
          <w:szCs w:val="28"/>
        </w:rPr>
        <w:t>本次绩效评价对象为惠安县</w:t>
      </w:r>
      <w:r>
        <w:rPr>
          <w:rFonts w:ascii="Times New Roman" w:hAnsi="Times New Roman" w:cs="Times New Roman"/>
          <w:szCs w:val="28"/>
        </w:rPr>
        <w:t>2021-2022</w:t>
      </w:r>
      <w:r>
        <w:rPr>
          <w:rFonts w:hint="eastAsia" w:ascii="Times New Roman" w:hAnsi="Times New Roman" w:cs="Times New Roman"/>
          <w:szCs w:val="28"/>
        </w:rPr>
        <w:t>年困难群众救助补助</w:t>
      </w:r>
      <w:r>
        <w:rPr>
          <w:rFonts w:ascii="Times New Roman" w:hAnsi="Times New Roman" w:cs="Times New Roman"/>
          <w:szCs w:val="28"/>
        </w:rPr>
        <w:t>专项资金</w:t>
      </w:r>
      <w:r>
        <w:rPr>
          <w:rFonts w:hint="eastAsia" w:ascii="Times New Roman" w:hAnsi="Times New Roman" w:cs="Times New Roman"/>
          <w:szCs w:val="28"/>
        </w:rPr>
        <w:t>。</w:t>
      </w:r>
    </w:p>
    <w:p>
      <w:pPr>
        <w:spacing w:before="156" w:beforeLines="50" w:after="156" w:afterLines="50"/>
        <w:ind w:firstLine="643" w:firstLineChars="200"/>
        <w:outlineLvl w:val="1"/>
        <w:rPr>
          <w:rFonts w:ascii="Times New Roman" w:hAnsi="Times New Roman" w:cs="黑体"/>
          <w:b/>
          <w:bCs/>
          <w:sz w:val="32"/>
          <w:szCs w:val="32"/>
        </w:rPr>
      </w:pPr>
      <w:bookmarkStart w:id="32" w:name="_Toc152320441"/>
      <w:r>
        <w:rPr>
          <w:rFonts w:hint="eastAsia" w:ascii="Times New Roman" w:hAnsi="Times New Roman" w:cs="黑体"/>
          <w:b/>
          <w:bCs/>
          <w:sz w:val="32"/>
          <w:szCs w:val="32"/>
        </w:rPr>
        <w:t>四、评价范围</w:t>
      </w:r>
      <w:bookmarkEnd w:id="31"/>
      <w:bookmarkEnd w:id="32"/>
    </w:p>
    <w:p>
      <w:pPr>
        <w:ind w:firstLine="560" w:firstLineChars="200"/>
        <w:rPr>
          <w:rFonts w:ascii="Times New Roman" w:hAnsi="Times New Roman" w:cs="Times New Roman"/>
          <w:szCs w:val="28"/>
        </w:rPr>
      </w:pPr>
      <w:r>
        <w:rPr>
          <w:rFonts w:hint="eastAsia" w:ascii="Times New Roman" w:hAnsi="Times New Roman" w:cs="Times New Roman"/>
          <w:szCs w:val="28"/>
        </w:rPr>
        <w:t>评价的范围主要包括专项资金的决策情况、资金管理和使用情况、相关管理制度办法的健全性及执行情况、实现的产出情况和取得的效益情况等。</w:t>
      </w:r>
    </w:p>
    <w:p>
      <w:pPr>
        <w:spacing w:before="156" w:beforeLines="50" w:after="156" w:afterLines="50"/>
        <w:ind w:firstLine="643" w:firstLineChars="200"/>
        <w:outlineLvl w:val="1"/>
        <w:rPr>
          <w:rFonts w:ascii="Times New Roman" w:hAnsi="Times New Roman" w:cs="黑体"/>
          <w:b/>
          <w:bCs/>
          <w:sz w:val="32"/>
          <w:szCs w:val="32"/>
        </w:rPr>
      </w:pPr>
      <w:bookmarkStart w:id="33" w:name="_Toc406472542"/>
      <w:bookmarkStart w:id="34" w:name="_Toc152320442"/>
      <w:r>
        <w:rPr>
          <w:rFonts w:hint="eastAsia" w:ascii="Times New Roman" w:hAnsi="Times New Roman" w:cs="黑体"/>
          <w:b/>
          <w:bCs/>
          <w:sz w:val="32"/>
          <w:szCs w:val="32"/>
        </w:rPr>
        <w:t>五、评价原则</w:t>
      </w:r>
      <w:bookmarkEnd w:id="33"/>
      <w:bookmarkEnd w:id="34"/>
    </w:p>
    <w:p>
      <w:pPr>
        <w:ind w:firstLine="562" w:firstLineChars="200"/>
        <w:outlineLvl w:val="2"/>
        <w:rPr>
          <w:rFonts w:ascii="Times New Roman" w:hAnsi="Times New Roman" w:cs="Times New Roman"/>
          <w:b/>
          <w:bCs/>
          <w:szCs w:val="28"/>
        </w:rPr>
      </w:pPr>
      <w:bookmarkStart w:id="35" w:name="_Toc152320443"/>
      <w:r>
        <w:rPr>
          <w:rFonts w:hint="eastAsia" w:ascii="Times New Roman" w:hAnsi="Times New Roman" w:cs="Times New Roman"/>
          <w:b/>
          <w:bCs/>
          <w:szCs w:val="28"/>
        </w:rPr>
        <w:t>（一）</w:t>
      </w:r>
      <w:r>
        <w:rPr>
          <w:rFonts w:ascii="Times New Roman" w:hAnsi="Times New Roman" w:cs="Times New Roman"/>
          <w:b/>
          <w:bCs/>
          <w:szCs w:val="28"/>
        </w:rPr>
        <w:t>服务大局原则</w:t>
      </w:r>
      <w:bookmarkEnd w:id="35"/>
    </w:p>
    <w:p>
      <w:pPr>
        <w:ind w:firstLine="560" w:firstLineChars="200"/>
        <w:rPr>
          <w:rFonts w:ascii="Times New Roman" w:hAnsi="Times New Roman" w:cs="Times New Roman"/>
          <w:szCs w:val="28"/>
        </w:rPr>
      </w:pPr>
      <w:r>
        <w:rPr>
          <w:rFonts w:ascii="Times New Roman" w:hAnsi="Times New Roman" w:cs="Times New Roman"/>
          <w:szCs w:val="28"/>
        </w:rPr>
        <w:t>项目的绩效评价工作应坚持党中央、国务院、福建省关于深化预算管理体制的有关精神和通知文件。</w:t>
      </w:r>
    </w:p>
    <w:p>
      <w:pPr>
        <w:ind w:firstLine="562" w:firstLineChars="200"/>
        <w:outlineLvl w:val="2"/>
        <w:rPr>
          <w:rFonts w:ascii="Times New Roman" w:hAnsi="Times New Roman" w:cs="Times New Roman"/>
          <w:b/>
          <w:bCs/>
          <w:szCs w:val="28"/>
        </w:rPr>
      </w:pPr>
      <w:bookmarkStart w:id="36" w:name="_Toc152320444"/>
      <w:r>
        <w:rPr>
          <w:rFonts w:hint="eastAsia" w:ascii="Times New Roman" w:hAnsi="Times New Roman" w:cs="Times New Roman"/>
          <w:b/>
          <w:bCs/>
          <w:szCs w:val="28"/>
        </w:rPr>
        <w:t>（二）</w:t>
      </w:r>
      <w:r>
        <w:rPr>
          <w:rFonts w:ascii="Times New Roman" w:hAnsi="Times New Roman" w:cs="Times New Roman"/>
          <w:b/>
          <w:bCs/>
          <w:szCs w:val="28"/>
        </w:rPr>
        <w:t>科学规范原则</w:t>
      </w:r>
      <w:bookmarkEnd w:id="36"/>
    </w:p>
    <w:p>
      <w:pPr>
        <w:ind w:firstLine="560" w:firstLineChars="200"/>
        <w:rPr>
          <w:rFonts w:ascii="Times New Roman" w:hAnsi="Times New Roman" w:cs="Times New Roman"/>
          <w:szCs w:val="28"/>
        </w:rPr>
      </w:pPr>
      <w:r>
        <w:rPr>
          <w:rFonts w:ascii="Times New Roman" w:hAnsi="Times New Roman" w:cs="Times New Roman"/>
          <w:szCs w:val="28"/>
        </w:rPr>
        <w:t>绩效评价应当运用科学合理的方法，根据《财政部关于印发&lt;项目支出绩效评价管理办法&gt;》（财预〔2020〕10号）等文件的相关要求，按照科学可行的原则和规范的程序，采取定量分析与定性分析相结合的评价方法，对项目绩效进行客观、公正的反映。</w:t>
      </w:r>
    </w:p>
    <w:p>
      <w:pPr>
        <w:ind w:firstLine="562" w:firstLineChars="200"/>
        <w:outlineLvl w:val="2"/>
        <w:rPr>
          <w:rFonts w:ascii="Times New Roman" w:hAnsi="Times New Roman" w:cs="Times New Roman"/>
          <w:b/>
          <w:bCs/>
          <w:szCs w:val="28"/>
        </w:rPr>
      </w:pPr>
      <w:bookmarkStart w:id="37" w:name="_Toc152320445"/>
      <w:r>
        <w:rPr>
          <w:rFonts w:hint="eastAsia" w:ascii="Times New Roman" w:hAnsi="Times New Roman" w:cs="Times New Roman"/>
          <w:b/>
          <w:bCs/>
          <w:szCs w:val="28"/>
        </w:rPr>
        <w:t>（三）</w:t>
      </w:r>
      <w:r>
        <w:rPr>
          <w:rFonts w:ascii="Times New Roman" w:hAnsi="Times New Roman" w:cs="Times New Roman"/>
          <w:b/>
          <w:bCs/>
          <w:szCs w:val="28"/>
        </w:rPr>
        <w:t>公正公开原则</w:t>
      </w:r>
      <w:bookmarkEnd w:id="37"/>
    </w:p>
    <w:p>
      <w:pPr>
        <w:ind w:firstLine="560" w:firstLineChars="200"/>
        <w:rPr>
          <w:rFonts w:ascii="Times New Roman" w:hAnsi="Times New Roman" w:cs="Times New Roman"/>
          <w:szCs w:val="28"/>
        </w:rPr>
      </w:pPr>
      <w:r>
        <w:rPr>
          <w:rFonts w:ascii="Times New Roman" w:hAnsi="Times New Roman" w:cs="Times New Roman"/>
          <w:szCs w:val="28"/>
        </w:rPr>
        <w:t>项目的绩效评价应符合真实、客观、公正的要求，优先使用最具评价对象代表性、最能反映评价要求的核心指标，评价依法公开并接受监督。</w:t>
      </w:r>
    </w:p>
    <w:p>
      <w:pPr>
        <w:ind w:firstLine="562" w:firstLineChars="200"/>
        <w:outlineLvl w:val="2"/>
        <w:rPr>
          <w:rFonts w:ascii="Times New Roman" w:hAnsi="Times New Roman" w:cs="Times New Roman"/>
          <w:b/>
          <w:bCs/>
          <w:szCs w:val="28"/>
        </w:rPr>
      </w:pPr>
      <w:bookmarkStart w:id="38" w:name="_Toc152320446"/>
      <w:r>
        <w:rPr>
          <w:rFonts w:hint="eastAsia" w:ascii="Times New Roman" w:hAnsi="Times New Roman" w:cs="Times New Roman"/>
          <w:b/>
          <w:bCs/>
          <w:szCs w:val="28"/>
        </w:rPr>
        <w:t>（四）问题导向原则</w:t>
      </w:r>
      <w:bookmarkEnd w:id="38"/>
    </w:p>
    <w:p>
      <w:pPr>
        <w:ind w:firstLine="560" w:firstLineChars="200"/>
        <w:rPr>
          <w:rFonts w:ascii="Times New Roman" w:hAnsi="Times New Roman" w:cs="Times New Roman"/>
          <w:szCs w:val="28"/>
        </w:rPr>
      </w:pPr>
      <w:r>
        <w:rPr>
          <w:rFonts w:ascii="Times New Roman" w:hAnsi="Times New Roman" w:cs="Times New Roman"/>
          <w:szCs w:val="28"/>
        </w:rPr>
        <w:t>项目的绩效评价工作应坚持问题导向，深入挖掘并系统反映项目在预算管理、业务管理、采购管理、绩效管理和财务管理等方面存在的问题，并提出优化管理的建议。</w:t>
      </w:r>
    </w:p>
    <w:p>
      <w:pPr>
        <w:ind w:firstLine="562" w:firstLineChars="200"/>
        <w:outlineLvl w:val="2"/>
        <w:rPr>
          <w:rFonts w:ascii="Times New Roman" w:hAnsi="Times New Roman" w:cs="Times New Roman"/>
          <w:b/>
          <w:bCs/>
          <w:szCs w:val="28"/>
        </w:rPr>
      </w:pPr>
      <w:bookmarkStart w:id="39" w:name="_Toc152320447"/>
      <w:r>
        <w:rPr>
          <w:rFonts w:hint="eastAsia" w:ascii="Times New Roman" w:hAnsi="Times New Roman" w:cs="Times New Roman"/>
          <w:b/>
          <w:bCs/>
          <w:szCs w:val="28"/>
        </w:rPr>
        <w:t>（五）绩效相关原则</w:t>
      </w:r>
      <w:bookmarkEnd w:id="39"/>
    </w:p>
    <w:p>
      <w:pPr>
        <w:ind w:firstLine="560" w:firstLineChars="200"/>
        <w:rPr>
          <w:rFonts w:ascii="Times New Roman" w:hAnsi="Times New Roman" w:cs="Times New Roman"/>
          <w:szCs w:val="28"/>
        </w:rPr>
      </w:pPr>
      <w:r>
        <w:rPr>
          <w:rFonts w:ascii="Times New Roman" w:hAnsi="Times New Roman" w:cs="Times New Roman"/>
          <w:szCs w:val="28"/>
        </w:rPr>
        <w:t>绩效评价主要从项目的决策、过程、产出和效益四个维度展开，评价结果应清晰反映项目的实施效果。</w:t>
      </w:r>
    </w:p>
    <w:p>
      <w:pPr>
        <w:spacing w:before="156" w:beforeLines="50" w:after="156" w:afterLines="50"/>
        <w:ind w:firstLine="643" w:firstLineChars="200"/>
        <w:outlineLvl w:val="1"/>
        <w:rPr>
          <w:rFonts w:ascii="Times New Roman" w:hAnsi="Times New Roman" w:cs="黑体"/>
          <w:b/>
          <w:bCs/>
          <w:sz w:val="32"/>
          <w:szCs w:val="32"/>
        </w:rPr>
      </w:pPr>
      <w:bookmarkStart w:id="40" w:name="_Toc2006338783"/>
      <w:bookmarkStart w:id="41" w:name="_Toc152320448"/>
      <w:r>
        <w:rPr>
          <w:rFonts w:hint="eastAsia" w:ascii="Times New Roman" w:hAnsi="Times New Roman" w:cs="黑体"/>
          <w:b/>
          <w:bCs/>
          <w:sz w:val="32"/>
          <w:szCs w:val="32"/>
        </w:rPr>
        <w:t>六、评价指标体系</w:t>
      </w:r>
      <w:bookmarkEnd w:id="40"/>
      <w:bookmarkEnd w:id="41"/>
    </w:p>
    <w:p>
      <w:pPr>
        <w:ind w:firstLine="560" w:firstLineChars="200"/>
        <w:rPr>
          <w:rFonts w:ascii="Times New Roman" w:hAnsi="Times New Roman" w:cs="Times New Roman"/>
          <w:szCs w:val="28"/>
        </w:rPr>
      </w:pPr>
      <w:r>
        <w:rPr>
          <w:rFonts w:hint="eastAsia" w:ascii="Times New Roman" w:hAnsi="Times New Roman" w:cs="Times New Roman"/>
          <w:szCs w:val="28"/>
        </w:rPr>
        <w:t>本专项资金评价工作组根据资金用途，构建具有专项特征的评价指标体系，全面评价</w:t>
      </w:r>
      <w:r>
        <w:rPr>
          <w:rFonts w:ascii="Times New Roman" w:hAnsi="Times New Roman" w:cs="Times New Roman"/>
          <w:szCs w:val="28"/>
        </w:rPr>
        <w:t>2021-2022</w:t>
      </w:r>
      <w:r>
        <w:rPr>
          <w:rFonts w:hint="eastAsia" w:ascii="Times New Roman" w:hAnsi="Times New Roman" w:cs="Times New Roman"/>
          <w:szCs w:val="28"/>
        </w:rPr>
        <w:t>年困难群众救助补助</w:t>
      </w:r>
      <w:r>
        <w:rPr>
          <w:rFonts w:ascii="Times New Roman" w:hAnsi="Times New Roman" w:cs="Times New Roman"/>
          <w:szCs w:val="28"/>
        </w:rPr>
        <w:t>专项资金</w:t>
      </w:r>
      <w:r>
        <w:rPr>
          <w:rFonts w:hint="eastAsia" w:ascii="Times New Roman" w:hAnsi="Times New Roman" w:cs="Times New Roman"/>
          <w:szCs w:val="28"/>
        </w:rPr>
        <w:t>支出的绩效。绩效专项评价工作组根据上述指标体系构建原则，参考财政重点绩效评价框架，构建以下绩效评价指标体系框架。详见表</w:t>
      </w:r>
      <w:r>
        <w:rPr>
          <w:rFonts w:ascii="Times New Roman" w:hAnsi="Times New Roman" w:cs="Times New Roman"/>
          <w:szCs w:val="28"/>
        </w:rPr>
        <w:t>2</w:t>
      </w:r>
      <w:r>
        <w:rPr>
          <w:rFonts w:hint="eastAsia" w:ascii="Times New Roman" w:hAnsi="Times New Roman" w:cs="Times New Roman"/>
          <w:szCs w:val="28"/>
        </w:rPr>
        <w:t>。</w:t>
      </w:r>
    </w:p>
    <w:p>
      <w:pPr>
        <w:spacing w:before="312" w:beforeLines="100"/>
        <w:ind w:firstLine="482" w:firstLineChars="200"/>
        <w:jc w:val="center"/>
        <w:rPr>
          <w:rFonts w:ascii="Times New Roman" w:hAnsi="Times New Roman"/>
          <w:b/>
          <w:bCs/>
          <w:sz w:val="24"/>
        </w:rPr>
      </w:pPr>
      <w:r>
        <w:rPr>
          <w:rFonts w:hint="eastAsia" w:ascii="Times New Roman" w:hAnsi="Times New Roman"/>
          <w:b/>
          <w:bCs/>
          <w:sz w:val="24"/>
        </w:rPr>
        <w:t>表</w:t>
      </w:r>
      <w:r>
        <w:rPr>
          <w:rFonts w:ascii="Times New Roman" w:hAnsi="Times New Roman" w:cs="Times New Roman"/>
          <w:b/>
          <w:bCs/>
          <w:sz w:val="24"/>
        </w:rPr>
        <w:t>2</w:t>
      </w:r>
      <w:bookmarkStart w:id="42" w:name="_Hlk149391384"/>
      <w:r>
        <w:rPr>
          <w:rFonts w:hint="eastAsia" w:ascii="Times New Roman" w:hAnsi="Times New Roman"/>
          <w:b/>
          <w:bCs/>
          <w:sz w:val="24"/>
        </w:rPr>
        <w:t xml:space="preserve"> </w:t>
      </w:r>
      <w:bookmarkStart w:id="43" w:name="_Hlk149228493"/>
      <w:r>
        <w:rPr>
          <w:rFonts w:hint="eastAsia" w:ascii="Times New Roman" w:hAnsi="Times New Roman"/>
          <w:b/>
          <w:bCs/>
          <w:sz w:val="24"/>
        </w:rPr>
        <w:t>困难群众救助补助专项资金</w:t>
      </w:r>
      <w:bookmarkEnd w:id="42"/>
      <w:bookmarkEnd w:id="43"/>
      <w:r>
        <w:rPr>
          <w:rFonts w:hint="eastAsia" w:ascii="Times New Roman" w:hAnsi="Times New Roman"/>
          <w:b/>
          <w:bCs/>
          <w:sz w:val="24"/>
        </w:rPr>
        <w:t>绩效评价指标体系</w:t>
      </w:r>
    </w:p>
    <w:tbl>
      <w:tblPr>
        <w:tblStyle w:val="13"/>
        <w:tblW w:w="5000" w:type="pct"/>
        <w:tblInd w:w="0" w:type="dxa"/>
        <w:tblLayout w:type="autofit"/>
        <w:tblCellMar>
          <w:top w:w="0" w:type="dxa"/>
          <w:left w:w="108" w:type="dxa"/>
          <w:bottom w:w="0" w:type="dxa"/>
          <w:right w:w="108" w:type="dxa"/>
        </w:tblCellMar>
      </w:tblPr>
      <w:tblGrid>
        <w:gridCol w:w="2081"/>
        <w:gridCol w:w="2136"/>
        <w:gridCol w:w="4305"/>
      </w:tblGrid>
      <w:tr>
        <w:tblPrEx>
          <w:tblCellMar>
            <w:top w:w="0" w:type="dxa"/>
            <w:left w:w="108" w:type="dxa"/>
            <w:bottom w:w="0" w:type="dxa"/>
            <w:right w:w="108" w:type="dxa"/>
          </w:tblCellMar>
        </w:tblPrEx>
        <w:trPr>
          <w:trHeight w:val="289" w:hRule="atLeast"/>
        </w:trPr>
        <w:tc>
          <w:tcPr>
            <w:tcW w:w="1221" w:type="pct"/>
            <w:tcBorders>
              <w:top w:val="single" w:color="auto" w:sz="12" w:space="0"/>
              <w:bottom w:val="single" w:color="auto" w:sz="4" w:space="0"/>
            </w:tcBorders>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一级指标</w:t>
            </w:r>
          </w:p>
        </w:tc>
        <w:tc>
          <w:tcPr>
            <w:tcW w:w="1253" w:type="pct"/>
            <w:tcBorders>
              <w:top w:val="single" w:color="auto" w:sz="12" w:space="0"/>
              <w:bottom w:val="single" w:color="auto" w:sz="4" w:space="0"/>
            </w:tcBorders>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二级指标</w:t>
            </w:r>
          </w:p>
        </w:tc>
        <w:tc>
          <w:tcPr>
            <w:tcW w:w="2526" w:type="pct"/>
            <w:tcBorders>
              <w:top w:val="single" w:color="auto" w:sz="12" w:space="0"/>
              <w:bottom w:val="single" w:color="auto" w:sz="4" w:space="0"/>
            </w:tcBorders>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三级指标</w:t>
            </w:r>
          </w:p>
        </w:tc>
      </w:tr>
      <w:tr>
        <w:tblPrEx>
          <w:tblCellMar>
            <w:top w:w="0" w:type="dxa"/>
            <w:left w:w="108" w:type="dxa"/>
            <w:bottom w:w="0" w:type="dxa"/>
            <w:right w:w="108" w:type="dxa"/>
          </w:tblCellMar>
        </w:tblPrEx>
        <w:trPr>
          <w:trHeight w:val="289" w:hRule="atLeast"/>
        </w:trPr>
        <w:tc>
          <w:tcPr>
            <w:tcW w:w="1221" w:type="pct"/>
            <w:vMerge w:val="restart"/>
            <w:tcBorders>
              <w:top w:val="single" w:color="auto" w:sz="4" w:space="0"/>
            </w:tcBorders>
            <w:shd w:val="clear" w:color="auto" w:fill="auto"/>
            <w:noWrap/>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决策指标（</w:t>
            </w:r>
            <w:r>
              <w:rPr>
                <w:rFonts w:ascii="Times New Roman" w:hAnsi="Times New Roman" w:cs="Times New Roman"/>
                <w:b/>
                <w:bCs/>
                <w:color w:val="000000"/>
                <w:kern w:val="0"/>
                <w:sz w:val="22"/>
                <w:szCs w:val="22"/>
              </w:rPr>
              <w:t>20</w:t>
            </w:r>
            <w:r>
              <w:rPr>
                <w:rFonts w:hint="eastAsia" w:ascii="Times New Roman" w:hAnsi="Times New Roman" w:cs="宋体"/>
                <w:b/>
                <w:bCs/>
                <w:color w:val="000000"/>
                <w:kern w:val="0"/>
                <w:sz w:val="22"/>
                <w:szCs w:val="22"/>
              </w:rPr>
              <w:t>分）</w:t>
            </w:r>
          </w:p>
        </w:tc>
        <w:tc>
          <w:tcPr>
            <w:tcW w:w="1253" w:type="pct"/>
            <w:vMerge w:val="restart"/>
            <w:tcBorders>
              <w:top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项目立项（</w:t>
            </w:r>
            <w:r>
              <w:rPr>
                <w:rFonts w:ascii="Times New Roman" w:hAnsi="Times New Roman" w:cs="Times New Roman"/>
                <w:color w:val="000000"/>
                <w:kern w:val="0"/>
                <w:sz w:val="22"/>
                <w:szCs w:val="22"/>
              </w:rPr>
              <w:t>8</w:t>
            </w:r>
            <w:r>
              <w:rPr>
                <w:rFonts w:hint="eastAsia" w:ascii="Times New Roman" w:hAnsi="Times New Roman" w:cs="宋体"/>
                <w:color w:val="000000"/>
                <w:kern w:val="0"/>
                <w:sz w:val="22"/>
                <w:szCs w:val="22"/>
              </w:rPr>
              <w:t>分）</w:t>
            </w:r>
          </w:p>
        </w:tc>
        <w:tc>
          <w:tcPr>
            <w:tcW w:w="2526" w:type="pct"/>
            <w:tcBorders>
              <w:top w:val="single" w:color="auto" w:sz="4" w:space="0"/>
            </w:tcBorders>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立项依据充分性（</w:t>
            </w: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continue"/>
            <w:vAlign w:val="center"/>
          </w:tcPr>
          <w:p>
            <w:pPr>
              <w:widowControl/>
              <w:spacing w:line="240" w:lineRule="auto"/>
              <w:jc w:val="left"/>
              <w:rPr>
                <w:rFonts w:ascii="Times New Roman" w:hAnsi="Times New Roman" w:cs="宋体"/>
                <w:color w:val="000000"/>
                <w:kern w:val="0"/>
                <w:sz w:val="22"/>
                <w:szCs w:val="22"/>
              </w:rPr>
            </w:pPr>
          </w:p>
        </w:tc>
        <w:tc>
          <w:tcPr>
            <w:tcW w:w="2526" w:type="pct"/>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立项程序规范性（</w:t>
            </w: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restar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绩效目标（</w:t>
            </w:r>
            <w:r>
              <w:rPr>
                <w:rFonts w:ascii="Times New Roman" w:hAnsi="Times New Roman" w:cs="Times New Roman"/>
                <w:color w:val="000000"/>
                <w:kern w:val="0"/>
                <w:sz w:val="22"/>
                <w:szCs w:val="22"/>
              </w:rPr>
              <w:t>8</w:t>
            </w:r>
            <w:r>
              <w:rPr>
                <w:rFonts w:hint="eastAsia" w:ascii="Times New Roman" w:hAnsi="Times New Roman" w:cs="宋体"/>
                <w:color w:val="000000"/>
                <w:kern w:val="0"/>
                <w:sz w:val="22"/>
                <w:szCs w:val="22"/>
              </w:rPr>
              <w:t>分）</w:t>
            </w:r>
          </w:p>
        </w:tc>
        <w:tc>
          <w:tcPr>
            <w:tcW w:w="2526" w:type="pct"/>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绩效目标合理性（</w:t>
            </w: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continue"/>
            <w:vAlign w:val="center"/>
          </w:tcPr>
          <w:p>
            <w:pPr>
              <w:widowControl/>
              <w:spacing w:line="240" w:lineRule="auto"/>
              <w:jc w:val="left"/>
              <w:rPr>
                <w:rFonts w:ascii="Times New Roman" w:hAnsi="Times New Roman" w:cs="宋体"/>
                <w:color w:val="000000"/>
                <w:kern w:val="0"/>
                <w:sz w:val="22"/>
                <w:szCs w:val="22"/>
              </w:rPr>
            </w:pPr>
          </w:p>
        </w:tc>
        <w:tc>
          <w:tcPr>
            <w:tcW w:w="2526" w:type="pct"/>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绩效指标明确性（</w:t>
            </w: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资金投入（</w:t>
            </w: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分）</w:t>
            </w:r>
          </w:p>
        </w:tc>
        <w:tc>
          <w:tcPr>
            <w:tcW w:w="2526" w:type="pct"/>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预算编制科学性（</w:t>
            </w: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restart"/>
            <w:shd w:val="clear" w:color="auto" w:fill="auto"/>
            <w:noWrap/>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过程指标（</w:t>
            </w:r>
            <w:r>
              <w:rPr>
                <w:rFonts w:ascii="Times New Roman" w:hAnsi="Times New Roman" w:cs="Times New Roman"/>
                <w:b/>
                <w:bCs/>
                <w:color w:val="000000"/>
                <w:kern w:val="0"/>
                <w:sz w:val="22"/>
                <w:szCs w:val="22"/>
              </w:rPr>
              <w:t>20</w:t>
            </w:r>
            <w:r>
              <w:rPr>
                <w:rFonts w:hint="eastAsia" w:ascii="Times New Roman" w:hAnsi="Times New Roman" w:cs="宋体"/>
                <w:b/>
                <w:bCs/>
                <w:color w:val="000000"/>
                <w:kern w:val="0"/>
                <w:sz w:val="22"/>
                <w:szCs w:val="22"/>
              </w:rPr>
              <w:t>分）</w:t>
            </w:r>
          </w:p>
        </w:tc>
        <w:tc>
          <w:tcPr>
            <w:tcW w:w="1253" w:type="pct"/>
            <w:vMerge w:val="restar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资金管理（</w:t>
            </w:r>
            <w:r>
              <w:rPr>
                <w:rFonts w:ascii="Times New Roman" w:hAnsi="Times New Roman" w:cs="Times New Roman"/>
                <w:color w:val="000000"/>
                <w:kern w:val="0"/>
                <w:sz w:val="22"/>
                <w:szCs w:val="22"/>
              </w:rPr>
              <w:t>10</w:t>
            </w:r>
            <w:r>
              <w:rPr>
                <w:rFonts w:hint="eastAsia" w:ascii="Times New Roman" w:hAnsi="Times New Roman" w:cs="宋体"/>
                <w:color w:val="000000"/>
                <w:kern w:val="0"/>
                <w:sz w:val="22"/>
                <w:szCs w:val="22"/>
              </w:rPr>
              <w:t>分）</w:t>
            </w:r>
          </w:p>
        </w:tc>
        <w:tc>
          <w:tcPr>
            <w:tcW w:w="2526" w:type="pct"/>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预算执行率（</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continue"/>
            <w:vAlign w:val="center"/>
          </w:tcPr>
          <w:p>
            <w:pPr>
              <w:widowControl/>
              <w:spacing w:line="240" w:lineRule="auto"/>
              <w:jc w:val="left"/>
              <w:rPr>
                <w:rFonts w:ascii="Times New Roman" w:hAnsi="Times New Roman" w:cs="宋体"/>
                <w:color w:val="000000"/>
                <w:kern w:val="0"/>
                <w:sz w:val="22"/>
                <w:szCs w:val="22"/>
              </w:rPr>
            </w:pPr>
          </w:p>
        </w:tc>
        <w:tc>
          <w:tcPr>
            <w:tcW w:w="2526" w:type="pct"/>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资金使用合规性（</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restar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组织实施（</w:t>
            </w:r>
            <w:r>
              <w:rPr>
                <w:rFonts w:ascii="Times New Roman" w:hAnsi="Times New Roman" w:cs="Times New Roman"/>
                <w:color w:val="000000"/>
                <w:kern w:val="0"/>
                <w:sz w:val="22"/>
                <w:szCs w:val="22"/>
              </w:rPr>
              <w:t>10</w:t>
            </w:r>
            <w:r>
              <w:rPr>
                <w:rFonts w:hint="eastAsia" w:ascii="Times New Roman" w:hAnsi="Times New Roman" w:cs="宋体"/>
                <w:color w:val="000000"/>
                <w:kern w:val="0"/>
                <w:sz w:val="22"/>
                <w:szCs w:val="22"/>
              </w:rPr>
              <w:t>分）</w:t>
            </w:r>
          </w:p>
        </w:tc>
        <w:tc>
          <w:tcPr>
            <w:tcW w:w="2526" w:type="pct"/>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管理制度健全性（</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continue"/>
            <w:vAlign w:val="center"/>
          </w:tcPr>
          <w:p>
            <w:pPr>
              <w:widowControl/>
              <w:spacing w:line="240" w:lineRule="auto"/>
              <w:jc w:val="left"/>
              <w:rPr>
                <w:rFonts w:ascii="Times New Roman" w:hAnsi="Times New Roman" w:cs="宋体"/>
                <w:color w:val="000000"/>
                <w:kern w:val="0"/>
                <w:sz w:val="22"/>
                <w:szCs w:val="22"/>
              </w:rPr>
            </w:pPr>
          </w:p>
        </w:tc>
        <w:tc>
          <w:tcPr>
            <w:tcW w:w="2526" w:type="pct"/>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制度执行有效性（</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restart"/>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产出指标（</w:t>
            </w:r>
            <w:r>
              <w:rPr>
                <w:rFonts w:ascii="Times New Roman" w:hAnsi="Times New Roman" w:cs="Times New Roman"/>
                <w:b/>
                <w:bCs/>
                <w:color w:val="000000"/>
                <w:kern w:val="0"/>
                <w:sz w:val="22"/>
                <w:szCs w:val="22"/>
              </w:rPr>
              <w:t>40</w:t>
            </w:r>
            <w:r>
              <w:rPr>
                <w:rFonts w:hint="eastAsia" w:ascii="Times New Roman" w:hAnsi="Times New Roman" w:cs="宋体"/>
                <w:b/>
                <w:bCs/>
                <w:color w:val="000000"/>
                <w:kern w:val="0"/>
                <w:sz w:val="22"/>
                <w:szCs w:val="22"/>
              </w:rPr>
              <w:t>分）</w:t>
            </w:r>
          </w:p>
        </w:tc>
        <w:tc>
          <w:tcPr>
            <w:tcW w:w="1253" w:type="pct"/>
            <w:vMerge w:val="restar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数量指标（</w:t>
            </w:r>
            <w:r>
              <w:rPr>
                <w:rFonts w:ascii="Times New Roman" w:hAnsi="Times New Roman" w:cs="Times New Roman"/>
                <w:color w:val="000000"/>
                <w:kern w:val="0"/>
                <w:sz w:val="22"/>
                <w:szCs w:val="22"/>
              </w:rPr>
              <w:t>17</w:t>
            </w:r>
            <w:r>
              <w:rPr>
                <w:rFonts w:hint="eastAsia" w:ascii="Times New Roman" w:hAnsi="Times New Roman" w:cs="宋体"/>
                <w:color w:val="000000"/>
                <w:kern w:val="0"/>
                <w:sz w:val="22"/>
                <w:szCs w:val="22"/>
              </w:rPr>
              <w:t>分）</w:t>
            </w:r>
          </w:p>
        </w:tc>
        <w:tc>
          <w:tcPr>
            <w:tcW w:w="2526" w:type="pct"/>
            <w:shd w:val="clear" w:color="auto" w:fill="auto"/>
            <w:vAlign w:val="center"/>
          </w:tcPr>
          <w:p>
            <w:pPr>
              <w:widowControl/>
              <w:spacing w:line="240" w:lineRule="auto"/>
              <w:jc w:val="center"/>
              <w:rPr>
                <w:rFonts w:ascii="Times New Roman" w:hAnsi="Times New Roman"/>
                <w:color w:val="000000"/>
                <w:kern w:val="0"/>
                <w:sz w:val="22"/>
                <w:szCs w:val="22"/>
              </w:rPr>
            </w:pPr>
            <w:r>
              <w:rPr>
                <w:rFonts w:hint="eastAsia" w:ascii="Times New Roman" w:hAnsi="Times New Roman"/>
                <w:color w:val="000000"/>
                <w:sz w:val="22"/>
                <w:szCs w:val="22"/>
              </w:rPr>
              <w:t>低保对象参保率</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continue"/>
            <w:vAlign w:val="center"/>
          </w:tcPr>
          <w:p>
            <w:pPr>
              <w:widowControl/>
              <w:spacing w:line="240" w:lineRule="auto"/>
              <w:jc w:val="left"/>
              <w:rPr>
                <w:rFonts w:ascii="Times New Roman" w:hAnsi="Times New Roman" w:cs="宋体"/>
                <w:color w:val="000000"/>
                <w:kern w:val="0"/>
                <w:sz w:val="22"/>
                <w:szCs w:val="22"/>
              </w:rPr>
            </w:pPr>
          </w:p>
        </w:tc>
        <w:tc>
          <w:tcPr>
            <w:tcW w:w="2526"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实施临时救助户数（</w:t>
            </w: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continue"/>
            <w:vAlign w:val="center"/>
          </w:tcPr>
          <w:p>
            <w:pPr>
              <w:widowControl/>
              <w:spacing w:line="240" w:lineRule="auto"/>
              <w:jc w:val="left"/>
              <w:rPr>
                <w:rFonts w:ascii="Times New Roman" w:hAnsi="Times New Roman" w:cs="宋体"/>
                <w:color w:val="000000"/>
                <w:kern w:val="0"/>
                <w:sz w:val="22"/>
                <w:szCs w:val="22"/>
              </w:rPr>
            </w:pPr>
          </w:p>
        </w:tc>
        <w:tc>
          <w:tcPr>
            <w:tcW w:w="2526"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救助宣传渠道数（3分）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continue"/>
            <w:vAlign w:val="center"/>
          </w:tcPr>
          <w:p>
            <w:pPr>
              <w:widowControl/>
              <w:spacing w:line="240" w:lineRule="auto"/>
              <w:jc w:val="left"/>
              <w:rPr>
                <w:rFonts w:ascii="Times New Roman" w:hAnsi="Times New Roman" w:cs="宋体"/>
                <w:color w:val="000000"/>
                <w:kern w:val="0"/>
                <w:sz w:val="22"/>
                <w:szCs w:val="22"/>
              </w:rPr>
            </w:pPr>
          </w:p>
        </w:tc>
        <w:tc>
          <w:tcPr>
            <w:tcW w:w="2526"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救助渠道数（</w:t>
            </w:r>
            <w:r>
              <w:rPr>
                <w:rFonts w:ascii="Times New Roman" w:hAnsi="Times New Roman" w:cs="宋体"/>
                <w:color w:val="000000"/>
                <w:kern w:val="0"/>
                <w:sz w:val="22"/>
                <w:szCs w:val="22"/>
              </w:rPr>
              <w:t>4</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continue"/>
            <w:vAlign w:val="center"/>
          </w:tcPr>
          <w:p>
            <w:pPr>
              <w:widowControl/>
              <w:spacing w:line="240" w:lineRule="auto"/>
              <w:jc w:val="left"/>
              <w:rPr>
                <w:rFonts w:ascii="Times New Roman" w:hAnsi="Times New Roman" w:cs="宋体"/>
                <w:color w:val="000000"/>
                <w:kern w:val="0"/>
                <w:sz w:val="22"/>
                <w:szCs w:val="22"/>
              </w:rPr>
            </w:pPr>
          </w:p>
        </w:tc>
        <w:tc>
          <w:tcPr>
            <w:tcW w:w="2526"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救助工作业务培训（</w:t>
            </w: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restar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质量指标（</w:t>
            </w:r>
            <w:r>
              <w:rPr>
                <w:rFonts w:ascii="Times New Roman" w:hAnsi="Times New Roman" w:cs="Times New Roman"/>
                <w:color w:val="000000"/>
                <w:kern w:val="0"/>
                <w:sz w:val="22"/>
                <w:szCs w:val="22"/>
              </w:rPr>
              <w:t>17</w:t>
            </w:r>
            <w:r>
              <w:rPr>
                <w:rFonts w:hint="eastAsia" w:ascii="Times New Roman" w:hAnsi="Times New Roman" w:cs="宋体"/>
                <w:color w:val="000000"/>
                <w:kern w:val="0"/>
                <w:sz w:val="22"/>
                <w:szCs w:val="22"/>
              </w:rPr>
              <w:t>分）</w:t>
            </w:r>
          </w:p>
        </w:tc>
        <w:tc>
          <w:tcPr>
            <w:tcW w:w="2526"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低保入户抽查率（</w:t>
            </w: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continue"/>
            <w:vAlign w:val="center"/>
          </w:tcPr>
          <w:p>
            <w:pPr>
              <w:widowControl/>
              <w:spacing w:line="240" w:lineRule="auto"/>
              <w:jc w:val="left"/>
              <w:rPr>
                <w:rFonts w:ascii="Times New Roman" w:hAnsi="Times New Roman" w:cs="宋体"/>
                <w:color w:val="000000"/>
                <w:kern w:val="0"/>
                <w:sz w:val="22"/>
                <w:szCs w:val="22"/>
              </w:rPr>
            </w:pPr>
          </w:p>
        </w:tc>
        <w:tc>
          <w:tcPr>
            <w:tcW w:w="2526"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补贴对象准确性（</w:t>
            </w: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continue"/>
            <w:vAlign w:val="center"/>
          </w:tcPr>
          <w:p>
            <w:pPr>
              <w:widowControl/>
              <w:spacing w:line="240" w:lineRule="auto"/>
              <w:jc w:val="left"/>
              <w:rPr>
                <w:rFonts w:ascii="Times New Roman" w:hAnsi="Times New Roman" w:cs="宋体"/>
                <w:color w:val="000000"/>
                <w:kern w:val="0"/>
                <w:sz w:val="22"/>
                <w:szCs w:val="22"/>
              </w:rPr>
            </w:pPr>
          </w:p>
        </w:tc>
        <w:tc>
          <w:tcPr>
            <w:tcW w:w="2526"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临时救助水平（</w:t>
            </w: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continue"/>
            <w:vAlign w:val="center"/>
          </w:tcPr>
          <w:p>
            <w:pPr>
              <w:widowControl/>
              <w:spacing w:line="240" w:lineRule="auto"/>
              <w:jc w:val="left"/>
              <w:rPr>
                <w:rFonts w:ascii="Times New Roman" w:hAnsi="Times New Roman" w:cs="宋体"/>
                <w:color w:val="000000"/>
                <w:kern w:val="0"/>
                <w:sz w:val="22"/>
                <w:szCs w:val="22"/>
              </w:rPr>
            </w:pPr>
          </w:p>
        </w:tc>
        <w:tc>
          <w:tcPr>
            <w:tcW w:w="2526"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救助家庭经济状况核对机制（</w:t>
            </w: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continue"/>
            <w:vAlign w:val="center"/>
          </w:tcPr>
          <w:p>
            <w:pPr>
              <w:widowControl/>
              <w:spacing w:line="240" w:lineRule="auto"/>
              <w:jc w:val="left"/>
              <w:rPr>
                <w:rFonts w:ascii="Times New Roman" w:hAnsi="Times New Roman" w:cs="宋体"/>
                <w:color w:val="000000"/>
                <w:kern w:val="0"/>
                <w:sz w:val="22"/>
                <w:szCs w:val="22"/>
              </w:rPr>
            </w:pPr>
          </w:p>
        </w:tc>
        <w:tc>
          <w:tcPr>
            <w:tcW w:w="2526"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信息共享程度（</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时效指标（6分）</w:t>
            </w:r>
          </w:p>
        </w:tc>
        <w:tc>
          <w:tcPr>
            <w:tcW w:w="2526"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补贴按时发放率（</w:t>
            </w: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分）</w:t>
            </w:r>
          </w:p>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救助情况录入系统及时性（</w:t>
            </w: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restart"/>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效益指标（</w:t>
            </w:r>
            <w:r>
              <w:rPr>
                <w:rFonts w:ascii="Times New Roman" w:hAnsi="Times New Roman" w:cs="Times New Roman"/>
                <w:b/>
                <w:bCs/>
                <w:color w:val="000000"/>
                <w:kern w:val="0"/>
                <w:sz w:val="22"/>
                <w:szCs w:val="22"/>
              </w:rPr>
              <w:t>20</w:t>
            </w:r>
            <w:r>
              <w:rPr>
                <w:rFonts w:hint="eastAsia" w:ascii="Times New Roman" w:hAnsi="Times New Roman" w:cs="宋体"/>
                <w:b/>
                <w:bCs/>
                <w:color w:val="000000"/>
                <w:kern w:val="0"/>
                <w:sz w:val="22"/>
                <w:szCs w:val="22"/>
              </w:rPr>
              <w:t>分）</w:t>
            </w:r>
          </w:p>
        </w:tc>
        <w:tc>
          <w:tcPr>
            <w:tcW w:w="1253" w:type="pct"/>
            <w:vMerge w:val="restar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社会效益（</w:t>
            </w:r>
            <w:r>
              <w:rPr>
                <w:rFonts w:ascii="Times New Roman" w:hAnsi="Times New Roman" w:cs="Times New Roman"/>
                <w:color w:val="000000"/>
                <w:kern w:val="0"/>
                <w:sz w:val="22"/>
                <w:szCs w:val="22"/>
              </w:rPr>
              <w:t>10</w:t>
            </w:r>
            <w:r>
              <w:rPr>
                <w:rFonts w:hint="eastAsia" w:ascii="Times New Roman" w:hAnsi="Times New Roman" w:cs="宋体"/>
                <w:color w:val="000000"/>
                <w:kern w:val="0"/>
                <w:sz w:val="22"/>
                <w:szCs w:val="22"/>
              </w:rPr>
              <w:t>分）</w:t>
            </w:r>
          </w:p>
        </w:tc>
        <w:tc>
          <w:tcPr>
            <w:tcW w:w="2526" w:type="pct"/>
            <w:shd w:val="clear" w:color="auto" w:fill="auto"/>
            <w:vAlign w:val="center"/>
          </w:tcPr>
          <w:p>
            <w:pPr>
              <w:widowControl/>
              <w:spacing w:line="240" w:lineRule="auto"/>
              <w:jc w:val="center"/>
              <w:rPr>
                <w:rFonts w:ascii="Times New Roman" w:hAnsi="Times New Roman"/>
                <w:color w:val="000000"/>
                <w:kern w:val="0"/>
                <w:sz w:val="22"/>
                <w:szCs w:val="22"/>
              </w:rPr>
            </w:pPr>
            <w:r>
              <w:rPr>
                <w:rFonts w:hint="eastAsia" w:ascii="Times New Roman" w:hAnsi="Times New Roman"/>
                <w:color w:val="000000"/>
                <w:sz w:val="22"/>
                <w:szCs w:val="22"/>
              </w:rPr>
              <w:t>政策知晓率</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vAlign w:val="center"/>
          </w:tcPr>
          <w:p>
            <w:pPr>
              <w:widowControl/>
              <w:spacing w:line="240" w:lineRule="auto"/>
              <w:jc w:val="left"/>
              <w:rPr>
                <w:rFonts w:ascii="Times New Roman" w:hAnsi="Times New Roman" w:cs="宋体"/>
                <w:b/>
                <w:bCs/>
                <w:color w:val="000000"/>
                <w:kern w:val="0"/>
                <w:sz w:val="22"/>
                <w:szCs w:val="22"/>
              </w:rPr>
            </w:pPr>
          </w:p>
        </w:tc>
        <w:tc>
          <w:tcPr>
            <w:tcW w:w="1253" w:type="pct"/>
            <w:vMerge w:val="continue"/>
            <w:vAlign w:val="center"/>
          </w:tcPr>
          <w:p>
            <w:pPr>
              <w:widowControl/>
              <w:spacing w:line="240" w:lineRule="auto"/>
              <w:jc w:val="left"/>
              <w:rPr>
                <w:rFonts w:ascii="Times New Roman" w:hAnsi="Times New Roman" w:cs="宋体"/>
                <w:color w:val="000000"/>
                <w:kern w:val="0"/>
                <w:sz w:val="22"/>
                <w:szCs w:val="22"/>
              </w:rPr>
            </w:pPr>
          </w:p>
        </w:tc>
        <w:tc>
          <w:tcPr>
            <w:tcW w:w="2526"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政策认同感（</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tcBorders>
              <w:bottom w:val="single" w:color="auto" w:sz="12" w:space="0"/>
            </w:tcBorders>
            <w:vAlign w:val="center"/>
          </w:tcPr>
          <w:p>
            <w:pPr>
              <w:widowControl/>
              <w:spacing w:line="240" w:lineRule="auto"/>
              <w:jc w:val="left"/>
              <w:rPr>
                <w:rFonts w:ascii="Times New Roman" w:hAnsi="Times New Roman" w:cs="宋体"/>
                <w:b/>
                <w:bCs/>
                <w:color w:val="000000"/>
                <w:kern w:val="0"/>
                <w:sz w:val="22"/>
                <w:szCs w:val="22"/>
              </w:rPr>
            </w:pPr>
          </w:p>
        </w:tc>
        <w:tc>
          <w:tcPr>
            <w:tcW w:w="1253"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可持续性（</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c>
          <w:tcPr>
            <w:tcW w:w="2526" w:type="pc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救助机制完善性（</w:t>
            </w:r>
            <w:r>
              <w:rPr>
                <w:rFonts w:ascii="Times New Roman" w:hAnsi="Times New Roman" w:cs="Times New Roman"/>
                <w:color w:val="000000"/>
                <w:kern w:val="0"/>
                <w:sz w:val="22"/>
                <w:szCs w:val="22"/>
              </w:rPr>
              <w:t>5</w:t>
            </w:r>
            <w:r>
              <w:rPr>
                <w:rFonts w:ascii="Times New Roman" w:hAnsi="Times New Roman" w:cs="宋体"/>
                <w:color w:val="000000"/>
                <w:kern w:val="0"/>
                <w:sz w:val="22"/>
                <w:szCs w:val="22"/>
              </w:rPr>
              <w:t>分）</w:t>
            </w:r>
          </w:p>
        </w:tc>
      </w:tr>
      <w:tr>
        <w:tblPrEx>
          <w:tblCellMar>
            <w:top w:w="0" w:type="dxa"/>
            <w:left w:w="108" w:type="dxa"/>
            <w:bottom w:w="0" w:type="dxa"/>
            <w:right w:w="108" w:type="dxa"/>
          </w:tblCellMar>
        </w:tblPrEx>
        <w:trPr>
          <w:trHeight w:val="289" w:hRule="atLeast"/>
        </w:trPr>
        <w:tc>
          <w:tcPr>
            <w:tcW w:w="1221" w:type="pct"/>
            <w:vMerge w:val="continue"/>
            <w:tcBorders>
              <w:bottom w:val="single" w:color="auto" w:sz="12" w:space="0"/>
            </w:tcBorders>
            <w:vAlign w:val="center"/>
          </w:tcPr>
          <w:p>
            <w:pPr>
              <w:widowControl/>
              <w:spacing w:line="240" w:lineRule="auto"/>
              <w:jc w:val="left"/>
              <w:rPr>
                <w:rFonts w:ascii="Times New Roman" w:hAnsi="Times New Roman" w:cs="宋体"/>
                <w:b/>
                <w:bCs/>
                <w:color w:val="000000"/>
                <w:kern w:val="0"/>
                <w:sz w:val="22"/>
                <w:szCs w:val="22"/>
              </w:rPr>
            </w:pPr>
          </w:p>
        </w:tc>
        <w:tc>
          <w:tcPr>
            <w:tcW w:w="1253" w:type="pct"/>
            <w:tcBorders>
              <w:bottom w:val="single" w:color="auto" w:sz="12" w:space="0"/>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满意度（</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c>
          <w:tcPr>
            <w:tcW w:w="2526" w:type="pct"/>
            <w:tcBorders>
              <w:bottom w:val="single" w:color="auto" w:sz="12" w:space="0"/>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服务对象满意度（</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r>
    </w:tbl>
    <w:p>
      <w:pPr>
        <w:ind w:firstLine="482" w:firstLineChars="200"/>
        <w:jc w:val="center"/>
        <w:rPr>
          <w:rFonts w:ascii="Times New Roman" w:hAnsi="Times New Roman"/>
          <w:b/>
          <w:bCs/>
          <w:sz w:val="24"/>
        </w:rPr>
      </w:pPr>
    </w:p>
    <w:p>
      <w:pPr>
        <w:ind w:firstLine="560" w:firstLineChars="200"/>
        <w:rPr>
          <w:rFonts w:ascii="Times New Roman" w:hAnsi="Times New Roman" w:cs="Times New Roman"/>
          <w:szCs w:val="28"/>
        </w:rPr>
      </w:pPr>
      <w:r>
        <w:rPr>
          <w:rFonts w:hint="eastAsia" w:ascii="Times New Roman" w:hAnsi="Times New Roman" w:cs="Times New Roman"/>
          <w:szCs w:val="28"/>
        </w:rPr>
        <w:t>根据表</w:t>
      </w:r>
      <w:r>
        <w:rPr>
          <w:rFonts w:ascii="Times New Roman" w:hAnsi="Times New Roman" w:cs="Times New Roman"/>
          <w:szCs w:val="28"/>
        </w:rPr>
        <w:t>2</w:t>
      </w:r>
      <w:r>
        <w:rPr>
          <w:rFonts w:hint="eastAsia" w:ascii="Times New Roman" w:hAnsi="Times New Roman" w:cs="Times New Roman"/>
          <w:szCs w:val="28"/>
        </w:rPr>
        <w:t>展现的困难群众救助补助专项资金绩效评价指标体系，整体指标体系框架设置包括决策、过程、产出、效益四个一级指标，分别占</w:t>
      </w:r>
      <w:r>
        <w:rPr>
          <w:rFonts w:ascii="Times New Roman" w:hAnsi="Times New Roman" w:cs="Times New Roman"/>
          <w:szCs w:val="28"/>
        </w:rPr>
        <w:t>20</w:t>
      </w:r>
      <w:r>
        <w:rPr>
          <w:rFonts w:hint="eastAsia" w:ascii="Times New Roman" w:hAnsi="Times New Roman" w:cs="Times New Roman"/>
          <w:szCs w:val="28"/>
        </w:rPr>
        <w:t>%、</w:t>
      </w:r>
      <w:r>
        <w:rPr>
          <w:rFonts w:ascii="Times New Roman" w:hAnsi="Times New Roman" w:cs="Times New Roman"/>
          <w:szCs w:val="28"/>
        </w:rPr>
        <w:t>20</w:t>
      </w:r>
      <w:r>
        <w:rPr>
          <w:rFonts w:hint="eastAsia" w:ascii="Times New Roman" w:hAnsi="Times New Roman" w:cs="Times New Roman"/>
          <w:szCs w:val="28"/>
        </w:rPr>
        <w:t>%、</w:t>
      </w:r>
      <w:r>
        <w:rPr>
          <w:rFonts w:ascii="Times New Roman" w:hAnsi="Times New Roman" w:cs="Times New Roman"/>
          <w:szCs w:val="28"/>
        </w:rPr>
        <w:t>40</w:t>
      </w:r>
      <w:r>
        <w:rPr>
          <w:rFonts w:hint="eastAsia" w:ascii="Times New Roman" w:hAnsi="Times New Roman" w:cs="Times New Roman"/>
          <w:szCs w:val="28"/>
        </w:rPr>
        <w:t>%和</w:t>
      </w:r>
      <w:r>
        <w:rPr>
          <w:rFonts w:ascii="Times New Roman" w:hAnsi="Times New Roman" w:cs="Times New Roman"/>
          <w:szCs w:val="28"/>
        </w:rPr>
        <w:t>20</w:t>
      </w:r>
      <w:r>
        <w:rPr>
          <w:rFonts w:hint="eastAsia" w:ascii="Times New Roman" w:hAnsi="Times New Roman" w:cs="Times New Roman"/>
          <w:szCs w:val="28"/>
        </w:rPr>
        <w:t>%。其中决策指标包括项目立项、绩效目标和资金投入三个二级指标；过程指标包括资金管理和组织实施两个二级指标；产出指标包括实际完成数量、完成质量、完成及时率三个二级指标；效益指标包括社会效益、可持续性和满意度三个二级指标。围绕困难群众救助补助专项资金的特点，专项资金评价工作组继续在二级指标下构建更为细致的三级指标，进一步完善评价指标体系。</w:t>
      </w:r>
    </w:p>
    <w:p>
      <w:pPr>
        <w:spacing w:before="156" w:beforeLines="50" w:after="156" w:afterLines="50"/>
        <w:ind w:firstLine="643" w:firstLineChars="200"/>
        <w:outlineLvl w:val="1"/>
        <w:rPr>
          <w:rFonts w:ascii="Times New Roman" w:hAnsi="Times New Roman" w:cs="黑体"/>
          <w:b/>
          <w:bCs/>
          <w:sz w:val="32"/>
          <w:szCs w:val="32"/>
        </w:rPr>
      </w:pPr>
      <w:bookmarkStart w:id="44" w:name="_Toc152320449"/>
      <w:bookmarkStart w:id="45" w:name="_Toc829831805"/>
      <w:r>
        <w:rPr>
          <w:rFonts w:hint="eastAsia" w:ascii="Times New Roman" w:hAnsi="Times New Roman" w:cs="黑体"/>
          <w:b/>
          <w:bCs/>
          <w:sz w:val="32"/>
          <w:szCs w:val="32"/>
        </w:rPr>
        <w:t>七、评价方法</w:t>
      </w:r>
      <w:bookmarkEnd w:id="44"/>
      <w:bookmarkEnd w:id="45"/>
    </w:p>
    <w:p>
      <w:pPr>
        <w:ind w:firstLine="560" w:firstLineChars="200"/>
        <w:rPr>
          <w:rFonts w:ascii="Times New Roman" w:hAnsi="Times New Roman"/>
        </w:rPr>
      </w:pPr>
      <w:bookmarkStart w:id="46" w:name="_Hlk115351020"/>
      <w:r>
        <w:rPr>
          <w:rFonts w:hint="eastAsia" w:ascii="Times New Roman" w:hAnsi="Times New Roman"/>
        </w:rPr>
        <w:t>项目评价工作组拟采用成效分析法、比较法、案卷研究法、因素分析法、公众评判法等多种方法，从资金决策、资金管理和资金绩效等方面，综合考察资金的使用情况、取得的成效，分析资金管理过程中存在的问题及原因，并针对性地提出建议。</w:t>
      </w:r>
    </w:p>
    <w:p>
      <w:pPr>
        <w:ind w:firstLine="562" w:firstLineChars="200"/>
        <w:outlineLvl w:val="2"/>
        <w:rPr>
          <w:rFonts w:ascii="Times New Roman" w:hAnsi="Times New Roman" w:cs="Times New Roman"/>
          <w:b/>
          <w:bCs/>
          <w:szCs w:val="28"/>
        </w:rPr>
      </w:pPr>
      <w:bookmarkStart w:id="47" w:name="_Toc152320450"/>
      <w:bookmarkStart w:id="48" w:name="_Hlk115351385"/>
      <w:r>
        <w:rPr>
          <w:rFonts w:hint="eastAsia" w:ascii="Times New Roman" w:hAnsi="Times New Roman" w:cs="Times New Roman"/>
          <w:b/>
          <w:bCs/>
          <w:szCs w:val="28"/>
        </w:rPr>
        <w:t>（一）成效分析法</w:t>
      </w:r>
      <w:bookmarkEnd w:id="47"/>
    </w:p>
    <w:p>
      <w:pPr>
        <w:ind w:firstLine="560" w:firstLineChars="200"/>
        <w:rPr>
          <w:rFonts w:ascii="Times New Roman" w:hAnsi="Times New Roman"/>
        </w:rPr>
      </w:pPr>
      <w:r>
        <w:rPr>
          <w:rFonts w:hint="eastAsia" w:ascii="Times New Roman" w:hAnsi="Times New Roman"/>
        </w:rPr>
        <w:t>指将投入与产出、效益进行关联性分析的方法。通过对资金的预算执行情况、项目管理资料、绩效考核等相关资料进行研究、比较、分析，提取重要信息，将资金投入与产出、效益进行关联性分析，评价资金绩效目标的实现程度。</w:t>
      </w:r>
    </w:p>
    <w:p>
      <w:pPr>
        <w:ind w:firstLine="562" w:firstLineChars="200"/>
        <w:outlineLvl w:val="2"/>
        <w:rPr>
          <w:rFonts w:ascii="Times New Roman" w:hAnsi="Times New Roman" w:cs="Times New Roman"/>
          <w:b/>
          <w:bCs/>
          <w:szCs w:val="28"/>
        </w:rPr>
      </w:pPr>
      <w:bookmarkStart w:id="49" w:name="_Toc152320451"/>
      <w:r>
        <w:rPr>
          <w:rFonts w:hint="eastAsia" w:ascii="Times New Roman" w:hAnsi="Times New Roman" w:cs="Times New Roman"/>
          <w:b/>
          <w:bCs/>
          <w:szCs w:val="28"/>
        </w:rPr>
        <w:t>（二）比较法</w:t>
      </w:r>
      <w:bookmarkEnd w:id="49"/>
    </w:p>
    <w:p>
      <w:pPr>
        <w:ind w:firstLine="560" w:firstLineChars="200"/>
        <w:rPr>
          <w:rFonts w:ascii="Times New Roman" w:hAnsi="Times New Roman"/>
        </w:rPr>
      </w:pPr>
      <w:r>
        <w:rPr>
          <w:rFonts w:hint="eastAsia" w:ascii="Times New Roman" w:hAnsi="Times New Roman"/>
        </w:rPr>
        <w:t>指将项目实施情况与绩效目标进行比较的方法。充分运用国家、省和各市县（区）部门发布的政策、文件等资料，对比资金实际情况，找出差距与不足，对项目的绩效目标进行分析与评价。</w:t>
      </w:r>
    </w:p>
    <w:p>
      <w:pPr>
        <w:ind w:firstLine="562" w:firstLineChars="200"/>
        <w:outlineLvl w:val="2"/>
        <w:rPr>
          <w:rFonts w:ascii="Times New Roman" w:hAnsi="Times New Roman" w:cs="Times New Roman"/>
          <w:b/>
          <w:bCs/>
          <w:szCs w:val="28"/>
        </w:rPr>
      </w:pPr>
      <w:bookmarkStart w:id="50" w:name="_Toc152320452"/>
      <w:r>
        <w:rPr>
          <w:rFonts w:hint="eastAsia" w:ascii="Times New Roman" w:hAnsi="Times New Roman" w:cs="Times New Roman"/>
          <w:b/>
          <w:bCs/>
          <w:szCs w:val="28"/>
        </w:rPr>
        <w:t>（三）案卷研究法</w:t>
      </w:r>
      <w:bookmarkEnd w:id="50"/>
    </w:p>
    <w:p>
      <w:pPr>
        <w:ind w:firstLine="560" w:firstLineChars="200"/>
        <w:rPr>
          <w:rFonts w:ascii="Times New Roman" w:hAnsi="Times New Roman"/>
        </w:rPr>
      </w:pPr>
      <w:r>
        <w:rPr>
          <w:rFonts w:hint="eastAsia" w:ascii="Times New Roman" w:hAnsi="Times New Roman"/>
        </w:rPr>
        <w:t>指结合项目相关的文件通知、管理办法、实施方案、工作计划、会议纪要等相关资料，对项目投入决策、管理过程、产出及效益的政策相关性、可持续性和影响等情况进行分析，提取重要信息，支撑对某一指标的考核评价。</w:t>
      </w:r>
    </w:p>
    <w:p>
      <w:pPr>
        <w:ind w:firstLine="562" w:firstLineChars="200"/>
        <w:outlineLvl w:val="2"/>
        <w:rPr>
          <w:rFonts w:ascii="Times New Roman" w:hAnsi="Times New Roman" w:cs="Times New Roman"/>
          <w:b/>
          <w:bCs/>
          <w:szCs w:val="28"/>
        </w:rPr>
      </w:pPr>
      <w:bookmarkStart w:id="51" w:name="_Toc152320453"/>
      <w:r>
        <w:rPr>
          <w:rFonts w:hint="eastAsia" w:ascii="Times New Roman" w:hAnsi="Times New Roman" w:cs="Times New Roman"/>
          <w:b/>
          <w:bCs/>
          <w:szCs w:val="28"/>
        </w:rPr>
        <w:t>（四）因素分析法</w:t>
      </w:r>
      <w:bookmarkEnd w:id="51"/>
    </w:p>
    <w:p>
      <w:pPr>
        <w:ind w:firstLine="560" w:firstLineChars="200"/>
        <w:rPr>
          <w:rFonts w:ascii="Times New Roman" w:hAnsi="Times New Roman" w:cs="Times New Roman"/>
          <w:szCs w:val="28"/>
        </w:rPr>
      </w:pPr>
      <w:r>
        <w:rPr>
          <w:rFonts w:hint="eastAsia" w:ascii="Times New Roman" w:hAnsi="Times New Roman" w:cs="Times New Roman"/>
          <w:szCs w:val="28"/>
        </w:rPr>
        <w:t>指综合分析影响绩效目标实现、实施效果的内外部因素的方法。通过梳理影响项目绩效目标实现程度的内外因素，从而对项目绩效目标的实现程度进行综合评价。</w:t>
      </w:r>
    </w:p>
    <w:p>
      <w:pPr>
        <w:ind w:firstLine="562" w:firstLineChars="200"/>
        <w:outlineLvl w:val="2"/>
        <w:rPr>
          <w:rFonts w:ascii="Times New Roman" w:hAnsi="Times New Roman" w:cs="Times New Roman"/>
          <w:b/>
          <w:bCs/>
          <w:szCs w:val="28"/>
        </w:rPr>
      </w:pPr>
      <w:bookmarkStart w:id="52" w:name="_Toc152320454"/>
      <w:r>
        <w:rPr>
          <w:rFonts w:hint="eastAsia" w:ascii="Times New Roman" w:hAnsi="Times New Roman" w:cs="Times New Roman"/>
          <w:b/>
          <w:bCs/>
          <w:szCs w:val="28"/>
        </w:rPr>
        <w:t>（五）公众评判法</w:t>
      </w:r>
      <w:bookmarkEnd w:id="52"/>
    </w:p>
    <w:bookmarkEnd w:id="48"/>
    <w:p>
      <w:pPr>
        <w:ind w:firstLine="560" w:firstLineChars="200"/>
        <w:rPr>
          <w:rFonts w:ascii="Times New Roman" w:hAnsi="Times New Roman"/>
        </w:rPr>
      </w:pPr>
      <w:r>
        <w:rPr>
          <w:rFonts w:hint="eastAsia" w:ascii="Times New Roman" w:hAnsi="Times New Roman"/>
        </w:rPr>
        <w:t>指通过专家评估、部门座谈及实地考察等方式进行评判的方法。一是通过与项目的相关部门座谈，了解项目收支情况、组织管理情况；二是通过实地考察项目开展地，同相关人员交流，了解项目投入与实施过程的执行情况。</w:t>
      </w:r>
      <w:bookmarkEnd w:id="46"/>
    </w:p>
    <w:p>
      <w:pPr>
        <w:spacing w:before="156" w:beforeLines="50" w:after="156" w:afterLines="50"/>
        <w:ind w:firstLine="643" w:firstLineChars="200"/>
        <w:outlineLvl w:val="1"/>
        <w:rPr>
          <w:rFonts w:ascii="Times New Roman" w:hAnsi="Times New Roman" w:cs="黑体"/>
          <w:b/>
          <w:bCs/>
          <w:sz w:val="32"/>
          <w:szCs w:val="32"/>
        </w:rPr>
      </w:pPr>
      <w:bookmarkStart w:id="53" w:name="_Toc1522479775"/>
      <w:bookmarkStart w:id="54" w:name="_Toc152320455"/>
      <w:r>
        <w:rPr>
          <w:rFonts w:hint="eastAsia" w:ascii="Times New Roman" w:hAnsi="Times New Roman" w:cs="黑体"/>
          <w:b/>
          <w:bCs/>
          <w:sz w:val="32"/>
          <w:szCs w:val="32"/>
        </w:rPr>
        <w:t>八、评价标准</w:t>
      </w:r>
      <w:bookmarkEnd w:id="53"/>
      <w:bookmarkEnd w:id="54"/>
    </w:p>
    <w:p>
      <w:pPr>
        <w:ind w:firstLine="562"/>
        <w:outlineLvl w:val="2"/>
        <w:rPr>
          <w:rFonts w:ascii="Times New Roman" w:hAnsi="Times New Roman" w:cs="Times New Roman"/>
          <w:b/>
          <w:bCs/>
          <w:szCs w:val="28"/>
        </w:rPr>
      </w:pPr>
      <w:bookmarkStart w:id="55" w:name="_Toc152320456"/>
      <w:bookmarkStart w:id="56" w:name="_Toc119967319"/>
      <w:bookmarkStart w:id="57" w:name="_Toc124892209"/>
      <w:bookmarkStart w:id="58" w:name="_Hlk115356146"/>
      <w:r>
        <w:rPr>
          <w:rFonts w:hint="eastAsia" w:ascii="Times New Roman" w:hAnsi="Times New Roman" w:cs="Times New Roman"/>
          <w:b/>
          <w:bCs/>
          <w:szCs w:val="28"/>
        </w:rPr>
        <w:t>（一）评价标准</w:t>
      </w:r>
      <w:bookmarkEnd w:id="55"/>
      <w:bookmarkEnd w:id="56"/>
      <w:bookmarkEnd w:id="57"/>
    </w:p>
    <w:p>
      <w:pPr>
        <w:ind w:firstLine="560" w:firstLineChars="200"/>
        <w:rPr>
          <w:rFonts w:ascii="Times New Roman" w:hAnsi="Times New Roman" w:cs="Times New Roman"/>
          <w:szCs w:val="28"/>
        </w:rPr>
      </w:pPr>
      <w:r>
        <w:rPr>
          <w:rFonts w:hint="eastAsia" w:ascii="Times New Roman" w:hAnsi="Times New Roman" w:cs="Times New Roman"/>
          <w:szCs w:val="28"/>
        </w:rPr>
        <w:t>绩效评价标准的设计中，主要是参照计划标准和行业标准制定。对于预先已制定了目标、计划、预算、定额类的指标，直接用实际情况与计划情况相比较来进行评价，对于预先没有制定计划目标的，一般行业标准来进行评价。</w:t>
      </w:r>
    </w:p>
    <w:p>
      <w:pPr>
        <w:ind w:firstLine="560" w:firstLineChars="200"/>
        <w:rPr>
          <w:rFonts w:ascii="Times New Roman" w:hAnsi="Times New Roman" w:cs="Times New Roman"/>
          <w:szCs w:val="28"/>
        </w:rPr>
      </w:pPr>
      <w:r>
        <w:rPr>
          <w:rFonts w:ascii="Times New Roman" w:hAnsi="Times New Roman" w:cs="Times New Roman"/>
          <w:szCs w:val="28"/>
        </w:rPr>
        <w:t>1.</w:t>
      </w:r>
      <w:r>
        <w:rPr>
          <w:rFonts w:hint="eastAsia" w:ascii="Times New Roman" w:hAnsi="Times New Roman" w:cs="Times New Roman"/>
          <w:szCs w:val="28"/>
        </w:rPr>
        <w:t>计划标准。以预先制定的目标、计划、预算、定额等作为评价标准。</w:t>
      </w:r>
    </w:p>
    <w:p>
      <w:pPr>
        <w:ind w:firstLine="560" w:firstLineChars="200"/>
        <w:rPr>
          <w:rFonts w:ascii="Times New Roman" w:hAnsi="Times New Roman"/>
        </w:rPr>
      </w:pPr>
      <w:r>
        <w:rPr>
          <w:rFonts w:ascii="Times New Roman" w:hAnsi="Times New Roman" w:cs="Times New Roman"/>
          <w:szCs w:val="28"/>
        </w:rPr>
        <w:t>2.</w:t>
      </w:r>
      <w:r>
        <w:rPr>
          <w:rFonts w:hint="eastAsia" w:ascii="Times New Roman" w:hAnsi="Times New Roman" w:cs="Times New Roman"/>
          <w:szCs w:val="28"/>
        </w:rPr>
        <w:t>行业标准。参照国家公布的行业指标数据制定的评价标准。</w:t>
      </w:r>
    </w:p>
    <w:p>
      <w:pPr>
        <w:ind w:firstLine="562" w:firstLineChars="200"/>
        <w:outlineLvl w:val="2"/>
        <w:rPr>
          <w:rFonts w:ascii="Times New Roman" w:hAnsi="Times New Roman" w:cs="Times New Roman"/>
          <w:b/>
          <w:bCs/>
          <w:szCs w:val="28"/>
        </w:rPr>
      </w:pPr>
      <w:bookmarkStart w:id="59" w:name="_Toc152320457"/>
      <w:r>
        <w:rPr>
          <w:rFonts w:hint="eastAsia" w:ascii="Times New Roman" w:hAnsi="Times New Roman" w:cs="Times New Roman"/>
          <w:b/>
          <w:bCs/>
          <w:szCs w:val="28"/>
        </w:rPr>
        <w:t>（二）评价依据</w:t>
      </w:r>
      <w:bookmarkEnd w:id="59"/>
    </w:p>
    <w:p>
      <w:pPr>
        <w:ind w:firstLine="560" w:firstLineChars="200"/>
        <w:rPr>
          <w:rFonts w:ascii="Times New Roman" w:hAnsi="Times New Roman" w:cs="Times New Roman"/>
          <w:szCs w:val="28"/>
        </w:rPr>
      </w:pPr>
      <w:r>
        <w:rPr>
          <w:rFonts w:ascii="Times New Roman" w:hAnsi="Times New Roman" w:cs="Times New Roman"/>
          <w:szCs w:val="28"/>
        </w:rPr>
        <w:t>1.</w:t>
      </w:r>
      <w:r>
        <w:rPr>
          <w:rFonts w:hint="eastAsia" w:ascii="Times New Roman" w:hAnsi="Times New Roman" w:cs="Times New Roman"/>
          <w:szCs w:val="28"/>
        </w:rPr>
        <w:t>《中华人民共和国预算法》（</w:t>
      </w:r>
      <w:r>
        <w:rPr>
          <w:rFonts w:ascii="Times New Roman" w:hAnsi="Times New Roman" w:cs="Times New Roman"/>
          <w:szCs w:val="28"/>
        </w:rPr>
        <w:t>2018</w:t>
      </w:r>
      <w:r>
        <w:rPr>
          <w:rFonts w:hint="eastAsia" w:ascii="Times New Roman" w:hAnsi="Times New Roman" w:cs="Times New Roman"/>
          <w:szCs w:val="28"/>
        </w:rPr>
        <w:t>年修订）</w:t>
      </w:r>
    </w:p>
    <w:p>
      <w:pPr>
        <w:ind w:firstLine="560" w:firstLineChars="200"/>
        <w:rPr>
          <w:rFonts w:ascii="Times New Roman" w:hAnsi="Times New Roman" w:cs="Times New Roman"/>
          <w:szCs w:val="28"/>
        </w:rPr>
      </w:pPr>
      <w:r>
        <w:rPr>
          <w:rFonts w:ascii="Times New Roman" w:hAnsi="Times New Roman" w:cs="Times New Roman"/>
          <w:szCs w:val="28"/>
        </w:rPr>
        <w:t>2.</w:t>
      </w:r>
      <w:r>
        <w:rPr>
          <w:rFonts w:hint="eastAsia" w:ascii="Times New Roman" w:hAnsi="Times New Roman" w:cs="Times New Roman"/>
          <w:szCs w:val="28"/>
        </w:rPr>
        <w:t>中华人民共和国预算法实施条例（中华人民共和国国务院令第</w:t>
      </w:r>
      <w:r>
        <w:rPr>
          <w:rFonts w:ascii="Times New Roman" w:hAnsi="Times New Roman" w:cs="Times New Roman"/>
          <w:szCs w:val="28"/>
        </w:rPr>
        <w:t>729</w:t>
      </w:r>
      <w:r>
        <w:rPr>
          <w:rFonts w:hint="eastAsia" w:ascii="Times New Roman" w:hAnsi="Times New Roman" w:cs="Times New Roman"/>
          <w:szCs w:val="28"/>
        </w:rPr>
        <w:t>号）</w:t>
      </w:r>
    </w:p>
    <w:p>
      <w:pPr>
        <w:ind w:firstLine="560" w:firstLineChars="200"/>
        <w:rPr>
          <w:rFonts w:ascii="Times New Roman" w:hAnsi="Times New Roman" w:cs="Times New Roman"/>
          <w:szCs w:val="28"/>
        </w:rPr>
      </w:pPr>
      <w:r>
        <w:rPr>
          <w:rFonts w:ascii="Times New Roman" w:hAnsi="Times New Roman" w:cs="Times New Roman"/>
          <w:szCs w:val="28"/>
        </w:rPr>
        <w:t>3.</w:t>
      </w:r>
      <w:r>
        <w:rPr>
          <w:rFonts w:hint="eastAsia" w:ascii="Times New Roman" w:hAnsi="Times New Roman" w:cs="Times New Roman"/>
          <w:szCs w:val="28"/>
        </w:rPr>
        <w:t>《中共中央</w:t>
      </w:r>
      <w:r>
        <w:rPr>
          <w:rFonts w:ascii="Times New Roman" w:hAnsi="Times New Roman" w:cs="Times New Roman"/>
          <w:szCs w:val="28"/>
        </w:rPr>
        <w:t xml:space="preserve"> </w:t>
      </w:r>
      <w:r>
        <w:rPr>
          <w:rFonts w:hint="eastAsia" w:ascii="Times New Roman" w:hAnsi="Times New Roman" w:cs="Times New Roman"/>
          <w:szCs w:val="28"/>
        </w:rPr>
        <w:t>国务院关于全面实施预算绩效管理的意见》（中发〔</w:t>
      </w:r>
      <w:r>
        <w:rPr>
          <w:rFonts w:ascii="Times New Roman" w:hAnsi="Times New Roman" w:cs="Times New Roman"/>
          <w:szCs w:val="28"/>
        </w:rPr>
        <w:t>2018</w:t>
      </w:r>
      <w:r>
        <w:rPr>
          <w:rFonts w:hint="eastAsia" w:ascii="Times New Roman" w:hAnsi="Times New Roman" w:cs="Times New Roman"/>
          <w:szCs w:val="28"/>
        </w:rPr>
        <w:t>〕</w:t>
      </w:r>
      <w:r>
        <w:rPr>
          <w:rFonts w:ascii="Times New Roman" w:hAnsi="Times New Roman" w:cs="Times New Roman"/>
          <w:szCs w:val="28"/>
        </w:rPr>
        <w:t xml:space="preserve">34 </w:t>
      </w:r>
      <w:r>
        <w:rPr>
          <w:rFonts w:hint="eastAsia" w:ascii="Times New Roman" w:hAnsi="Times New Roman" w:cs="Times New Roman"/>
          <w:szCs w:val="28"/>
        </w:rPr>
        <w:t>号）</w:t>
      </w:r>
    </w:p>
    <w:p>
      <w:pPr>
        <w:ind w:firstLine="560" w:firstLineChars="200"/>
        <w:rPr>
          <w:rFonts w:ascii="Times New Roman" w:hAnsi="Times New Roman" w:cs="Times New Roman"/>
          <w:szCs w:val="28"/>
        </w:rPr>
      </w:pPr>
      <w:r>
        <w:rPr>
          <w:rFonts w:ascii="Times New Roman" w:hAnsi="Times New Roman" w:cs="Times New Roman"/>
          <w:szCs w:val="28"/>
        </w:rPr>
        <w:t>4.</w:t>
      </w:r>
      <w:r>
        <w:rPr>
          <w:rFonts w:hint="eastAsia" w:ascii="Times New Roman" w:hAnsi="Times New Roman" w:cs="Times New Roman"/>
          <w:szCs w:val="28"/>
        </w:rPr>
        <w:t>《关于贯彻落实</w:t>
      </w:r>
      <w:r>
        <w:rPr>
          <w:rFonts w:ascii="Times New Roman" w:hAnsi="Times New Roman" w:cs="Times New Roman"/>
          <w:szCs w:val="28"/>
        </w:rPr>
        <w:t>&lt;</w:t>
      </w:r>
      <w:r>
        <w:rPr>
          <w:rFonts w:hint="eastAsia" w:ascii="Times New Roman" w:hAnsi="Times New Roman" w:cs="Times New Roman"/>
          <w:szCs w:val="28"/>
        </w:rPr>
        <w:t>中共中央</w:t>
      </w:r>
      <w:r>
        <w:rPr>
          <w:rFonts w:ascii="Times New Roman" w:hAnsi="Times New Roman" w:cs="Times New Roman"/>
          <w:szCs w:val="28"/>
        </w:rPr>
        <w:t xml:space="preserve"> </w:t>
      </w:r>
      <w:r>
        <w:rPr>
          <w:rFonts w:hint="eastAsia" w:ascii="Times New Roman" w:hAnsi="Times New Roman" w:cs="Times New Roman"/>
          <w:szCs w:val="28"/>
        </w:rPr>
        <w:t>国务院关于全面实施预算绩效管理的意见</w:t>
      </w:r>
      <w:r>
        <w:rPr>
          <w:rFonts w:ascii="Times New Roman" w:hAnsi="Times New Roman" w:cs="Times New Roman"/>
          <w:szCs w:val="28"/>
        </w:rPr>
        <w:t>&gt;</w:t>
      </w:r>
      <w:r>
        <w:rPr>
          <w:rFonts w:hint="eastAsia" w:ascii="Times New Roman" w:hAnsi="Times New Roman" w:cs="Times New Roman"/>
          <w:szCs w:val="28"/>
        </w:rPr>
        <w:t>的通知》（财预〔</w:t>
      </w:r>
      <w:r>
        <w:rPr>
          <w:rFonts w:ascii="Times New Roman" w:hAnsi="Times New Roman" w:cs="Times New Roman"/>
          <w:szCs w:val="28"/>
        </w:rPr>
        <w:t>2018</w:t>
      </w:r>
      <w:r>
        <w:rPr>
          <w:rFonts w:hint="eastAsia" w:ascii="Times New Roman" w:hAnsi="Times New Roman" w:cs="Times New Roman"/>
          <w:szCs w:val="28"/>
        </w:rPr>
        <w:t>〕</w:t>
      </w:r>
      <w:r>
        <w:rPr>
          <w:rFonts w:ascii="Times New Roman" w:hAnsi="Times New Roman" w:cs="Times New Roman"/>
          <w:szCs w:val="28"/>
        </w:rPr>
        <w:t>167</w:t>
      </w:r>
      <w:r>
        <w:rPr>
          <w:rFonts w:hint="eastAsia" w:ascii="Times New Roman" w:hAnsi="Times New Roman" w:cs="Times New Roman"/>
          <w:szCs w:val="28"/>
        </w:rPr>
        <w:t>号）</w:t>
      </w:r>
    </w:p>
    <w:p>
      <w:pPr>
        <w:ind w:firstLine="560" w:firstLineChars="200"/>
        <w:rPr>
          <w:rFonts w:ascii="Times New Roman" w:hAnsi="Times New Roman" w:cs="Times New Roman"/>
          <w:szCs w:val="28"/>
        </w:rPr>
      </w:pPr>
      <w:r>
        <w:rPr>
          <w:rFonts w:ascii="Times New Roman" w:hAnsi="Times New Roman" w:cs="Times New Roman"/>
          <w:szCs w:val="28"/>
        </w:rPr>
        <w:t>5.</w:t>
      </w:r>
      <w:r>
        <w:rPr>
          <w:rFonts w:hint="eastAsia" w:ascii="Times New Roman" w:hAnsi="Times New Roman" w:cs="Times New Roman"/>
          <w:szCs w:val="28"/>
        </w:rPr>
        <w:t>《关于印发</w:t>
      </w:r>
      <w:r>
        <w:rPr>
          <w:rFonts w:ascii="Times New Roman" w:hAnsi="Times New Roman" w:cs="Times New Roman"/>
          <w:szCs w:val="28"/>
        </w:rPr>
        <w:t>&lt;</w:t>
      </w:r>
      <w:r>
        <w:rPr>
          <w:rFonts w:hint="eastAsia" w:ascii="Times New Roman" w:hAnsi="Times New Roman" w:cs="Times New Roman"/>
          <w:szCs w:val="28"/>
        </w:rPr>
        <w:t>项目支出绩效评价管理办法</w:t>
      </w:r>
      <w:r>
        <w:rPr>
          <w:rFonts w:ascii="Times New Roman" w:hAnsi="Times New Roman" w:cs="Times New Roman"/>
          <w:szCs w:val="28"/>
        </w:rPr>
        <w:t>&gt;</w:t>
      </w:r>
      <w:r>
        <w:rPr>
          <w:rFonts w:hint="eastAsia" w:ascii="Times New Roman" w:hAnsi="Times New Roman" w:cs="Times New Roman"/>
          <w:szCs w:val="28"/>
        </w:rPr>
        <w:t>的通知》（财预〔</w:t>
      </w:r>
      <w:r>
        <w:rPr>
          <w:rFonts w:ascii="Times New Roman" w:hAnsi="Times New Roman" w:cs="Times New Roman"/>
          <w:szCs w:val="28"/>
        </w:rPr>
        <w:t>2020</w:t>
      </w:r>
      <w:r>
        <w:rPr>
          <w:rFonts w:hint="eastAsia" w:ascii="Times New Roman" w:hAnsi="Times New Roman" w:cs="Times New Roman"/>
          <w:szCs w:val="28"/>
        </w:rPr>
        <w:t>〕</w:t>
      </w:r>
      <w:r>
        <w:rPr>
          <w:rFonts w:ascii="Times New Roman" w:hAnsi="Times New Roman" w:cs="Times New Roman"/>
          <w:szCs w:val="28"/>
        </w:rPr>
        <w:t>10</w:t>
      </w:r>
      <w:r>
        <w:rPr>
          <w:rFonts w:hint="eastAsia" w:ascii="Times New Roman" w:hAnsi="Times New Roman" w:cs="Times New Roman"/>
          <w:szCs w:val="28"/>
        </w:rPr>
        <w:t>号）</w:t>
      </w:r>
    </w:p>
    <w:p>
      <w:pPr>
        <w:ind w:firstLine="560" w:firstLineChars="200"/>
        <w:rPr>
          <w:rFonts w:ascii="Times New Roman" w:hAnsi="Times New Roman" w:cs="Times New Roman"/>
          <w:szCs w:val="28"/>
        </w:rPr>
      </w:pPr>
      <w:r>
        <w:rPr>
          <w:rFonts w:ascii="Times New Roman" w:hAnsi="Times New Roman" w:cs="Times New Roman"/>
          <w:szCs w:val="28"/>
        </w:rPr>
        <w:t>6.</w:t>
      </w:r>
      <w:r>
        <w:rPr>
          <w:rFonts w:hint="eastAsia" w:ascii="Times New Roman" w:hAnsi="Times New Roman" w:cs="Times New Roman"/>
          <w:szCs w:val="28"/>
        </w:rPr>
        <w:t>《国务院关于进一步深化预算管理制度改革的意见》（国发〔</w:t>
      </w:r>
      <w:r>
        <w:rPr>
          <w:rFonts w:ascii="Times New Roman" w:hAnsi="Times New Roman" w:cs="Times New Roman"/>
          <w:szCs w:val="28"/>
        </w:rPr>
        <w:t>2021</w:t>
      </w:r>
      <w:r>
        <w:rPr>
          <w:rFonts w:hint="eastAsia" w:ascii="Times New Roman" w:hAnsi="Times New Roman" w:cs="Times New Roman"/>
          <w:szCs w:val="28"/>
        </w:rPr>
        <w:t>〕</w:t>
      </w:r>
      <w:r>
        <w:rPr>
          <w:rFonts w:ascii="Times New Roman" w:hAnsi="Times New Roman" w:cs="Times New Roman"/>
          <w:szCs w:val="28"/>
        </w:rPr>
        <w:t>5</w:t>
      </w:r>
      <w:r>
        <w:rPr>
          <w:rFonts w:hint="eastAsia" w:ascii="Times New Roman" w:hAnsi="Times New Roman" w:cs="Times New Roman"/>
          <w:szCs w:val="28"/>
        </w:rPr>
        <w:t>号）</w:t>
      </w:r>
    </w:p>
    <w:p>
      <w:pPr>
        <w:ind w:firstLine="560" w:firstLineChars="200"/>
        <w:rPr>
          <w:rFonts w:ascii="Times New Roman" w:hAnsi="Times New Roman" w:cs="Times New Roman"/>
          <w:szCs w:val="28"/>
        </w:rPr>
      </w:pPr>
      <w:r>
        <w:rPr>
          <w:rFonts w:ascii="Times New Roman" w:hAnsi="Times New Roman" w:cs="Times New Roman"/>
          <w:szCs w:val="28"/>
        </w:rPr>
        <w:t>7.</w:t>
      </w:r>
      <w:r>
        <w:rPr>
          <w:rFonts w:hint="eastAsia" w:ascii="Times New Roman" w:hAnsi="Times New Roman" w:cs="Times New Roman"/>
          <w:szCs w:val="28"/>
        </w:rPr>
        <w:t>《财政部</w:t>
      </w:r>
      <w:r>
        <w:rPr>
          <w:rFonts w:ascii="Times New Roman" w:hAnsi="Times New Roman" w:cs="Times New Roman"/>
          <w:szCs w:val="28"/>
        </w:rPr>
        <w:t xml:space="preserve"> 民政部关于印发&lt;中央财政困难群众救助补助资金管理办法&gt;的通知》（财社〔2017〕58号）</w:t>
      </w:r>
    </w:p>
    <w:p>
      <w:pPr>
        <w:ind w:firstLine="560" w:firstLineChars="200"/>
        <w:rPr>
          <w:rFonts w:ascii="Times New Roman" w:hAnsi="Times New Roman" w:cs="Times New Roman"/>
          <w:szCs w:val="28"/>
        </w:rPr>
      </w:pPr>
      <w:r>
        <w:rPr>
          <w:rFonts w:ascii="Times New Roman" w:hAnsi="Times New Roman" w:cs="Times New Roman"/>
          <w:szCs w:val="28"/>
        </w:rPr>
        <w:t>8.</w:t>
      </w:r>
      <w:r>
        <w:rPr>
          <w:rFonts w:hint="eastAsia" w:ascii="Times New Roman" w:hAnsi="Times New Roman" w:cs="Times New Roman"/>
          <w:szCs w:val="28"/>
        </w:rPr>
        <w:t>《财政部</w:t>
      </w:r>
      <w:r>
        <w:rPr>
          <w:rFonts w:ascii="Times New Roman" w:hAnsi="Times New Roman" w:cs="Times New Roman"/>
          <w:szCs w:val="28"/>
        </w:rPr>
        <w:t xml:space="preserve"> 民政部 住房城乡建设部 中国残联关于修改中央财政困难群众救助等补助资金管理办法的通知》（财社〔2019〕114号）</w:t>
      </w:r>
    </w:p>
    <w:p>
      <w:pPr>
        <w:ind w:firstLine="560" w:firstLineChars="200"/>
        <w:rPr>
          <w:rFonts w:ascii="Times New Roman" w:hAnsi="Times New Roman" w:cs="Times New Roman"/>
          <w:szCs w:val="28"/>
        </w:rPr>
      </w:pPr>
      <w:r>
        <w:rPr>
          <w:rFonts w:ascii="Times New Roman" w:hAnsi="Times New Roman" w:cs="Times New Roman"/>
          <w:szCs w:val="28"/>
        </w:rPr>
        <w:t>9.</w:t>
      </w:r>
      <w:r>
        <w:rPr>
          <w:rFonts w:hint="eastAsia" w:ascii="Times New Roman" w:hAnsi="Times New Roman" w:cs="Times New Roman"/>
          <w:szCs w:val="28"/>
        </w:rPr>
        <w:t>《财政部</w:t>
      </w:r>
      <w:r>
        <w:rPr>
          <w:rFonts w:ascii="Times New Roman" w:hAnsi="Times New Roman" w:cs="Times New Roman"/>
          <w:szCs w:val="28"/>
        </w:rPr>
        <w:t xml:space="preserve"> 民政部关于修改&lt;中央财政困难群众救助补助资金管理办法&gt;的通知》（财社〔2022〕38号）</w:t>
      </w:r>
    </w:p>
    <w:p>
      <w:pPr>
        <w:ind w:firstLine="560" w:firstLineChars="200"/>
        <w:rPr>
          <w:rFonts w:ascii="Times New Roman" w:hAnsi="Times New Roman" w:cs="Times New Roman"/>
          <w:szCs w:val="28"/>
        </w:rPr>
      </w:pPr>
      <w:r>
        <w:rPr>
          <w:rFonts w:ascii="Times New Roman" w:hAnsi="Times New Roman" w:cs="Times New Roman"/>
          <w:szCs w:val="28"/>
        </w:rPr>
        <w:t>10.</w:t>
      </w:r>
      <w:r>
        <w:rPr>
          <w:rFonts w:hint="eastAsia" w:ascii="Times New Roman" w:hAnsi="Times New Roman" w:cs="Times New Roman"/>
          <w:szCs w:val="28"/>
        </w:rPr>
        <w:t>《福建省省级困难群众救助补助资金管理办法》（</w:t>
      </w:r>
      <w:r>
        <w:rPr>
          <w:rFonts w:ascii="Times New Roman" w:hAnsi="Times New Roman" w:cs="Times New Roman"/>
          <w:szCs w:val="28"/>
        </w:rPr>
        <w:t>闽财社</w:t>
      </w:r>
      <w:r>
        <w:rPr>
          <w:rFonts w:hint="eastAsia" w:ascii="Times New Roman" w:hAnsi="Times New Roman" w:cs="Times New Roman"/>
          <w:szCs w:val="28"/>
        </w:rPr>
        <w:t>〔</w:t>
      </w:r>
      <w:r>
        <w:rPr>
          <w:rFonts w:ascii="Times New Roman" w:hAnsi="Times New Roman" w:cs="Times New Roman"/>
          <w:szCs w:val="28"/>
        </w:rPr>
        <w:t>2021</w:t>
      </w:r>
      <w:r>
        <w:rPr>
          <w:rFonts w:hint="eastAsia" w:ascii="Times New Roman" w:hAnsi="Times New Roman" w:cs="Times New Roman"/>
          <w:szCs w:val="28"/>
        </w:rPr>
        <w:t>〕</w:t>
      </w:r>
      <w:r>
        <w:rPr>
          <w:rFonts w:ascii="Times New Roman" w:hAnsi="Times New Roman" w:cs="Times New Roman"/>
          <w:szCs w:val="28"/>
        </w:rPr>
        <w:t>35号</w:t>
      </w:r>
      <w:r>
        <w:rPr>
          <w:rFonts w:hint="eastAsia" w:ascii="Times New Roman" w:hAnsi="Times New Roman" w:cs="Times New Roman"/>
          <w:szCs w:val="28"/>
        </w:rPr>
        <w:t>）</w:t>
      </w:r>
    </w:p>
    <w:p>
      <w:pPr>
        <w:ind w:firstLine="560" w:firstLineChars="200"/>
        <w:rPr>
          <w:rFonts w:ascii="Times New Roman" w:hAnsi="Times New Roman" w:cs="Times New Roman"/>
          <w:szCs w:val="28"/>
        </w:rPr>
      </w:pPr>
      <w:r>
        <w:rPr>
          <w:rFonts w:ascii="Times New Roman" w:hAnsi="Times New Roman" w:cs="Times New Roman"/>
          <w:szCs w:val="28"/>
        </w:rPr>
        <w:t>11.</w:t>
      </w:r>
      <w:r>
        <w:rPr>
          <w:rFonts w:hint="eastAsia" w:ascii="Times New Roman" w:hAnsi="Times New Roman" w:cs="Times New Roman"/>
          <w:szCs w:val="28"/>
        </w:rPr>
        <w:t>《福建省民政厅印发</w:t>
      </w:r>
      <w:r>
        <w:rPr>
          <w:rFonts w:ascii="Times New Roman" w:hAnsi="Times New Roman" w:cs="Times New Roman"/>
          <w:szCs w:val="28"/>
        </w:rPr>
        <w:t>&lt;</w:t>
      </w:r>
      <w:r>
        <w:rPr>
          <w:rFonts w:hint="eastAsia" w:ascii="Times New Roman" w:hAnsi="Times New Roman" w:cs="Times New Roman"/>
          <w:szCs w:val="28"/>
        </w:rPr>
        <w:t>关于开展困难群众“漏保”“漏救”问题点题整治的工作方案</w:t>
      </w:r>
      <w:r>
        <w:rPr>
          <w:rFonts w:ascii="Times New Roman" w:hAnsi="Times New Roman" w:cs="Times New Roman"/>
          <w:szCs w:val="28"/>
        </w:rPr>
        <w:t>&gt;</w:t>
      </w:r>
      <w:r>
        <w:rPr>
          <w:rFonts w:hint="eastAsia" w:ascii="Times New Roman" w:hAnsi="Times New Roman" w:cs="Times New Roman"/>
          <w:szCs w:val="28"/>
        </w:rPr>
        <w:t>的通知</w:t>
      </w:r>
      <w:r>
        <w:rPr>
          <w:rFonts w:ascii="Times New Roman" w:hAnsi="Times New Roman" w:cs="Times New Roman"/>
          <w:szCs w:val="28"/>
        </w:rPr>
        <w:t>》</w:t>
      </w:r>
      <w:r>
        <w:rPr>
          <w:rFonts w:hint="eastAsia" w:ascii="Times New Roman" w:hAnsi="Times New Roman" w:cs="Times New Roman"/>
          <w:szCs w:val="28"/>
        </w:rPr>
        <w:t>（闽民救〔</w:t>
      </w:r>
      <w:r>
        <w:rPr>
          <w:rFonts w:ascii="Times New Roman" w:hAnsi="Times New Roman" w:cs="Times New Roman"/>
          <w:szCs w:val="28"/>
        </w:rPr>
        <w:t>2021〕60号</w:t>
      </w:r>
      <w:r>
        <w:rPr>
          <w:rFonts w:hint="eastAsia" w:ascii="Times New Roman" w:hAnsi="Times New Roman" w:cs="Times New Roman"/>
          <w:szCs w:val="28"/>
        </w:rPr>
        <w:t>）</w:t>
      </w:r>
    </w:p>
    <w:p>
      <w:pPr>
        <w:ind w:firstLine="560" w:firstLineChars="200"/>
        <w:rPr>
          <w:rFonts w:ascii="Times New Roman" w:hAnsi="Times New Roman" w:cs="Times New Roman"/>
          <w:szCs w:val="28"/>
        </w:rPr>
      </w:pPr>
      <w:r>
        <w:rPr>
          <w:rFonts w:ascii="Times New Roman" w:hAnsi="Times New Roman" w:cs="Times New Roman"/>
          <w:szCs w:val="28"/>
        </w:rPr>
        <w:t>12.</w:t>
      </w:r>
      <w:r>
        <w:rPr>
          <w:rFonts w:hint="eastAsia" w:ascii="Times New Roman" w:hAnsi="Times New Roman" w:cs="Times New Roman"/>
          <w:szCs w:val="28"/>
        </w:rPr>
        <w:t>《泉州市民政局 泉州市财政局关于加强城乡最低生活保障市级补助资金管理的通知》（</w:t>
      </w:r>
      <w:r>
        <w:rPr>
          <w:rFonts w:ascii="Times New Roman" w:hAnsi="Times New Roman" w:cs="Times New Roman"/>
          <w:szCs w:val="28"/>
        </w:rPr>
        <w:t>泉民保</w:t>
      </w:r>
      <w:r>
        <w:rPr>
          <w:rFonts w:hint="eastAsia" w:ascii="Times New Roman" w:hAnsi="Times New Roman" w:cs="Times New Roman"/>
          <w:szCs w:val="28"/>
        </w:rPr>
        <w:t>〔</w:t>
      </w:r>
      <w:r>
        <w:rPr>
          <w:rFonts w:ascii="Times New Roman" w:hAnsi="Times New Roman" w:cs="Times New Roman"/>
          <w:szCs w:val="28"/>
        </w:rPr>
        <w:t>2019</w:t>
      </w:r>
      <w:r>
        <w:rPr>
          <w:rFonts w:hint="eastAsia" w:ascii="Times New Roman" w:hAnsi="Times New Roman" w:cs="Times New Roman"/>
          <w:szCs w:val="28"/>
        </w:rPr>
        <w:t>〕</w:t>
      </w:r>
      <w:r>
        <w:rPr>
          <w:rFonts w:ascii="Times New Roman" w:hAnsi="Times New Roman" w:cs="Times New Roman"/>
          <w:szCs w:val="28"/>
        </w:rPr>
        <w:t>10号</w:t>
      </w:r>
      <w:r>
        <w:rPr>
          <w:rFonts w:hint="eastAsia" w:ascii="Times New Roman" w:hAnsi="Times New Roman" w:cs="Times New Roman"/>
          <w:szCs w:val="28"/>
        </w:rPr>
        <w:t>）</w:t>
      </w:r>
    </w:p>
    <w:p>
      <w:pPr>
        <w:ind w:firstLine="560" w:firstLineChars="200"/>
        <w:rPr>
          <w:rFonts w:ascii="Times New Roman" w:hAnsi="Times New Roman" w:cs="Times New Roman"/>
          <w:szCs w:val="28"/>
        </w:rPr>
      </w:pPr>
      <w:r>
        <w:rPr>
          <w:rFonts w:ascii="Times New Roman" w:hAnsi="Times New Roman" w:cs="Times New Roman"/>
          <w:szCs w:val="28"/>
        </w:rPr>
        <w:t>13.</w:t>
      </w:r>
      <w:r>
        <w:rPr>
          <w:rFonts w:hint="eastAsia" w:ascii="Times New Roman" w:hAnsi="Times New Roman" w:cs="Times New Roman"/>
          <w:szCs w:val="28"/>
        </w:rPr>
        <w:t>《泉州市民政局 泉州市财政局 泉州市人力资源和社会保障局</w:t>
      </w:r>
      <w:r>
        <w:rPr>
          <w:rFonts w:ascii="Times New Roman" w:hAnsi="Times New Roman" w:cs="Times New Roman"/>
          <w:szCs w:val="28"/>
        </w:rPr>
        <w:t>关于贯彻落实进一步做好困难群众基本生活保障工作的通知》（泉民保〔2020〕14号）</w:t>
      </w:r>
    </w:p>
    <w:p>
      <w:pPr>
        <w:ind w:firstLine="560" w:firstLineChars="200"/>
        <w:rPr>
          <w:rFonts w:ascii="Times New Roman" w:hAnsi="Times New Roman" w:cs="Times New Roman"/>
          <w:szCs w:val="28"/>
        </w:rPr>
      </w:pPr>
      <w:r>
        <w:rPr>
          <w:rFonts w:ascii="Times New Roman" w:hAnsi="Times New Roman" w:cs="Times New Roman"/>
          <w:szCs w:val="28"/>
        </w:rPr>
        <w:t>14.</w:t>
      </w:r>
      <w:r>
        <w:rPr>
          <w:rFonts w:hint="eastAsia" w:ascii="Times New Roman" w:hAnsi="Times New Roman" w:cs="Times New Roman"/>
          <w:szCs w:val="28"/>
        </w:rPr>
        <w:t>《</w:t>
      </w:r>
      <w:r>
        <w:rPr>
          <w:rFonts w:ascii="Times New Roman" w:hAnsi="Times New Roman" w:cs="Times New Roman"/>
          <w:szCs w:val="28"/>
        </w:rPr>
        <w:t>惠安县民政局 惠安县财政局关于做好惠安县城乡居民最低生活保障工作的通知》（惠民〔2020〕56号）</w:t>
      </w:r>
    </w:p>
    <w:p>
      <w:pPr>
        <w:ind w:firstLine="560" w:firstLineChars="200"/>
        <w:rPr>
          <w:rFonts w:ascii="Times New Roman" w:hAnsi="Times New Roman" w:cs="Times New Roman"/>
          <w:szCs w:val="28"/>
        </w:rPr>
      </w:pPr>
      <w:r>
        <w:rPr>
          <w:rFonts w:ascii="Times New Roman" w:hAnsi="Times New Roman" w:cs="Times New Roman"/>
          <w:szCs w:val="28"/>
        </w:rPr>
        <w:t>15.</w:t>
      </w:r>
      <w:r>
        <w:rPr>
          <w:rFonts w:hint="eastAsia" w:ascii="Times New Roman" w:hAnsi="Times New Roman" w:cs="Times New Roman"/>
          <w:szCs w:val="28"/>
        </w:rPr>
        <w:t>《中共惠安县委办公室惠安县人民政府办公室关于</w:t>
      </w:r>
      <w:r>
        <w:rPr>
          <w:rFonts w:ascii="Times New Roman" w:hAnsi="Times New Roman" w:cs="Times New Roman"/>
          <w:szCs w:val="28"/>
        </w:rPr>
        <w:t>2021</w:t>
      </w:r>
      <w:r>
        <w:rPr>
          <w:rFonts w:hint="eastAsia" w:ascii="Times New Roman" w:hAnsi="Times New Roman" w:cs="Times New Roman"/>
          <w:szCs w:val="28"/>
        </w:rPr>
        <w:t>年县委县政府为民办实事项目责任分解的通知》（惠委办〔</w:t>
      </w:r>
      <w:r>
        <w:rPr>
          <w:rFonts w:ascii="Times New Roman" w:hAnsi="Times New Roman" w:cs="Times New Roman"/>
          <w:szCs w:val="28"/>
        </w:rPr>
        <w:t>2021</w:t>
      </w:r>
      <w:r>
        <w:rPr>
          <w:rFonts w:hint="eastAsia" w:ascii="Times New Roman" w:hAnsi="Times New Roman" w:cs="Times New Roman"/>
          <w:szCs w:val="28"/>
        </w:rPr>
        <w:t>〕</w:t>
      </w:r>
      <w:r>
        <w:rPr>
          <w:rFonts w:ascii="Times New Roman" w:hAnsi="Times New Roman" w:cs="Times New Roman"/>
          <w:szCs w:val="28"/>
        </w:rPr>
        <w:t>8</w:t>
      </w:r>
      <w:r>
        <w:rPr>
          <w:rFonts w:hint="eastAsia" w:ascii="Times New Roman" w:hAnsi="Times New Roman" w:cs="Times New Roman"/>
          <w:szCs w:val="28"/>
        </w:rPr>
        <w:t>号）</w:t>
      </w:r>
    </w:p>
    <w:p>
      <w:pPr>
        <w:ind w:firstLine="560" w:firstLineChars="200"/>
        <w:rPr>
          <w:rFonts w:ascii="Times New Roman" w:hAnsi="Times New Roman" w:cs="Times New Roman"/>
          <w:szCs w:val="28"/>
        </w:rPr>
      </w:pPr>
      <w:r>
        <w:rPr>
          <w:rFonts w:ascii="Times New Roman" w:hAnsi="Times New Roman" w:cs="Times New Roman"/>
          <w:szCs w:val="28"/>
        </w:rPr>
        <w:t>16</w:t>
      </w:r>
      <w:r>
        <w:rPr>
          <w:rFonts w:hint="eastAsia" w:ascii="Times New Roman" w:hAnsi="Times New Roman" w:cs="Times New Roman"/>
          <w:szCs w:val="28"/>
        </w:rPr>
        <w:t>．《中共惠安县委办公室惠安县人民政府办公室关于</w:t>
      </w:r>
      <w:r>
        <w:rPr>
          <w:rFonts w:ascii="Times New Roman" w:hAnsi="Times New Roman" w:cs="Times New Roman"/>
          <w:szCs w:val="28"/>
        </w:rPr>
        <w:t>2022</w:t>
      </w:r>
      <w:r>
        <w:rPr>
          <w:rFonts w:hint="eastAsia" w:ascii="Times New Roman" w:hAnsi="Times New Roman" w:cs="Times New Roman"/>
          <w:szCs w:val="28"/>
        </w:rPr>
        <w:t>年县委县政府为民办实事项目责任分解的通知》（惠委办〔</w:t>
      </w:r>
      <w:r>
        <w:rPr>
          <w:rFonts w:ascii="Times New Roman" w:hAnsi="Times New Roman" w:cs="Times New Roman"/>
          <w:szCs w:val="28"/>
        </w:rPr>
        <w:t>2021</w:t>
      </w:r>
      <w:r>
        <w:rPr>
          <w:rFonts w:hint="eastAsia" w:ascii="Times New Roman" w:hAnsi="Times New Roman" w:cs="Times New Roman"/>
          <w:szCs w:val="28"/>
        </w:rPr>
        <w:t>〕</w:t>
      </w:r>
      <w:r>
        <w:rPr>
          <w:rFonts w:ascii="Times New Roman" w:hAnsi="Times New Roman" w:cs="Times New Roman"/>
          <w:szCs w:val="28"/>
        </w:rPr>
        <w:t>74</w:t>
      </w:r>
      <w:r>
        <w:rPr>
          <w:rFonts w:hint="eastAsia" w:ascii="Times New Roman" w:hAnsi="Times New Roman" w:cs="Times New Roman"/>
          <w:szCs w:val="28"/>
        </w:rPr>
        <w:t>号）</w:t>
      </w:r>
    </w:p>
    <w:p>
      <w:pPr>
        <w:ind w:firstLine="560" w:firstLineChars="200"/>
        <w:rPr>
          <w:rFonts w:ascii="Times New Roman" w:hAnsi="Times New Roman" w:cs="Times New Roman"/>
          <w:szCs w:val="28"/>
        </w:rPr>
      </w:pPr>
      <w:r>
        <w:rPr>
          <w:rFonts w:ascii="Times New Roman" w:hAnsi="Times New Roman" w:cs="Times New Roman"/>
          <w:szCs w:val="28"/>
        </w:rPr>
        <w:t>17.</w:t>
      </w:r>
      <w:r>
        <w:rPr>
          <w:rFonts w:hint="eastAsia" w:ascii="Times New Roman" w:hAnsi="Times New Roman" w:cs="Times New Roman"/>
          <w:szCs w:val="28"/>
        </w:rPr>
        <w:t>《惠安县民政局关于印发〈惠安县困难群众“漏保”“漏救”点题整治巩固提升工作方案〉的通知》（</w:t>
      </w:r>
      <w:r>
        <w:rPr>
          <w:rFonts w:ascii="Times New Roman" w:hAnsi="Times New Roman" w:cs="Times New Roman"/>
          <w:szCs w:val="28"/>
        </w:rPr>
        <w:t>惠民综〔2022〕31号</w:t>
      </w:r>
      <w:r>
        <w:rPr>
          <w:rFonts w:hint="eastAsia" w:ascii="Times New Roman" w:hAnsi="Times New Roman" w:cs="Times New Roman"/>
          <w:szCs w:val="28"/>
        </w:rPr>
        <w:t>）</w:t>
      </w:r>
    </w:p>
    <w:p>
      <w:pPr>
        <w:ind w:firstLine="560" w:firstLineChars="200"/>
        <w:jc w:val="left"/>
        <w:rPr>
          <w:rFonts w:ascii="Times New Roman" w:hAnsi="Times New Roman" w:cs="Times New Roman"/>
          <w:szCs w:val="28"/>
        </w:rPr>
      </w:pPr>
      <w:r>
        <w:rPr>
          <w:rFonts w:ascii="Times New Roman" w:hAnsi="Times New Roman" w:cs="Times New Roman"/>
          <w:szCs w:val="28"/>
        </w:rPr>
        <w:t>18.</w:t>
      </w:r>
      <w:r>
        <w:rPr>
          <w:rFonts w:hint="eastAsia" w:ascii="Times New Roman" w:hAnsi="Times New Roman" w:cs="Times New Roman"/>
          <w:szCs w:val="28"/>
        </w:rPr>
        <w:t>《惠安县专项资金管理暂行办法》</w:t>
      </w:r>
    </w:p>
    <w:p>
      <w:pPr>
        <w:ind w:firstLine="560" w:firstLineChars="200"/>
        <w:rPr>
          <w:rFonts w:ascii="Times New Roman" w:hAnsi="Times New Roman"/>
        </w:rPr>
      </w:pPr>
      <w:bookmarkStart w:id="60" w:name="_Hlk115356493"/>
      <w:r>
        <w:rPr>
          <w:rFonts w:ascii="Times New Roman" w:hAnsi="Times New Roman" w:cs="Times New Roman"/>
          <w:szCs w:val="28"/>
        </w:rPr>
        <w:t>19.</w:t>
      </w:r>
      <w:r>
        <w:rPr>
          <w:rFonts w:hint="eastAsia" w:ascii="Times New Roman" w:hAnsi="Times New Roman" w:cs="Times New Roman"/>
          <w:szCs w:val="28"/>
        </w:rPr>
        <w:t>部门职责相关规定及其他项目相关的政策、文件和管理办法等。</w:t>
      </w:r>
    </w:p>
    <w:bookmarkEnd w:id="58"/>
    <w:bookmarkEnd w:id="60"/>
    <w:p>
      <w:pPr>
        <w:spacing w:before="156" w:beforeLines="50" w:after="156" w:afterLines="50"/>
        <w:ind w:firstLine="643" w:firstLineChars="200"/>
        <w:outlineLvl w:val="1"/>
        <w:rPr>
          <w:rFonts w:ascii="Times New Roman" w:hAnsi="Times New Roman" w:cs="黑体"/>
          <w:b/>
          <w:bCs/>
          <w:sz w:val="32"/>
          <w:szCs w:val="32"/>
        </w:rPr>
      </w:pPr>
      <w:bookmarkStart w:id="61" w:name="_Toc913884773"/>
      <w:bookmarkStart w:id="62" w:name="_Toc152320458"/>
      <w:r>
        <w:rPr>
          <w:rFonts w:hint="eastAsia" w:ascii="Times New Roman" w:hAnsi="Times New Roman" w:cs="黑体"/>
          <w:b/>
          <w:bCs/>
          <w:sz w:val="32"/>
          <w:szCs w:val="32"/>
        </w:rPr>
        <w:t>九、评价开展过程</w:t>
      </w:r>
      <w:bookmarkEnd w:id="61"/>
      <w:bookmarkEnd w:id="62"/>
    </w:p>
    <w:p>
      <w:pPr>
        <w:ind w:firstLine="560" w:firstLineChars="200"/>
        <w:rPr>
          <w:rFonts w:ascii="Times New Roman" w:hAnsi="Times New Roman" w:cs="Times New Roman"/>
          <w:szCs w:val="28"/>
        </w:rPr>
      </w:pPr>
      <w:bookmarkStart w:id="63" w:name="_Hlk115358607"/>
      <w:r>
        <w:rPr>
          <w:rFonts w:hint="eastAsia" w:ascii="Times New Roman" w:hAnsi="Times New Roman" w:cs="Times New Roman"/>
          <w:szCs w:val="28"/>
        </w:rPr>
        <w:t>本次绩效评价工作共经历前期准备、组织实施、报告形成三个阶段。</w:t>
      </w:r>
    </w:p>
    <w:p>
      <w:pPr>
        <w:ind w:firstLine="562" w:firstLineChars="200"/>
        <w:outlineLvl w:val="2"/>
        <w:rPr>
          <w:rFonts w:ascii="Times New Roman" w:hAnsi="Times New Roman" w:cs="Times New Roman"/>
          <w:b/>
          <w:bCs/>
          <w:szCs w:val="28"/>
        </w:rPr>
      </w:pPr>
      <w:bookmarkStart w:id="64" w:name="_Toc152320459"/>
      <w:r>
        <w:rPr>
          <w:rFonts w:hint="eastAsia" w:ascii="Times New Roman" w:hAnsi="Times New Roman" w:cs="Times New Roman"/>
          <w:b/>
          <w:bCs/>
          <w:szCs w:val="28"/>
        </w:rPr>
        <w:t>（一）前期准备阶段</w:t>
      </w:r>
      <w:bookmarkEnd w:id="64"/>
    </w:p>
    <w:p>
      <w:pPr>
        <w:ind w:firstLine="560" w:firstLineChars="200"/>
        <w:rPr>
          <w:rFonts w:ascii="Times New Roman" w:hAnsi="Times New Roman" w:cs="Times New Roman"/>
          <w:szCs w:val="28"/>
        </w:rPr>
      </w:pPr>
      <w:r>
        <w:rPr>
          <w:rFonts w:ascii="Times New Roman" w:hAnsi="Times New Roman" w:cs="Times New Roman"/>
          <w:szCs w:val="28"/>
        </w:rPr>
        <w:t>1.</w:t>
      </w:r>
      <w:r>
        <w:rPr>
          <w:rFonts w:hint="eastAsia" w:ascii="Times New Roman" w:hAnsi="Times New Roman" w:cs="Times New Roman"/>
          <w:szCs w:val="28"/>
        </w:rPr>
        <w:t>成立绩效评价工作组</w:t>
      </w:r>
    </w:p>
    <w:p>
      <w:pPr>
        <w:ind w:firstLine="560" w:firstLineChars="200"/>
        <w:rPr>
          <w:rFonts w:ascii="Times New Roman" w:hAnsi="Times New Roman" w:cs="Times New Roman"/>
          <w:szCs w:val="28"/>
        </w:rPr>
      </w:pPr>
      <w:r>
        <w:rPr>
          <w:rFonts w:hint="eastAsia" w:ascii="Times New Roman" w:hAnsi="Times New Roman" w:cs="Times New Roman"/>
          <w:szCs w:val="28"/>
        </w:rPr>
        <w:t>为做好项目的预算绩效评价工作，研究中心成立了专门的项目绩效评价工作组：福州市韦兰信息科技有限公司惠安财政重点绩效评价团队。</w:t>
      </w:r>
    </w:p>
    <w:p>
      <w:pPr>
        <w:ind w:firstLine="560" w:firstLineChars="200"/>
        <w:rPr>
          <w:rFonts w:ascii="Times New Roman" w:hAnsi="Times New Roman" w:cs="Times New Roman"/>
          <w:szCs w:val="28"/>
        </w:rPr>
      </w:pPr>
      <w:r>
        <w:rPr>
          <w:rFonts w:ascii="Times New Roman" w:hAnsi="Times New Roman" w:cs="Times New Roman"/>
          <w:szCs w:val="28"/>
        </w:rPr>
        <w:t>2.</w:t>
      </w:r>
      <w:r>
        <w:rPr>
          <w:rFonts w:hint="eastAsia" w:ascii="Times New Roman" w:hAnsi="Times New Roman" w:cs="Times New Roman"/>
          <w:szCs w:val="28"/>
        </w:rPr>
        <w:t>资料收集与现场沟通</w:t>
      </w:r>
    </w:p>
    <w:p>
      <w:pPr>
        <w:ind w:firstLine="560" w:firstLineChars="200"/>
        <w:rPr>
          <w:rFonts w:ascii="Times New Roman" w:hAnsi="Times New Roman"/>
        </w:rPr>
      </w:pPr>
      <w:r>
        <w:rPr>
          <w:rFonts w:hint="eastAsia" w:ascii="Times New Roman" w:hAnsi="Times New Roman" w:cs="Times New Roman"/>
          <w:szCs w:val="28"/>
        </w:rPr>
        <w:t>工作组在明确委托方要求的基础上，对惠安县财务局所收集的评价工作所需的基础材料（包括：项目绩效自评报告、绩效目标自评表及相关佐证材料；资金拨付材料；项目实施制度及资金管理办法；资金支出明细账、决算报表、结算验收有关材料），自行收集省内其他地市的相关政策及政策实施状况，其他相关文献资料等。</w:t>
      </w:r>
      <w:r>
        <w:rPr>
          <w:rFonts w:ascii="Times New Roman" w:hAnsi="Times New Roman" w:cs="Times New Roman"/>
          <w:szCs w:val="28"/>
        </w:rPr>
        <w:t>2023</w:t>
      </w:r>
      <w:r>
        <w:rPr>
          <w:rFonts w:hint="eastAsia" w:ascii="Times New Roman" w:hAnsi="Times New Roman" w:cs="Times New Roman"/>
          <w:szCs w:val="28"/>
        </w:rPr>
        <w:t>年</w:t>
      </w:r>
      <w:r>
        <w:rPr>
          <w:rFonts w:ascii="Times New Roman" w:hAnsi="Times New Roman" w:cs="Times New Roman"/>
          <w:szCs w:val="28"/>
        </w:rPr>
        <w:t>9</w:t>
      </w:r>
      <w:r>
        <w:rPr>
          <w:rFonts w:hint="eastAsia" w:ascii="Times New Roman" w:hAnsi="Times New Roman" w:cs="Times New Roman"/>
          <w:szCs w:val="28"/>
        </w:rPr>
        <w:t>月上旬开始，工作组对收集的数据和资料进行整理、汇总、分析。</w:t>
      </w:r>
      <w:r>
        <w:rPr>
          <w:rFonts w:ascii="Times New Roman" w:hAnsi="Times New Roman" w:cs="Times New Roman"/>
          <w:szCs w:val="28"/>
        </w:rPr>
        <w:t>2023</w:t>
      </w:r>
      <w:r>
        <w:rPr>
          <w:rFonts w:hint="eastAsia" w:ascii="Times New Roman" w:hAnsi="Times New Roman" w:cs="Times New Roman"/>
          <w:szCs w:val="28"/>
        </w:rPr>
        <w:t>年</w:t>
      </w:r>
      <w:r>
        <w:rPr>
          <w:rFonts w:ascii="Times New Roman" w:hAnsi="Times New Roman" w:cs="Times New Roman"/>
          <w:szCs w:val="28"/>
        </w:rPr>
        <w:t>9</w:t>
      </w:r>
      <w:r>
        <w:rPr>
          <w:rFonts w:hint="eastAsia" w:ascii="Times New Roman" w:hAnsi="Times New Roman" w:cs="Times New Roman"/>
          <w:szCs w:val="28"/>
        </w:rPr>
        <w:t>月下旬，在惠安市财政局的支持下，通过实地调研和同项目相关部门会谈，初步了解项目设立和具体运行的情况。工作组在对项目相关资料充分收集的基础上，结合项目的实际情况，对评价指标体系进行了初步设置。</w:t>
      </w:r>
    </w:p>
    <w:p>
      <w:pPr>
        <w:ind w:firstLine="560" w:firstLineChars="200"/>
        <w:rPr>
          <w:rFonts w:ascii="Times New Roman" w:hAnsi="Times New Roman" w:cs="Times New Roman"/>
          <w:szCs w:val="28"/>
        </w:rPr>
      </w:pPr>
      <w:r>
        <w:rPr>
          <w:rFonts w:ascii="Times New Roman" w:hAnsi="Times New Roman" w:cs="Times New Roman"/>
          <w:szCs w:val="28"/>
        </w:rPr>
        <w:t>3.</w:t>
      </w:r>
      <w:r>
        <w:rPr>
          <w:rFonts w:hint="eastAsia" w:ascii="Times New Roman" w:hAnsi="Times New Roman" w:cs="Times New Roman"/>
          <w:szCs w:val="28"/>
        </w:rPr>
        <w:t>制定实施方案</w:t>
      </w:r>
    </w:p>
    <w:p>
      <w:pPr>
        <w:ind w:firstLine="560" w:firstLineChars="200"/>
        <w:rPr>
          <w:rFonts w:ascii="Times New Roman" w:hAnsi="Times New Roman" w:cs="Times New Roman"/>
          <w:szCs w:val="28"/>
        </w:rPr>
      </w:pPr>
      <w:r>
        <w:rPr>
          <w:rFonts w:hint="eastAsia" w:ascii="Times New Roman" w:hAnsi="Times New Roman" w:cs="Times New Roman"/>
          <w:szCs w:val="28"/>
        </w:rPr>
        <w:t>在收集和审核项目资料的基础上，根据《第三方机构预算绩效评价业务监督管理暂行办法》（财监〔</w:t>
      </w:r>
      <w:r>
        <w:rPr>
          <w:rFonts w:ascii="Times New Roman" w:hAnsi="Times New Roman" w:cs="Times New Roman"/>
          <w:szCs w:val="28"/>
        </w:rPr>
        <w:t>2021</w:t>
      </w:r>
      <w:r>
        <w:rPr>
          <w:rFonts w:hint="eastAsia" w:ascii="Times New Roman" w:hAnsi="Times New Roman" w:cs="Times New Roman"/>
          <w:szCs w:val="28"/>
        </w:rPr>
        <w:t>〕</w:t>
      </w:r>
      <w:r>
        <w:rPr>
          <w:rFonts w:ascii="Times New Roman" w:hAnsi="Times New Roman" w:cs="Times New Roman"/>
          <w:szCs w:val="28"/>
        </w:rPr>
        <w:t>4</w:t>
      </w:r>
      <w:r>
        <w:rPr>
          <w:rFonts w:hint="eastAsia" w:ascii="Times New Roman" w:hAnsi="Times New Roman" w:cs="Times New Roman"/>
          <w:szCs w:val="28"/>
        </w:rPr>
        <w:t>号）和《财政部关于印发项目支出绩效评价管理办法的通知》（财预〔</w:t>
      </w:r>
      <w:r>
        <w:rPr>
          <w:rFonts w:ascii="Times New Roman" w:hAnsi="Times New Roman" w:cs="Times New Roman"/>
          <w:szCs w:val="28"/>
        </w:rPr>
        <w:t>2020</w:t>
      </w:r>
      <w:r>
        <w:rPr>
          <w:rFonts w:hint="eastAsia" w:ascii="Times New Roman" w:hAnsi="Times New Roman" w:cs="Times New Roman"/>
          <w:szCs w:val="28"/>
        </w:rPr>
        <w:t>〕</w:t>
      </w:r>
      <w:r>
        <w:rPr>
          <w:rFonts w:ascii="Times New Roman" w:hAnsi="Times New Roman" w:cs="Times New Roman"/>
          <w:szCs w:val="28"/>
        </w:rPr>
        <w:t>10</w:t>
      </w:r>
      <w:r>
        <w:rPr>
          <w:rFonts w:hint="eastAsia" w:ascii="Times New Roman" w:hAnsi="Times New Roman" w:cs="Times New Roman"/>
          <w:szCs w:val="28"/>
        </w:rPr>
        <w:t>号）要求，工作组进一步完善项目绩效评价指标体系并制定实施方案。方案中明确了本次绩效评价的人员配置、时间安排、评价目的、评价内容、评价依据、评价方法、指标体系、评价标准、样本确定、调查问卷、资料清单以及工作纪律等。</w:t>
      </w:r>
    </w:p>
    <w:p>
      <w:pPr>
        <w:ind w:firstLine="562" w:firstLineChars="200"/>
        <w:outlineLvl w:val="2"/>
        <w:rPr>
          <w:rFonts w:ascii="Times New Roman" w:hAnsi="Times New Roman" w:cs="Times New Roman"/>
          <w:b/>
          <w:bCs/>
          <w:szCs w:val="28"/>
        </w:rPr>
      </w:pPr>
      <w:bookmarkStart w:id="65" w:name="_Toc152320460"/>
      <w:r>
        <w:rPr>
          <w:rFonts w:hint="eastAsia" w:ascii="Times New Roman" w:hAnsi="Times New Roman" w:cs="Times New Roman"/>
          <w:b/>
          <w:bCs/>
          <w:szCs w:val="28"/>
        </w:rPr>
        <w:t>（二）组织实施阶段</w:t>
      </w:r>
      <w:bookmarkEnd w:id="65"/>
    </w:p>
    <w:p>
      <w:pPr>
        <w:ind w:firstLine="560" w:firstLineChars="200"/>
        <w:rPr>
          <w:rFonts w:ascii="Times New Roman" w:hAnsi="Times New Roman" w:cs="Times New Roman"/>
          <w:szCs w:val="28"/>
        </w:rPr>
      </w:pPr>
      <w:r>
        <w:rPr>
          <w:rFonts w:hint="eastAsia" w:ascii="Times New Roman" w:hAnsi="Times New Roman" w:cs="Times New Roman"/>
          <w:szCs w:val="28"/>
        </w:rPr>
        <w:t>为获取更多第一手客观的评价依据，工作组在与项目单位进行充分沟通的基础上，并赴惠安县展开现场调研。在现场调研过程中，工作组充分了解项目实施情况，查看相关材料和工作记录，核实资金支出的方向和用途，并将前期梳理的疑问与项目单位交换了意见。</w:t>
      </w:r>
    </w:p>
    <w:p>
      <w:pPr>
        <w:ind w:firstLine="562" w:firstLineChars="200"/>
        <w:outlineLvl w:val="2"/>
        <w:rPr>
          <w:rFonts w:ascii="Times New Roman" w:hAnsi="Times New Roman" w:cs="Times New Roman"/>
          <w:b/>
          <w:bCs/>
          <w:szCs w:val="28"/>
        </w:rPr>
      </w:pPr>
      <w:bookmarkStart w:id="66" w:name="_Toc152320461"/>
      <w:r>
        <w:rPr>
          <w:rFonts w:hint="eastAsia" w:ascii="Times New Roman" w:hAnsi="Times New Roman" w:cs="Times New Roman"/>
          <w:b/>
          <w:bCs/>
          <w:szCs w:val="28"/>
        </w:rPr>
        <w:t>（三）报告形成阶段</w:t>
      </w:r>
      <w:bookmarkEnd w:id="66"/>
    </w:p>
    <w:p>
      <w:pPr>
        <w:ind w:firstLine="560" w:firstLineChars="200"/>
        <w:rPr>
          <w:rFonts w:ascii="Times New Roman" w:hAnsi="Times New Roman" w:cs="Times New Roman"/>
          <w:szCs w:val="28"/>
        </w:rPr>
      </w:pPr>
      <w:r>
        <w:rPr>
          <w:rFonts w:hint="eastAsia" w:ascii="Times New Roman" w:hAnsi="Times New Roman" w:cs="Times New Roman"/>
          <w:szCs w:val="28"/>
        </w:rPr>
        <w:t>综合前期收集和审核的项目资料、</w:t>
      </w:r>
      <w:r>
        <w:rPr>
          <w:rFonts w:ascii="Times New Roman" w:hAnsi="Times New Roman" w:cs="Times New Roman"/>
          <w:szCs w:val="28"/>
        </w:rPr>
        <w:drawing>
          <wp:inline distT="0" distB="0" distL="0" distR="0">
            <wp:extent cx="9525" cy="9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inline>
        </w:drawing>
      </w:r>
      <w:r>
        <w:rPr>
          <w:rFonts w:hint="eastAsia" w:ascii="Times New Roman" w:hAnsi="Times New Roman" w:cs="Times New Roman"/>
          <w:szCs w:val="28"/>
        </w:rPr>
        <w:t>现场调研的结果等情况，工作组对项目情况进行了综合分析，并按照规定的文本格式和相关要求撰写了评价报告。工作组根据评价的分值，确定项目最终等级。评价等级分为优、良、中、差四个等级，如表</w:t>
      </w:r>
      <w:r>
        <w:rPr>
          <w:rFonts w:ascii="Times New Roman" w:hAnsi="Times New Roman" w:cs="Times New Roman"/>
          <w:szCs w:val="28"/>
        </w:rPr>
        <w:t>3</w:t>
      </w:r>
      <w:r>
        <w:rPr>
          <w:rFonts w:hint="eastAsia" w:ascii="Times New Roman" w:hAnsi="Times New Roman" w:cs="Times New Roman"/>
          <w:szCs w:val="28"/>
        </w:rPr>
        <w:t>所示。</w:t>
      </w:r>
    </w:p>
    <w:p>
      <w:pPr>
        <w:ind w:firstLine="560" w:firstLineChars="200"/>
        <w:rPr>
          <w:rFonts w:ascii="Times New Roman" w:hAnsi="Times New Roman"/>
        </w:rPr>
      </w:pPr>
    </w:p>
    <w:p>
      <w:pPr>
        <w:ind w:firstLine="482" w:firstLineChars="200"/>
        <w:jc w:val="center"/>
        <w:rPr>
          <w:rFonts w:ascii="Times New Roman" w:hAnsi="Times New Roman"/>
          <w:b/>
          <w:bCs/>
          <w:sz w:val="24"/>
        </w:rPr>
      </w:pPr>
      <w:r>
        <w:rPr>
          <w:rFonts w:hint="eastAsia" w:ascii="Times New Roman" w:hAnsi="Times New Roman"/>
          <w:b/>
          <w:bCs/>
          <w:sz w:val="24"/>
        </w:rPr>
        <w:t>表</w:t>
      </w:r>
      <w:r>
        <w:rPr>
          <w:rFonts w:ascii="Times New Roman" w:hAnsi="Times New Roman" w:cs="Times New Roman"/>
          <w:b/>
          <w:bCs/>
          <w:sz w:val="24"/>
        </w:rPr>
        <w:t>3</w:t>
      </w:r>
      <w:r>
        <w:rPr>
          <w:rFonts w:hint="eastAsia" w:ascii="Times New Roman" w:hAnsi="Times New Roman"/>
          <w:b/>
          <w:bCs/>
          <w:sz w:val="24"/>
        </w:rPr>
        <w:t xml:space="preserve"> </w:t>
      </w:r>
      <w:r>
        <w:rPr>
          <w:rFonts w:ascii="Times New Roman" w:hAnsi="Times New Roman"/>
          <w:b/>
          <w:bCs/>
          <w:sz w:val="24"/>
        </w:rPr>
        <w:t xml:space="preserve"> </w:t>
      </w:r>
      <w:r>
        <w:rPr>
          <w:rFonts w:hint="eastAsia" w:ascii="Times New Roman" w:hAnsi="Times New Roman"/>
          <w:b/>
          <w:bCs/>
          <w:sz w:val="24"/>
        </w:rPr>
        <w:t>评价得分与等级对应表</w:t>
      </w:r>
    </w:p>
    <w:bookmarkEnd w:id="63"/>
    <w:tbl>
      <w:tblPr>
        <w:tblStyle w:val="13"/>
        <w:tblW w:w="8757"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1"/>
        <w:gridCol w:w="1525"/>
        <w:gridCol w:w="2270"/>
        <w:gridCol w:w="2193"/>
        <w:gridCol w:w="1918"/>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851" w:type="dxa"/>
            <w:tcBorders>
              <w:bottom w:val="single" w:color="auto" w:sz="4" w:space="0"/>
            </w:tcBorders>
            <w:vAlign w:val="center"/>
          </w:tcPr>
          <w:p>
            <w:pPr>
              <w:spacing w:line="240" w:lineRule="auto"/>
              <w:rPr>
                <w:rFonts w:ascii="Times New Roman" w:hAnsi="Times New Roman"/>
                <w:kern w:val="44"/>
                <w:sz w:val="22"/>
                <w:szCs w:val="22"/>
              </w:rPr>
            </w:pPr>
            <w:r>
              <w:rPr>
                <w:rFonts w:hint="eastAsia" w:ascii="Times New Roman" w:hAnsi="Times New Roman"/>
                <w:kern w:val="44"/>
                <w:sz w:val="22"/>
                <w:szCs w:val="22"/>
              </w:rPr>
              <w:t>等级</w:t>
            </w:r>
          </w:p>
        </w:tc>
        <w:tc>
          <w:tcPr>
            <w:tcW w:w="1525" w:type="dxa"/>
            <w:tcBorders>
              <w:bottom w:val="single" w:color="auto" w:sz="4" w:space="0"/>
            </w:tcBorders>
            <w:vAlign w:val="center"/>
          </w:tcPr>
          <w:p>
            <w:pPr>
              <w:spacing w:line="240" w:lineRule="auto"/>
              <w:jc w:val="center"/>
              <w:rPr>
                <w:rFonts w:ascii="Times New Roman" w:hAnsi="Times New Roman"/>
                <w:kern w:val="44"/>
                <w:sz w:val="22"/>
                <w:szCs w:val="22"/>
              </w:rPr>
            </w:pPr>
            <w:r>
              <w:rPr>
                <w:rFonts w:hint="eastAsia" w:ascii="Times New Roman" w:hAnsi="Times New Roman"/>
                <w:kern w:val="44"/>
                <w:sz w:val="22"/>
                <w:szCs w:val="22"/>
              </w:rPr>
              <w:t>优</w:t>
            </w:r>
          </w:p>
        </w:tc>
        <w:tc>
          <w:tcPr>
            <w:tcW w:w="2270" w:type="dxa"/>
            <w:tcBorders>
              <w:bottom w:val="single" w:color="auto" w:sz="4" w:space="0"/>
            </w:tcBorders>
            <w:vAlign w:val="center"/>
          </w:tcPr>
          <w:p>
            <w:pPr>
              <w:spacing w:line="240" w:lineRule="auto"/>
              <w:jc w:val="center"/>
              <w:rPr>
                <w:rFonts w:ascii="Times New Roman" w:hAnsi="Times New Roman"/>
                <w:kern w:val="44"/>
                <w:sz w:val="22"/>
                <w:szCs w:val="22"/>
              </w:rPr>
            </w:pPr>
            <w:r>
              <w:rPr>
                <w:rFonts w:hint="eastAsia" w:ascii="Times New Roman" w:hAnsi="Times New Roman"/>
                <w:kern w:val="44"/>
                <w:sz w:val="22"/>
                <w:szCs w:val="22"/>
              </w:rPr>
              <w:t>良</w:t>
            </w:r>
          </w:p>
        </w:tc>
        <w:tc>
          <w:tcPr>
            <w:tcW w:w="2193" w:type="dxa"/>
            <w:tcBorders>
              <w:bottom w:val="single" w:color="auto" w:sz="4" w:space="0"/>
            </w:tcBorders>
            <w:vAlign w:val="center"/>
          </w:tcPr>
          <w:p>
            <w:pPr>
              <w:spacing w:line="240" w:lineRule="auto"/>
              <w:jc w:val="center"/>
              <w:rPr>
                <w:rFonts w:ascii="Times New Roman" w:hAnsi="Times New Roman"/>
                <w:kern w:val="44"/>
                <w:sz w:val="22"/>
                <w:szCs w:val="22"/>
              </w:rPr>
            </w:pPr>
            <w:r>
              <w:rPr>
                <w:rFonts w:hint="eastAsia" w:ascii="Times New Roman" w:hAnsi="Times New Roman"/>
                <w:kern w:val="44"/>
                <w:sz w:val="22"/>
                <w:szCs w:val="22"/>
              </w:rPr>
              <w:t>中</w:t>
            </w:r>
          </w:p>
        </w:tc>
        <w:tc>
          <w:tcPr>
            <w:tcW w:w="1918" w:type="dxa"/>
            <w:tcBorders>
              <w:bottom w:val="single" w:color="auto" w:sz="4" w:space="0"/>
            </w:tcBorders>
            <w:vAlign w:val="center"/>
          </w:tcPr>
          <w:p>
            <w:pPr>
              <w:spacing w:line="240" w:lineRule="auto"/>
              <w:jc w:val="center"/>
              <w:rPr>
                <w:rFonts w:ascii="Times New Roman" w:hAnsi="Times New Roman"/>
                <w:kern w:val="44"/>
                <w:sz w:val="22"/>
                <w:szCs w:val="22"/>
              </w:rPr>
            </w:pPr>
            <w:r>
              <w:rPr>
                <w:rFonts w:hint="eastAsia" w:ascii="Times New Roman" w:hAnsi="Times New Roman"/>
                <w:kern w:val="44"/>
                <w:sz w:val="22"/>
                <w:szCs w:val="22"/>
              </w:rPr>
              <w:t>差</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851" w:type="dxa"/>
            <w:tcBorders>
              <w:top w:val="single" w:color="auto" w:sz="4" w:space="0"/>
              <w:bottom w:val="single" w:color="auto" w:sz="12" w:space="0"/>
            </w:tcBorders>
            <w:vAlign w:val="center"/>
          </w:tcPr>
          <w:p>
            <w:pPr>
              <w:spacing w:line="240" w:lineRule="auto"/>
              <w:rPr>
                <w:rFonts w:ascii="Times New Roman" w:hAnsi="Times New Roman"/>
                <w:kern w:val="44"/>
                <w:sz w:val="22"/>
                <w:szCs w:val="22"/>
              </w:rPr>
            </w:pPr>
            <w:r>
              <w:rPr>
                <w:rFonts w:hint="eastAsia" w:ascii="Times New Roman" w:hAnsi="Times New Roman"/>
                <w:kern w:val="44"/>
                <w:sz w:val="22"/>
                <w:szCs w:val="22"/>
              </w:rPr>
              <w:t>标准</w:t>
            </w:r>
          </w:p>
        </w:tc>
        <w:tc>
          <w:tcPr>
            <w:tcW w:w="1525" w:type="dxa"/>
            <w:tcBorders>
              <w:top w:val="single" w:color="auto" w:sz="4" w:space="0"/>
              <w:bottom w:val="single" w:color="auto" w:sz="12" w:space="0"/>
            </w:tcBorders>
            <w:vAlign w:val="center"/>
          </w:tcPr>
          <w:p>
            <w:pPr>
              <w:spacing w:line="240" w:lineRule="auto"/>
              <w:jc w:val="center"/>
              <w:rPr>
                <w:rFonts w:ascii="Times New Roman" w:hAnsi="Times New Roman"/>
                <w:kern w:val="44"/>
                <w:sz w:val="22"/>
                <w:szCs w:val="22"/>
              </w:rPr>
            </w:pPr>
            <w:r>
              <w:rPr>
                <w:rFonts w:ascii="Times New Roman" w:hAnsi="Times New Roman"/>
                <w:kern w:val="44"/>
                <w:sz w:val="22"/>
                <w:szCs w:val="22"/>
              </w:rPr>
              <w:t>≥</w:t>
            </w:r>
            <w:r>
              <w:rPr>
                <w:rFonts w:ascii="Times New Roman" w:hAnsi="Times New Roman" w:cs="Times New Roman"/>
                <w:kern w:val="44"/>
                <w:sz w:val="22"/>
                <w:szCs w:val="22"/>
              </w:rPr>
              <w:t>90</w:t>
            </w:r>
            <w:r>
              <w:rPr>
                <w:rFonts w:hint="eastAsia" w:ascii="Times New Roman" w:hAnsi="Times New Roman"/>
                <w:kern w:val="44"/>
                <w:sz w:val="22"/>
                <w:szCs w:val="22"/>
              </w:rPr>
              <w:t>分</w:t>
            </w:r>
          </w:p>
        </w:tc>
        <w:tc>
          <w:tcPr>
            <w:tcW w:w="2270" w:type="dxa"/>
            <w:tcBorders>
              <w:top w:val="single" w:color="auto" w:sz="4" w:space="0"/>
              <w:bottom w:val="single" w:color="auto" w:sz="12" w:space="0"/>
            </w:tcBorders>
            <w:vAlign w:val="center"/>
          </w:tcPr>
          <w:p>
            <w:pPr>
              <w:spacing w:line="240" w:lineRule="auto"/>
              <w:jc w:val="center"/>
              <w:rPr>
                <w:rFonts w:ascii="Times New Roman" w:hAnsi="Times New Roman"/>
                <w:kern w:val="44"/>
                <w:sz w:val="22"/>
                <w:szCs w:val="22"/>
              </w:rPr>
            </w:pPr>
            <w:r>
              <w:rPr>
                <w:rFonts w:ascii="Times New Roman" w:hAnsi="Times New Roman" w:cs="Times New Roman"/>
                <w:kern w:val="44"/>
                <w:sz w:val="22"/>
                <w:szCs w:val="22"/>
              </w:rPr>
              <w:t>90</w:t>
            </w:r>
            <w:r>
              <w:rPr>
                <w:rFonts w:ascii="Times New Roman" w:hAnsi="Times New Roman"/>
                <w:kern w:val="44"/>
                <w:sz w:val="22"/>
                <w:szCs w:val="22"/>
              </w:rPr>
              <w:t>&gt;</w:t>
            </w:r>
            <w:r>
              <w:rPr>
                <w:rFonts w:hint="eastAsia" w:ascii="Times New Roman" w:hAnsi="Times New Roman"/>
                <w:kern w:val="44"/>
                <w:sz w:val="22"/>
                <w:szCs w:val="22"/>
              </w:rPr>
              <w:t>得分</w:t>
            </w:r>
            <w:r>
              <w:rPr>
                <w:rFonts w:ascii="Times New Roman" w:hAnsi="Times New Roman"/>
                <w:kern w:val="44"/>
                <w:sz w:val="22"/>
                <w:szCs w:val="22"/>
              </w:rPr>
              <w:t>≥</w:t>
            </w:r>
            <w:r>
              <w:rPr>
                <w:rFonts w:ascii="Times New Roman" w:hAnsi="Times New Roman" w:cs="Times New Roman"/>
                <w:kern w:val="44"/>
                <w:sz w:val="22"/>
                <w:szCs w:val="22"/>
              </w:rPr>
              <w:t>80</w:t>
            </w:r>
            <w:r>
              <w:rPr>
                <w:rFonts w:hint="eastAsia" w:ascii="Times New Roman" w:hAnsi="Times New Roman"/>
                <w:kern w:val="44"/>
                <w:sz w:val="22"/>
                <w:szCs w:val="22"/>
              </w:rPr>
              <w:t>分</w:t>
            </w:r>
          </w:p>
        </w:tc>
        <w:tc>
          <w:tcPr>
            <w:tcW w:w="2193" w:type="dxa"/>
            <w:tcBorders>
              <w:top w:val="single" w:color="auto" w:sz="4" w:space="0"/>
              <w:bottom w:val="single" w:color="auto" w:sz="12" w:space="0"/>
            </w:tcBorders>
            <w:vAlign w:val="center"/>
          </w:tcPr>
          <w:p>
            <w:pPr>
              <w:spacing w:line="240" w:lineRule="auto"/>
              <w:jc w:val="center"/>
              <w:rPr>
                <w:rFonts w:ascii="Times New Roman" w:hAnsi="Times New Roman"/>
                <w:kern w:val="44"/>
                <w:sz w:val="22"/>
                <w:szCs w:val="22"/>
              </w:rPr>
            </w:pPr>
            <w:r>
              <w:rPr>
                <w:rFonts w:ascii="Times New Roman" w:hAnsi="Times New Roman" w:cs="Times New Roman"/>
                <w:kern w:val="44"/>
                <w:sz w:val="22"/>
                <w:szCs w:val="22"/>
              </w:rPr>
              <w:t>80</w:t>
            </w:r>
            <w:r>
              <w:rPr>
                <w:rFonts w:ascii="Times New Roman" w:hAnsi="Times New Roman"/>
                <w:kern w:val="44"/>
                <w:sz w:val="22"/>
                <w:szCs w:val="22"/>
              </w:rPr>
              <w:t>&gt;</w:t>
            </w:r>
            <w:r>
              <w:rPr>
                <w:rFonts w:hint="eastAsia" w:ascii="Times New Roman" w:hAnsi="Times New Roman"/>
                <w:kern w:val="44"/>
                <w:sz w:val="22"/>
                <w:szCs w:val="22"/>
              </w:rPr>
              <w:t>得分</w:t>
            </w:r>
            <w:r>
              <w:rPr>
                <w:rFonts w:ascii="Times New Roman" w:hAnsi="Times New Roman"/>
                <w:kern w:val="44"/>
                <w:sz w:val="22"/>
                <w:szCs w:val="22"/>
              </w:rPr>
              <w:t>≥</w:t>
            </w:r>
            <w:r>
              <w:rPr>
                <w:rFonts w:ascii="Times New Roman" w:hAnsi="Times New Roman" w:cs="Times New Roman"/>
                <w:kern w:val="44"/>
                <w:sz w:val="22"/>
                <w:szCs w:val="22"/>
              </w:rPr>
              <w:t>60</w:t>
            </w:r>
            <w:r>
              <w:rPr>
                <w:rFonts w:hint="eastAsia" w:ascii="Times New Roman" w:hAnsi="Times New Roman"/>
                <w:kern w:val="44"/>
                <w:sz w:val="22"/>
                <w:szCs w:val="22"/>
              </w:rPr>
              <w:t>分</w:t>
            </w:r>
          </w:p>
        </w:tc>
        <w:tc>
          <w:tcPr>
            <w:tcW w:w="1918" w:type="dxa"/>
            <w:tcBorders>
              <w:top w:val="single" w:color="auto" w:sz="4" w:space="0"/>
              <w:bottom w:val="single" w:color="auto" w:sz="12" w:space="0"/>
            </w:tcBorders>
            <w:vAlign w:val="center"/>
          </w:tcPr>
          <w:p>
            <w:pPr>
              <w:spacing w:line="240" w:lineRule="auto"/>
              <w:jc w:val="center"/>
              <w:rPr>
                <w:rFonts w:ascii="Times New Roman" w:hAnsi="Times New Roman"/>
                <w:kern w:val="44"/>
                <w:sz w:val="22"/>
                <w:szCs w:val="22"/>
              </w:rPr>
            </w:pPr>
            <w:r>
              <w:rPr>
                <w:rFonts w:hint="eastAsia" w:ascii="Times New Roman" w:hAnsi="Times New Roman"/>
                <w:kern w:val="44"/>
                <w:sz w:val="22"/>
                <w:szCs w:val="22"/>
              </w:rPr>
              <w:t>得分＜</w:t>
            </w:r>
            <w:r>
              <w:rPr>
                <w:rFonts w:ascii="Times New Roman" w:hAnsi="Times New Roman" w:cs="Times New Roman"/>
                <w:kern w:val="44"/>
                <w:sz w:val="22"/>
                <w:szCs w:val="22"/>
              </w:rPr>
              <w:t>60</w:t>
            </w:r>
            <w:r>
              <w:rPr>
                <w:rFonts w:hint="eastAsia" w:ascii="Times New Roman" w:hAnsi="Times New Roman"/>
                <w:kern w:val="44"/>
                <w:sz w:val="22"/>
                <w:szCs w:val="22"/>
              </w:rPr>
              <w:t>分</w:t>
            </w:r>
          </w:p>
        </w:tc>
      </w:tr>
    </w:tbl>
    <w:p>
      <w:pPr>
        <w:widowControl/>
        <w:spacing w:line="240" w:lineRule="auto"/>
        <w:jc w:val="left"/>
        <w:rPr>
          <w:rFonts w:ascii="Times New Roman" w:hAnsi="Times New Roman" w:cs="黑体"/>
          <w:sz w:val="32"/>
          <w:szCs w:val="32"/>
        </w:rPr>
      </w:pPr>
    </w:p>
    <w:p>
      <w:pPr>
        <w:widowControl/>
        <w:spacing w:line="240" w:lineRule="auto"/>
        <w:jc w:val="left"/>
        <w:rPr>
          <w:rFonts w:ascii="Times New Roman" w:hAnsi="Times New Roman" w:cs="黑体"/>
          <w:sz w:val="32"/>
          <w:szCs w:val="32"/>
        </w:rPr>
      </w:pPr>
      <w:r>
        <w:rPr>
          <w:rFonts w:ascii="Times New Roman" w:hAnsi="Times New Roman" w:cs="黑体"/>
          <w:sz w:val="32"/>
          <w:szCs w:val="32"/>
        </w:rPr>
        <w:br w:type="page"/>
      </w:r>
    </w:p>
    <w:p>
      <w:pPr>
        <w:widowControl/>
        <w:spacing w:line="240" w:lineRule="auto"/>
        <w:jc w:val="left"/>
        <w:rPr>
          <w:rFonts w:ascii="Times New Roman" w:hAnsi="Times New Roman" w:cs="黑体"/>
          <w:sz w:val="32"/>
          <w:szCs w:val="32"/>
        </w:rPr>
      </w:pPr>
    </w:p>
    <w:p>
      <w:pPr>
        <w:jc w:val="center"/>
        <w:outlineLvl w:val="0"/>
        <w:rPr>
          <w:rFonts w:ascii="Times New Roman" w:hAnsi="Times New Roman" w:cs="楷体"/>
          <w:b/>
          <w:bCs/>
          <w:sz w:val="36"/>
          <w:szCs w:val="36"/>
        </w:rPr>
      </w:pPr>
      <w:bookmarkStart w:id="67" w:name="_Toc152320462"/>
      <w:bookmarkStart w:id="68" w:name="_Toc124892215"/>
      <w:bookmarkStart w:id="69" w:name="_Toc1080104207"/>
      <w:r>
        <w:rPr>
          <w:rFonts w:hint="eastAsia" w:ascii="Times New Roman" w:hAnsi="Times New Roman" w:cs="楷体"/>
          <w:b/>
          <w:bCs/>
          <w:sz w:val="36"/>
          <w:szCs w:val="36"/>
        </w:rPr>
        <w:t>第三部分</w:t>
      </w:r>
      <w:r>
        <w:rPr>
          <w:rFonts w:ascii="Times New Roman" w:hAnsi="Times New Roman" w:cs="楷体"/>
          <w:b/>
          <w:bCs/>
          <w:sz w:val="36"/>
          <w:szCs w:val="36"/>
        </w:rPr>
        <w:t xml:space="preserve"> </w:t>
      </w:r>
      <w:r>
        <w:rPr>
          <w:rFonts w:hint="eastAsia" w:ascii="Times New Roman" w:hAnsi="Times New Roman" w:cs="楷体"/>
          <w:b/>
          <w:bCs/>
          <w:sz w:val="36"/>
          <w:szCs w:val="36"/>
        </w:rPr>
        <w:t>绩效评价结果</w:t>
      </w:r>
      <w:bookmarkEnd w:id="67"/>
      <w:bookmarkEnd w:id="68"/>
      <w:bookmarkEnd w:id="69"/>
    </w:p>
    <w:p>
      <w:pPr>
        <w:rPr>
          <w:rFonts w:ascii="Times New Roman" w:hAnsi="Times New Roman"/>
          <w:sz w:val="24"/>
        </w:rPr>
      </w:pPr>
    </w:p>
    <w:p>
      <w:pPr>
        <w:spacing w:before="156" w:beforeLines="50" w:after="156" w:afterLines="50"/>
        <w:ind w:firstLine="643" w:firstLineChars="200"/>
        <w:outlineLvl w:val="1"/>
        <w:rPr>
          <w:rFonts w:ascii="Times New Roman" w:hAnsi="Times New Roman" w:cs="黑体"/>
          <w:b/>
          <w:bCs/>
          <w:sz w:val="32"/>
          <w:szCs w:val="32"/>
        </w:rPr>
      </w:pPr>
      <w:bookmarkStart w:id="70" w:name="_Toc124892216"/>
      <w:bookmarkStart w:id="71" w:name="_Toc152320463"/>
      <w:bookmarkStart w:id="72" w:name="_Toc1103246537"/>
      <w:r>
        <w:rPr>
          <w:rFonts w:hint="eastAsia" w:ascii="Times New Roman" w:hAnsi="Times New Roman" w:cs="黑体"/>
          <w:b/>
          <w:bCs/>
          <w:sz w:val="32"/>
          <w:szCs w:val="32"/>
        </w:rPr>
        <w:t>一、绩效评价得分情况</w:t>
      </w:r>
      <w:bookmarkEnd w:id="70"/>
      <w:bookmarkEnd w:id="71"/>
      <w:bookmarkEnd w:id="72"/>
    </w:p>
    <w:p>
      <w:pPr>
        <w:ind w:firstLine="560" w:firstLineChars="200"/>
        <w:rPr>
          <w:rFonts w:ascii="Times New Roman" w:hAnsi="Times New Roman" w:cs="Times New Roman"/>
          <w:szCs w:val="28"/>
        </w:rPr>
      </w:pPr>
      <w:r>
        <w:rPr>
          <w:rFonts w:hint="eastAsia" w:ascii="Times New Roman" w:hAnsi="Times New Roman" w:cs="Times New Roman"/>
          <w:szCs w:val="28"/>
        </w:rPr>
        <w:t>据绩效评价指标体系，结合专项资金的实施情况，</w:t>
      </w:r>
      <w:r>
        <w:rPr>
          <w:rFonts w:ascii="Times New Roman" w:hAnsi="Times New Roman" w:cs="Times New Roman"/>
          <w:szCs w:val="28"/>
        </w:rPr>
        <w:t>2021-2022</w:t>
      </w:r>
      <w:r>
        <w:rPr>
          <w:rFonts w:hint="eastAsia" w:ascii="Times New Roman" w:hAnsi="Times New Roman" w:cs="Times New Roman"/>
          <w:szCs w:val="28"/>
        </w:rPr>
        <w:t>年困难群众救助补助专项资金最终绩效评价得分为</w:t>
      </w:r>
      <w:r>
        <w:rPr>
          <w:rFonts w:ascii="Times New Roman" w:hAnsi="Times New Roman" w:cs="Times New Roman"/>
          <w:szCs w:val="28"/>
        </w:rPr>
        <w:t>88.81</w:t>
      </w:r>
      <w:r>
        <w:rPr>
          <w:rFonts w:hint="eastAsia" w:ascii="Times New Roman" w:hAnsi="Times New Roman" w:cs="Times New Roman"/>
          <w:szCs w:val="28"/>
        </w:rPr>
        <w:t>分，评价等级为“良好”。具体得分情况如表</w:t>
      </w:r>
      <w:r>
        <w:rPr>
          <w:rFonts w:ascii="Times New Roman" w:hAnsi="Times New Roman" w:cs="Times New Roman"/>
          <w:szCs w:val="28"/>
        </w:rPr>
        <w:t>4</w:t>
      </w:r>
      <w:r>
        <w:rPr>
          <w:rFonts w:hint="eastAsia" w:ascii="Times New Roman" w:hAnsi="Times New Roman" w:cs="Times New Roman"/>
          <w:szCs w:val="28"/>
        </w:rPr>
        <w:t>所示：</w:t>
      </w:r>
    </w:p>
    <w:p>
      <w:pPr>
        <w:ind w:firstLine="560" w:firstLineChars="200"/>
        <w:rPr>
          <w:rFonts w:ascii="Times New Roman" w:hAnsi="Times New Roman" w:cs="Times New Roman"/>
          <w:szCs w:val="28"/>
        </w:rPr>
      </w:pPr>
    </w:p>
    <w:p>
      <w:pPr>
        <w:ind w:firstLine="482" w:firstLineChars="200"/>
        <w:jc w:val="center"/>
        <w:rPr>
          <w:rFonts w:ascii="Times New Roman" w:hAnsi="Times New Roman"/>
          <w:b/>
          <w:bCs/>
          <w:sz w:val="24"/>
        </w:rPr>
      </w:pPr>
      <w:r>
        <w:rPr>
          <w:rFonts w:hint="eastAsia" w:ascii="Times New Roman" w:hAnsi="Times New Roman"/>
          <w:b/>
          <w:bCs/>
          <w:sz w:val="24"/>
        </w:rPr>
        <w:t>表</w:t>
      </w:r>
      <w:r>
        <w:rPr>
          <w:rFonts w:ascii="Times New Roman" w:hAnsi="Times New Roman" w:cs="Times New Roman"/>
          <w:b/>
          <w:bCs/>
          <w:sz w:val="24"/>
        </w:rPr>
        <w:t>4</w:t>
      </w:r>
      <w:r>
        <w:rPr>
          <w:rFonts w:hint="eastAsia" w:ascii="Times New Roman" w:hAnsi="Times New Roman"/>
          <w:b/>
          <w:bCs/>
          <w:sz w:val="24"/>
        </w:rPr>
        <w:t xml:space="preserve">  惠安县</w:t>
      </w:r>
      <w:r>
        <w:rPr>
          <w:rFonts w:ascii="Times New Roman" w:hAnsi="Times New Roman" w:cs="Times New Roman"/>
          <w:b/>
          <w:bCs/>
          <w:sz w:val="24"/>
        </w:rPr>
        <w:t>2022</w:t>
      </w:r>
      <w:r>
        <w:rPr>
          <w:rFonts w:hint="eastAsia" w:ascii="Times New Roman" w:hAnsi="Times New Roman"/>
          <w:b/>
          <w:bCs/>
          <w:sz w:val="24"/>
        </w:rPr>
        <w:t>年</w:t>
      </w:r>
      <w:bookmarkStart w:id="73" w:name="_Hlk151897737"/>
      <w:r>
        <w:rPr>
          <w:rFonts w:hint="eastAsia" w:ascii="Times New Roman" w:hAnsi="Times New Roman"/>
          <w:b/>
          <w:bCs/>
          <w:sz w:val="24"/>
        </w:rPr>
        <w:t>困难群众救助补助专项资金</w:t>
      </w:r>
      <w:bookmarkEnd w:id="73"/>
      <w:r>
        <w:rPr>
          <w:rFonts w:hint="eastAsia" w:ascii="Times New Roman" w:hAnsi="Times New Roman"/>
          <w:b/>
          <w:bCs/>
          <w:sz w:val="24"/>
        </w:rPr>
        <w:t>最终绩效评价得分详情</w:t>
      </w:r>
    </w:p>
    <w:tbl>
      <w:tblPr>
        <w:tblStyle w:val="13"/>
        <w:tblW w:w="8641" w:type="dxa"/>
        <w:tblInd w:w="0" w:type="dxa"/>
        <w:tblLayout w:type="autofit"/>
        <w:tblCellMar>
          <w:top w:w="0" w:type="dxa"/>
          <w:left w:w="108" w:type="dxa"/>
          <w:bottom w:w="0" w:type="dxa"/>
          <w:right w:w="108" w:type="dxa"/>
        </w:tblCellMar>
      </w:tblPr>
      <w:tblGrid>
        <w:gridCol w:w="1276"/>
        <w:gridCol w:w="2126"/>
        <w:gridCol w:w="4253"/>
        <w:gridCol w:w="986"/>
      </w:tblGrid>
      <w:tr>
        <w:tblPrEx>
          <w:tblCellMar>
            <w:top w:w="0" w:type="dxa"/>
            <w:left w:w="108" w:type="dxa"/>
            <w:bottom w:w="0" w:type="dxa"/>
            <w:right w:w="108" w:type="dxa"/>
          </w:tblCellMar>
        </w:tblPrEx>
        <w:trPr>
          <w:trHeight w:val="288" w:hRule="atLeast"/>
        </w:trPr>
        <w:tc>
          <w:tcPr>
            <w:tcW w:w="1276" w:type="dxa"/>
            <w:tcBorders>
              <w:top w:val="single" w:color="auto" w:sz="12" w:space="0"/>
              <w:bottom w:val="single" w:color="auto" w:sz="4" w:space="0"/>
            </w:tcBorders>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一级指标</w:t>
            </w:r>
          </w:p>
        </w:tc>
        <w:tc>
          <w:tcPr>
            <w:tcW w:w="2126" w:type="dxa"/>
            <w:tcBorders>
              <w:top w:val="single" w:color="auto" w:sz="12" w:space="0"/>
              <w:bottom w:val="single" w:color="auto" w:sz="4" w:space="0"/>
            </w:tcBorders>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二级指标</w:t>
            </w:r>
          </w:p>
        </w:tc>
        <w:tc>
          <w:tcPr>
            <w:tcW w:w="4253" w:type="dxa"/>
            <w:tcBorders>
              <w:top w:val="single" w:color="auto" w:sz="12" w:space="0"/>
              <w:bottom w:val="single" w:color="auto" w:sz="4" w:space="0"/>
            </w:tcBorders>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三级指标</w:t>
            </w:r>
          </w:p>
        </w:tc>
        <w:tc>
          <w:tcPr>
            <w:tcW w:w="986" w:type="dxa"/>
            <w:tcBorders>
              <w:top w:val="single" w:color="auto" w:sz="12" w:space="0"/>
              <w:bottom w:val="single" w:color="auto" w:sz="4" w:space="0"/>
            </w:tcBorders>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评分</w:t>
            </w:r>
          </w:p>
        </w:tc>
      </w:tr>
      <w:tr>
        <w:tblPrEx>
          <w:tblCellMar>
            <w:top w:w="0" w:type="dxa"/>
            <w:left w:w="108" w:type="dxa"/>
            <w:bottom w:w="0" w:type="dxa"/>
            <w:right w:w="108" w:type="dxa"/>
          </w:tblCellMar>
        </w:tblPrEx>
        <w:trPr>
          <w:trHeight w:val="288" w:hRule="atLeast"/>
        </w:trPr>
        <w:tc>
          <w:tcPr>
            <w:tcW w:w="1276" w:type="dxa"/>
            <w:vMerge w:val="restart"/>
            <w:tcBorders>
              <w:top w:val="single" w:color="auto" w:sz="4" w:space="0"/>
            </w:tcBorders>
            <w:shd w:val="clear" w:color="auto" w:fill="auto"/>
            <w:noWrap/>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决策指标（</w:t>
            </w:r>
            <w:r>
              <w:rPr>
                <w:rFonts w:ascii="Times New Roman" w:hAnsi="Times New Roman" w:cs="Times New Roman"/>
                <w:b/>
                <w:bCs/>
                <w:color w:val="000000"/>
                <w:kern w:val="0"/>
                <w:sz w:val="22"/>
                <w:szCs w:val="22"/>
              </w:rPr>
              <w:t>20</w:t>
            </w:r>
            <w:r>
              <w:rPr>
                <w:rFonts w:hint="eastAsia" w:ascii="Times New Roman" w:hAnsi="Times New Roman" w:cs="宋体"/>
                <w:b/>
                <w:bCs/>
                <w:color w:val="000000"/>
                <w:kern w:val="0"/>
                <w:sz w:val="22"/>
                <w:szCs w:val="22"/>
              </w:rPr>
              <w:t>分）</w:t>
            </w:r>
          </w:p>
        </w:tc>
        <w:tc>
          <w:tcPr>
            <w:tcW w:w="2126" w:type="dxa"/>
            <w:vMerge w:val="restart"/>
            <w:tcBorders>
              <w:top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项目立项（</w:t>
            </w:r>
            <w:r>
              <w:rPr>
                <w:rFonts w:ascii="Times New Roman" w:hAnsi="Times New Roman" w:cs="Times New Roman"/>
                <w:color w:val="000000"/>
                <w:kern w:val="0"/>
                <w:sz w:val="22"/>
                <w:szCs w:val="22"/>
              </w:rPr>
              <w:t>8</w:t>
            </w:r>
            <w:r>
              <w:rPr>
                <w:rFonts w:hint="eastAsia" w:ascii="Times New Roman" w:hAnsi="Times New Roman" w:cs="宋体"/>
                <w:color w:val="000000"/>
                <w:kern w:val="0"/>
                <w:sz w:val="22"/>
                <w:szCs w:val="22"/>
              </w:rPr>
              <w:t>分）</w:t>
            </w:r>
          </w:p>
        </w:tc>
        <w:tc>
          <w:tcPr>
            <w:tcW w:w="4253" w:type="dxa"/>
            <w:tcBorders>
              <w:top w:val="single" w:color="auto" w:sz="4" w:space="0"/>
            </w:tcBorders>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立项依据充分性（</w:t>
            </w: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分）</w:t>
            </w:r>
          </w:p>
        </w:tc>
        <w:tc>
          <w:tcPr>
            <w:tcW w:w="986" w:type="dxa"/>
            <w:tcBorders>
              <w:top w:val="single" w:color="auto" w:sz="4" w:space="0"/>
            </w:tcBorders>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8"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continue"/>
            <w:vAlign w:val="center"/>
          </w:tcPr>
          <w:p>
            <w:pPr>
              <w:widowControl/>
              <w:spacing w:line="240" w:lineRule="auto"/>
              <w:jc w:val="left"/>
              <w:rPr>
                <w:rFonts w:ascii="Times New Roman" w:hAnsi="Times New Roman" w:cs="宋体"/>
                <w:color w:val="000000"/>
                <w:kern w:val="0"/>
                <w:sz w:val="22"/>
                <w:szCs w:val="22"/>
              </w:rPr>
            </w:pPr>
          </w:p>
        </w:tc>
        <w:tc>
          <w:tcPr>
            <w:tcW w:w="4253"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立项程序规范性（</w:t>
            </w: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分）</w:t>
            </w:r>
          </w:p>
        </w:tc>
        <w:tc>
          <w:tcPr>
            <w:tcW w:w="986"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8"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restar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绩效目标（</w:t>
            </w:r>
            <w:r>
              <w:rPr>
                <w:rFonts w:ascii="Times New Roman" w:hAnsi="Times New Roman" w:cs="Times New Roman"/>
                <w:color w:val="000000"/>
                <w:kern w:val="0"/>
                <w:sz w:val="22"/>
                <w:szCs w:val="22"/>
              </w:rPr>
              <w:t>8</w:t>
            </w:r>
            <w:r>
              <w:rPr>
                <w:rFonts w:hint="eastAsia" w:ascii="Times New Roman" w:hAnsi="Times New Roman" w:cs="宋体"/>
                <w:color w:val="000000"/>
                <w:kern w:val="0"/>
                <w:sz w:val="22"/>
                <w:szCs w:val="22"/>
              </w:rPr>
              <w:t>分）</w:t>
            </w:r>
          </w:p>
        </w:tc>
        <w:tc>
          <w:tcPr>
            <w:tcW w:w="4253"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绩效目标合理性（</w:t>
            </w: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分）</w:t>
            </w:r>
          </w:p>
        </w:tc>
        <w:tc>
          <w:tcPr>
            <w:tcW w:w="986"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8"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continue"/>
            <w:vAlign w:val="center"/>
          </w:tcPr>
          <w:p>
            <w:pPr>
              <w:widowControl/>
              <w:spacing w:line="240" w:lineRule="auto"/>
              <w:jc w:val="left"/>
              <w:rPr>
                <w:rFonts w:ascii="Times New Roman" w:hAnsi="Times New Roman" w:cs="宋体"/>
                <w:color w:val="000000"/>
                <w:kern w:val="0"/>
                <w:sz w:val="22"/>
                <w:szCs w:val="22"/>
              </w:rPr>
            </w:pPr>
          </w:p>
        </w:tc>
        <w:tc>
          <w:tcPr>
            <w:tcW w:w="4253"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绩效指标明确性（</w:t>
            </w: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分）</w:t>
            </w:r>
          </w:p>
        </w:tc>
        <w:tc>
          <w:tcPr>
            <w:tcW w:w="986"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8"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资金投入（</w:t>
            </w: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分）</w:t>
            </w:r>
          </w:p>
        </w:tc>
        <w:tc>
          <w:tcPr>
            <w:tcW w:w="4253"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预算编制科学性（</w:t>
            </w: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分）</w:t>
            </w:r>
          </w:p>
        </w:tc>
        <w:tc>
          <w:tcPr>
            <w:tcW w:w="986"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8" w:hRule="atLeast"/>
        </w:trPr>
        <w:tc>
          <w:tcPr>
            <w:tcW w:w="1276" w:type="dxa"/>
            <w:vMerge w:val="restart"/>
            <w:shd w:val="clear" w:color="auto" w:fill="auto"/>
            <w:noWrap/>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过程指标（</w:t>
            </w:r>
            <w:r>
              <w:rPr>
                <w:rFonts w:ascii="Times New Roman" w:hAnsi="Times New Roman" w:cs="Times New Roman"/>
                <w:b/>
                <w:bCs/>
                <w:color w:val="000000"/>
                <w:kern w:val="0"/>
                <w:sz w:val="22"/>
                <w:szCs w:val="22"/>
              </w:rPr>
              <w:t>20</w:t>
            </w:r>
            <w:r>
              <w:rPr>
                <w:rFonts w:hint="eastAsia" w:ascii="Times New Roman" w:hAnsi="Times New Roman" w:cs="宋体"/>
                <w:b/>
                <w:bCs/>
                <w:color w:val="000000"/>
                <w:kern w:val="0"/>
                <w:sz w:val="22"/>
                <w:szCs w:val="22"/>
              </w:rPr>
              <w:t>分）</w:t>
            </w:r>
          </w:p>
        </w:tc>
        <w:tc>
          <w:tcPr>
            <w:tcW w:w="2126" w:type="dxa"/>
            <w:vMerge w:val="restar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资金管理（</w:t>
            </w:r>
            <w:r>
              <w:rPr>
                <w:rFonts w:ascii="Times New Roman" w:hAnsi="Times New Roman" w:cs="Times New Roman"/>
                <w:color w:val="000000"/>
                <w:kern w:val="0"/>
                <w:sz w:val="22"/>
                <w:szCs w:val="22"/>
              </w:rPr>
              <w:t>10</w:t>
            </w:r>
            <w:r>
              <w:rPr>
                <w:rFonts w:hint="eastAsia" w:ascii="Times New Roman" w:hAnsi="Times New Roman" w:cs="宋体"/>
                <w:color w:val="000000"/>
                <w:kern w:val="0"/>
                <w:sz w:val="22"/>
                <w:szCs w:val="22"/>
              </w:rPr>
              <w:t>分）</w:t>
            </w:r>
          </w:p>
        </w:tc>
        <w:tc>
          <w:tcPr>
            <w:tcW w:w="4253"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预算执行率（</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c>
          <w:tcPr>
            <w:tcW w:w="986" w:type="dxa"/>
            <w:shd w:val="clear" w:color="auto" w:fill="auto"/>
            <w:noWrap/>
            <w:vAlign w:val="center"/>
          </w:tcPr>
          <w:p>
            <w:pPr>
              <w:widowControl/>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91</w:t>
            </w:r>
          </w:p>
        </w:tc>
      </w:tr>
      <w:tr>
        <w:tblPrEx>
          <w:tblCellMar>
            <w:top w:w="0" w:type="dxa"/>
            <w:left w:w="108" w:type="dxa"/>
            <w:bottom w:w="0" w:type="dxa"/>
            <w:right w:w="108" w:type="dxa"/>
          </w:tblCellMar>
        </w:tblPrEx>
        <w:trPr>
          <w:trHeight w:val="288"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continue"/>
            <w:vAlign w:val="center"/>
          </w:tcPr>
          <w:p>
            <w:pPr>
              <w:widowControl/>
              <w:spacing w:line="240" w:lineRule="auto"/>
              <w:jc w:val="left"/>
              <w:rPr>
                <w:rFonts w:ascii="Times New Roman" w:hAnsi="Times New Roman" w:cs="宋体"/>
                <w:color w:val="000000"/>
                <w:kern w:val="0"/>
                <w:sz w:val="22"/>
                <w:szCs w:val="22"/>
              </w:rPr>
            </w:pPr>
          </w:p>
        </w:tc>
        <w:tc>
          <w:tcPr>
            <w:tcW w:w="4253"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资金使用合规性（</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c>
          <w:tcPr>
            <w:tcW w:w="986"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8"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restar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组织实施（</w:t>
            </w:r>
            <w:r>
              <w:rPr>
                <w:rFonts w:ascii="Times New Roman" w:hAnsi="Times New Roman" w:cs="Times New Roman"/>
                <w:color w:val="000000"/>
                <w:kern w:val="0"/>
                <w:sz w:val="22"/>
                <w:szCs w:val="22"/>
              </w:rPr>
              <w:t>10</w:t>
            </w:r>
            <w:r>
              <w:rPr>
                <w:rFonts w:hint="eastAsia" w:ascii="Times New Roman" w:hAnsi="Times New Roman" w:cs="宋体"/>
                <w:color w:val="000000"/>
                <w:kern w:val="0"/>
                <w:sz w:val="22"/>
                <w:szCs w:val="22"/>
              </w:rPr>
              <w:t>分）</w:t>
            </w:r>
          </w:p>
        </w:tc>
        <w:tc>
          <w:tcPr>
            <w:tcW w:w="4253"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管理制度健全性（</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c>
          <w:tcPr>
            <w:tcW w:w="986"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8"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continue"/>
            <w:vAlign w:val="center"/>
          </w:tcPr>
          <w:p>
            <w:pPr>
              <w:widowControl/>
              <w:spacing w:line="240" w:lineRule="auto"/>
              <w:jc w:val="left"/>
              <w:rPr>
                <w:rFonts w:ascii="Times New Roman" w:hAnsi="Times New Roman" w:cs="宋体"/>
                <w:color w:val="000000"/>
                <w:kern w:val="0"/>
                <w:sz w:val="22"/>
                <w:szCs w:val="22"/>
              </w:rPr>
            </w:pPr>
          </w:p>
        </w:tc>
        <w:tc>
          <w:tcPr>
            <w:tcW w:w="4253"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制度执行有效性（</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c>
          <w:tcPr>
            <w:tcW w:w="986" w:type="dxa"/>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8" w:hRule="atLeast"/>
        </w:trPr>
        <w:tc>
          <w:tcPr>
            <w:tcW w:w="1276" w:type="dxa"/>
            <w:vMerge w:val="restart"/>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产出指标（</w:t>
            </w:r>
            <w:r>
              <w:rPr>
                <w:rFonts w:ascii="Times New Roman" w:hAnsi="Times New Roman" w:cs="Times New Roman"/>
                <w:b/>
                <w:bCs/>
                <w:color w:val="000000"/>
                <w:kern w:val="0"/>
                <w:sz w:val="22"/>
                <w:szCs w:val="22"/>
              </w:rPr>
              <w:t>40</w:t>
            </w:r>
            <w:r>
              <w:rPr>
                <w:rFonts w:hint="eastAsia" w:ascii="Times New Roman" w:hAnsi="Times New Roman" w:cs="宋体"/>
                <w:b/>
                <w:bCs/>
                <w:color w:val="000000"/>
                <w:kern w:val="0"/>
                <w:sz w:val="22"/>
                <w:szCs w:val="22"/>
              </w:rPr>
              <w:t>分）</w:t>
            </w:r>
          </w:p>
        </w:tc>
        <w:tc>
          <w:tcPr>
            <w:tcW w:w="2126" w:type="dxa"/>
            <w:vMerge w:val="restart"/>
            <w:shd w:val="clear" w:color="auto" w:fill="auto"/>
            <w:vAlign w:val="center"/>
          </w:tcPr>
          <w:p>
            <w:pPr>
              <w:widowControl/>
              <w:spacing w:line="240" w:lineRule="auto"/>
              <w:jc w:val="center"/>
              <w:rPr>
                <w:rFonts w:ascii="Times New Roman" w:hAnsi="Times New Roman" w:cs="宋体"/>
                <w:kern w:val="0"/>
                <w:sz w:val="22"/>
                <w:szCs w:val="22"/>
              </w:rPr>
            </w:pPr>
            <w:r>
              <w:rPr>
                <w:rFonts w:hint="eastAsia" w:ascii="Times New Roman" w:hAnsi="Times New Roman" w:cs="宋体"/>
                <w:kern w:val="0"/>
                <w:sz w:val="22"/>
                <w:szCs w:val="22"/>
              </w:rPr>
              <w:t>数量指标（</w:t>
            </w:r>
            <w:r>
              <w:rPr>
                <w:rFonts w:ascii="Times New Roman" w:hAnsi="Times New Roman" w:cs="Times New Roman"/>
                <w:kern w:val="0"/>
                <w:sz w:val="22"/>
                <w:szCs w:val="22"/>
              </w:rPr>
              <w:t>17</w:t>
            </w:r>
            <w:r>
              <w:rPr>
                <w:rFonts w:hint="eastAsia" w:ascii="Times New Roman" w:hAnsi="Times New Roman" w:cs="宋体"/>
                <w:kern w:val="0"/>
                <w:sz w:val="22"/>
                <w:szCs w:val="22"/>
              </w:rPr>
              <w:t>分）</w:t>
            </w:r>
          </w:p>
        </w:tc>
        <w:tc>
          <w:tcPr>
            <w:tcW w:w="4253" w:type="dxa"/>
            <w:shd w:val="clear" w:color="auto" w:fill="auto"/>
            <w:vAlign w:val="center"/>
          </w:tcPr>
          <w:p>
            <w:pPr>
              <w:widowControl/>
              <w:spacing w:line="240" w:lineRule="auto"/>
              <w:jc w:val="center"/>
              <w:rPr>
                <w:rFonts w:ascii="Times New Roman" w:hAnsi="Times New Roman" w:cs="宋体"/>
                <w:kern w:val="0"/>
                <w:sz w:val="22"/>
                <w:szCs w:val="22"/>
              </w:rPr>
            </w:pPr>
            <w:r>
              <w:rPr>
                <w:rFonts w:hint="eastAsia" w:ascii="Times New Roman" w:hAnsi="Times New Roman"/>
                <w:sz w:val="22"/>
                <w:szCs w:val="22"/>
              </w:rPr>
              <w:t>低保对象参保率（</w:t>
            </w:r>
            <w:r>
              <w:rPr>
                <w:rFonts w:ascii="Times New Roman" w:hAnsi="Times New Roman" w:cs="Times New Roman"/>
                <w:sz w:val="22"/>
                <w:szCs w:val="22"/>
              </w:rPr>
              <w:t>3</w:t>
            </w:r>
            <w:r>
              <w:rPr>
                <w:rFonts w:hint="eastAsia" w:ascii="Times New Roman" w:hAnsi="Times New Roman"/>
                <w:sz w:val="22"/>
                <w:szCs w:val="22"/>
              </w:rPr>
              <w:t>分）</w:t>
            </w:r>
          </w:p>
        </w:tc>
        <w:tc>
          <w:tcPr>
            <w:tcW w:w="986" w:type="dxa"/>
            <w:shd w:val="clear" w:color="auto" w:fill="auto"/>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8"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continue"/>
            <w:vAlign w:val="center"/>
          </w:tcPr>
          <w:p>
            <w:pPr>
              <w:widowControl/>
              <w:spacing w:line="240" w:lineRule="auto"/>
              <w:jc w:val="left"/>
              <w:rPr>
                <w:rFonts w:ascii="Times New Roman" w:hAnsi="Times New Roman" w:cs="宋体"/>
                <w:kern w:val="0"/>
                <w:sz w:val="22"/>
                <w:szCs w:val="22"/>
              </w:rPr>
            </w:pPr>
          </w:p>
        </w:tc>
        <w:tc>
          <w:tcPr>
            <w:tcW w:w="4253" w:type="dxa"/>
            <w:shd w:val="clear" w:color="auto" w:fill="auto"/>
            <w:vAlign w:val="center"/>
          </w:tcPr>
          <w:p>
            <w:pPr>
              <w:widowControl/>
              <w:spacing w:line="240" w:lineRule="auto"/>
              <w:jc w:val="center"/>
              <w:rPr>
                <w:rFonts w:ascii="Times New Roman" w:hAnsi="Times New Roman" w:cs="宋体"/>
                <w:kern w:val="0"/>
                <w:sz w:val="22"/>
                <w:szCs w:val="22"/>
              </w:rPr>
            </w:pPr>
            <w:r>
              <w:rPr>
                <w:rFonts w:hint="eastAsia" w:ascii="Times New Roman" w:hAnsi="Times New Roman"/>
                <w:sz w:val="22"/>
                <w:szCs w:val="22"/>
              </w:rPr>
              <w:t>实施临时救助户数（</w:t>
            </w:r>
            <w:r>
              <w:rPr>
                <w:rFonts w:ascii="Times New Roman" w:hAnsi="Times New Roman" w:cs="Times New Roman"/>
                <w:sz w:val="22"/>
                <w:szCs w:val="22"/>
              </w:rPr>
              <w:t>3</w:t>
            </w:r>
            <w:r>
              <w:rPr>
                <w:rFonts w:hint="eastAsia" w:ascii="Times New Roman" w:hAnsi="Times New Roman"/>
                <w:sz w:val="22"/>
                <w:szCs w:val="22"/>
              </w:rPr>
              <w:t>分）</w:t>
            </w:r>
          </w:p>
        </w:tc>
        <w:tc>
          <w:tcPr>
            <w:tcW w:w="986" w:type="dxa"/>
            <w:shd w:val="clear" w:color="auto" w:fill="auto"/>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8"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continue"/>
            <w:vAlign w:val="center"/>
          </w:tcPr>
          <w:p>
            <w:pPr>
              <w:widowControl/>
              <w:spacing w:line="240" w:lineRule="auto"/>
              <w:jc w:val="left"/>
              <w:rPr>
                <w:rFonts w:ascii="Times New Roman" w:hAnsi="Times New Roman" w:cs="宋体"/>
                <w:kern w:val="0"/>
                <w:sz w:val="22"/>
                <w:szCs w:val="22"/>
              </w:rPr>
            </w:pPr>
          </w:p>
        </w:tc>
        <w:tc>
          <w:tcPr>
            <w:tcW w:w="4253" w:type="dxa"/>
            <w:shd w:val="clear" w:color="auto" w:fill="auto"/>
            <w:vAlign w:val="center"/>
          </w:tcPr>
          <w:p>
            <w:pPr>
              <w:widowControl/>
              <w:spacing w:line="240" w:lineRule="auto"/>
              <w:jc w:val="center"/>
              <w:rPr>
                <w:rFonts w:ascii="Times New Roman" w:hAnsi="Times New Roman"/>
                <w:sz w:val="22"/>
                <w:szCs w:val="22"/>
              </w:rPr>
            </w:pPr>
            <w:r>
              <w:rPr>
                <w:rFonts w:hint="eastAsia" w:ascii="Times New Roman" w:hAnsi="Times New Roman"/>
                <w:sz w:val="22"/>
                <w:szCs w:val="22"/>
              </w:rPr>
              <w:t>救助宣传渠道数（</w:t>
            </w:r>
            <w:r>
              <w:rPr>
                <w:rFonts w:ascii="Times New Roman" w:hAnsi="Times New Roman" w:cs="Times New Roman"/>
                <w:sz w:val="22"/>
                <w:szCs w:val="22"/>
              </w:rPr>
              <w:t>3</w:t>
            </w:r>
            <w:r>
              <w:rPr>
                <w:rFonts w:hint="eastAsia" w:ascii="Times New Roman" w:hAnsi="Times New Roman"/>
                <w:sz w:val="22"/>
                <w:szCs w:val="22"/>
              </w:rPr>
              <w:t>分）</w:t>
            </w:r>
          </w:p>
        </w:tc>
        <w:tc>
          <w:tcPr>
            <w:tcW w:w="986" w:type="dxa"/>
            <w:shd w:val="clear" w:color="auto" w:fill="auto"/>
            <w:vAlign w:val="center"/>
          </w:tcPr>
          <w:p>
            <w:pPr>
              <w:widowControl/>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8"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continue"/>
            <w:vAlign w:val="center"/>
          </w:tcPr>
          <w:p>
            <w:pPr>
              <w:widowControl/>
              <w:spacing w:line="240" w:lineRule="auto"/>
              <w:jc w:val="left"/>
              <w:rPr>
                <w:rFonts w:ascii="Times New Roman" w:hAnsi="Times New Roman" w:cs="宋体"/>
                <w:kern w:val="0"/>
                <w:sz w:val="22"/>
                <w:szCs w:val="22"/>
              </w:rPr>
            </w:pPr>
          </w:p>
        </w:tc>
        <w:tc>
          <w:tcPr>
            <w:tcW w:w="4253" w:type="dxa"/>
            <w:shd w:val="clear" w:color="auto" w:fill="auto"/>
            <w:vAlign w:val="center"/>
          </w:tcPr>
          <w:p>
            <w:pPr>
              <w:widowControl/>
              <w:spacing w:line="240" w:lineRule="auto"/>
              <w:jc w:val="center"/>
              <w:rPr>
                <w:rFonts w:ascii="Times New Roman" w:hAnsi="Times New Roman"/>
                <w:sz w:val="22"/>
                <w:szCs w:val="22"/>
              </w:rPr>
            </w:pPr>
            <w:r>
              <w:rPr>
                <w:rFonts w:hint="eastAsia" w:ascii="Times New Roman" w:hAnsi="Times New Roman"/>
                <w:sz w:val="22"/>
                <w:szCs w:val="22"/>
              </w:rPr>
              <w:t>救助渠道数（</w:t>
            </w:r>
            <w:r>
              <w:rPr>
                <w:rFonts w:ascii="Times New Roman" w:hAnsi="Times New Roman" w:cs="Times New Roman"/>
                <w:kern w:val="0"/>
                <w:sz w:val="22"/>
                <w:szCs w:val="22"/>
              </w:rPr>
              <w:t>4</w:t>
            </w:r>
            <w:r>
              <w:rPr>
                <w:rFonts w:hint="eastAsia" w:ascii="Times New Roman" w:hAnsi="Times New Roman"/>
                <w:sz w:val="22"/>
                <w:szCs w:val="22"/>
              </w:rPr>
              <w:t>分）</w:t>
            </w:r>
          </w:p>
        </w:tc>
        <w:tc>
          <w:tcPr>
            <w:tcW w:w="986" w:type="dxa"/>
            <w:shd w:val="clear" w:color="auto" w:fill="auto"/>
            <w:vAlign w:val="center"/>
          </w:tcPr>
          <w:p>
            <w:pPr>
              <w:widowControl/>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2</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8"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continue"/>
            <w:vAlign w:val="center"/>
          </w:tcPr>
          <w:p>
            <w:pPr>
              <w:widowControl/>
              <w:spacing w:line="240" w:lineRule="auto"/>
              <w:jc w:val="left"/>
              <w:rPr>
                <w:rFonts w:ascii="Times New Roman" w:hAnsi="Times New Roman" w:cs="宋体"/>
                <w:kern w:val="0"/>
                <w:sz w:val="22"/>
                <w:szCs w:val="22"/>
              </w:rPr>
            </w:pPr>
          </w:p>
        </w:tc>
        <w:tc>
          <w:tcPr>
            <w:tcW w:w="4253" w:type="dxa"/>
            <w:shd w:val="clear" w:color="auto" w:fill="auto"/>
            <w:vAlign w:val="center"/>
          </w:tcPr>
          <w:p>
            <w:pPr>
              <w:widowControl/>
              <w:spacing w:line="240" w:lineRule="auto"/>
              <w:jc w:val="center"/>
              <w:rPr>
                <w:rFonts w:ascii="Times New Roman" w:hAnsi="Times New Roman" w:cs="宋体"/>
                <w:kern w:val="0"/>
                <w:sz w:val="22"/>
                <w:szCs w:val="22"/>
              </w:rPr>
            </w:pPr>
            <w:r>
              <w:rPr>
                <w:rFonts w:hint="eastAsia" w:ascii="Times New Roman" w:hAnsi="Times New Roman" w:cs="宋体"/>
                <w:kern w:val="0"/>
                <w:sz w:val="22"/>
                <w:szCs w:val="22"/>
              </w:rPr>
              <w:t>救助工作业务培训（</w:t>
            </w:r>
            <w:r>
              <w:rPr>
                <w:rFonts w:ascii="Times New Roman" w:hAnsi="Times New Roman" w:cs="Times New Roman"/>
                <w:kern w:val="0"/>
                <w:sz w:val="22"/>
                <w:szCs w:val="22"/>
              </w:rPr>
              <w:t>4</w:t>
            </w:r>
            <w:r>
              <w:rPr>
                <w:rFonts w:hint="eastAsia" w:ascii="Times New Roman" w:hAnsi="Times New Roman" w:cs="宋体"/>
                <w:kern w:val="0"/>
                <w:sz w:val="22"/>
                <w:szCs w:val="22"/>
              </w:rPr>
              <w:t>分）</w:t>
            </w:r>
          </w:p>
        </w:tc>
        <w:tc>
          <w:tcPr>
            <w:tcW w:w="986" w:type="dxa"/>
            <w:shd w:val="clear" w:color="auto" w:fill="auto"/>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3"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restart"/>
            <w:shd w:val="clear" w:color="auto" w:fill="auto"/>
            <w:vAlign w:val="center"/>
          </w:tcPr>
          <w:p>
            <w:pPr>
              <w:widowControl/>
              <w:spacing w:line="240" w:lineRule="auto"/>
              <w:jc w:val="center"/>
              <w:rPr>
                <w:rFonts w:ascii="Times New Roman" w:hAnsi="Times New Roman" w:cs="宋体"/>
                <w:kern w:val="0"/>
                <w:sz w:val="22"/>
                <w:szCs w:val="22"/>
              </w:rPr>
            </w:pPr>
            <w:r>
              <w:rPr>
                <w:rFonts w:hint="eastAsia" w:ascii="Times New Roman" w:hAnsi="Times New Roman" w:cs="宋体"/>
                <w:kern w:val="0"/>
                <w:sz w:val="22"/>
                <w:szCs w:val="22"/>
              </w:rPr>
              <w:t>质量指标（</w:t>
            </w:r>
            <w:r>
              <w:rPr>
                <w:rFonts w:ascii="Times New Roman" w:hAnsi="Times New Roman" w:cs="Times New Roman"/>
                <w:kern w:val="0"/>
                <w:sz w:val="22"/>
                <w:szCs w:val="22"/>
              </w:rPr>
              <w:t>17</w:t>
            </w:r>
            <w:r>
              <w:rPr>
                <w:rFonts w:hint="eastAsia" w:ascii="Times New Roman" w:hAnsi="Times New Roman" w:cs="宋体"/>
                <w:kern w:val="0"/>
                <w:sz w:val="22"/>
                <w:szCs w:val="22"/>
              </w:rPr>
              <w:t>分）</w:t>
            </w:r>
          </w:p>
        </w:tc>
        <w:tc>
          <w:tcPr>
            <w:tcW w:w="4253" w:type="dxa"/>
            <w:shd w:val="clear" w:color="auto" w:fill="auto"/>
            <w:vAlign w:val="center"/>
          </w:tcPr>
          <w:p>
            <w:pPr>
              <w:widowControl/>
              <w:spacing w:line="240" w:lineRule="auto"/>
              <w:jc w:val="center"/>
              <w:rPr>
                <w:rFonts w:ascii="Times New Roman" w:hAnsi="Times New Roman" w:cs="宋体"/>
                <w:kern w:val="0"/>
                <w:sz w:val="22"/>
                <w:szCs w:val="22"/>
              </w:rPr>
            </w:pPr>
            <w:r>
              <w:rPr>
                <w:rFonts w:hint="eastAsia" w:ascii="Times New Roman" w:hAnsi="Times New Roman" w:cs="宋体"/>
                <w:kern w:val="0"/>
                <w:sz w:val="22"/>
                <w:szCs w:val="22"/>
              </w:rPr>
              <w:t>低保入户抽查率（</w:t>
            </w:r>
            <w:r>
              <w:rPr>
                <w:rFonts w:ascii="Times New Roman" w:hAnsi="Times New Roman" w:cs="Times New Roman"/>
                <w:kern w:val="0"/>
                <w:sz w:val="22"/>
                <w:szCs w:val="22"/>
              </w:rPr>
              <w:t>3</w:t>
            </w:r>
            <w:r>
              <w:rPr>
                <w:rFonts w:hint="eastAsia" w:ascii="Times New Roman" w:hAnsi="Times New Roman" w:cs="宋体"/>
                <w:kern w:val="0"/>
                <w:sz w:val="22"/>
                <w:szCs w:val="22"/>
              </w:rPr>
              <w:t>分）</w:t>
            </w:r>
          </w:p>
        </w:tc>
        <w:tc>
          <w:tcPr>
            <w:tcW w:w="986" w:type="dxa"/>
            <w:shd w:val="clear" w:color="auto" w:fill="auto"/>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8"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continue"/>
            <w:shd w:val="clear" w:color="auto" w:fill="auto"/>
            <w:vAlign w:val="center"/>
          </w:tcPr>
          <w:p>
            <w:pPr>
              <w:widowControl/>
              <w:spacing w:line="240" w:lineRule="auto"/>
              <w:jc w:val="left"/>
              <w:rPr>
                <w:rFonts w:ascii="Times New Roman" w:hAnsi="Times New Roman" w:cs="宋体"/>
                <w:kern w:val="0"/>
                <w:sz w:val="22"/>
                <w:szCs w:val="22"/>
              </w:rPr>
            </w:pPr>
          </w:p>
        </w:tc>
        <w:tc>
          <w:tcPr>
            <w:tcW w:w="4253" w:type="dxa"/>
            <w:shd w:val="clear" w:color="auto" w:fill="auto"/>
            <w:vAlign w:val="center"/>
          </w:tcPr>
          <w:p>
            <w:pPr>
              <w:widowControl/>
              <w:spacing w:line="240" w:lineRule="auto"/>
              <w:jc w:val="center"/>
              <w:rPr>
                <w:rFonts w:ascii="Times New Roman" w:hAnsi="Times New Roman" w:cs="宋体"/>
                <w:kern w:val="0"/>
                <w:sz w:val="22"/>
                <w:szCs w:val="22"/>
              </w:rPr>
            </w:pPr>
            <w:r>
              <w:rPr>
                <w:rFonts w:hint="eastAsia" w:ascii="Times New Roman" w:hAnsi="Times New Roman" w:cs="宋体"/>
                <w:kern w:val="0"/>
                <w:sz w:val="22"/>
                <w:szCs w:val="22"/>
              </w:rPr>
              <w:t>补贴对象准确性（</w:t>
            </w:r>
            <w:r>
              <w:rPr>
                <w:rFonts w:ascii="Times New Roman" w:hAnsi="Times New Roman" w:cs="Times New Roman"/>
                <w:kern w:val="0"/>
                <w:sz w:val="22"/>
                <w:szCs w:val="22"/>
              </w:rPr>
              <w:t>3</w:t>
            </w:r>
            <w:r>
              <w:rPr>
                <w:rFonts w:hint="eastAsia" w:ascii="Times New Roman" w:hAnsi="Times New Roman" w:cs="宋体"/>
                <w:kern w:val="0"/>
                <w:sz w:val="22"/>
                <w:szCs w:val="22"/>
              </w:rPr>
              <w:t>分）</w:t>
            </w:r>
          </w:p>
        </w:tc>
        <w:tc>
          <w:tcPr>
            <w:tcW w:w="986" w:type="dxa"/>
            <w:shd w:val="clear" w:color="auto" w:fill="auto"/>
            <w:vAlign w:val="center"/>
          </w:tcPr>
          <w:p>
            <w:pPr>
              <w:widowControl/>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88"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continue"/>
            <w:shd w:val="clear" w:color="auto" w:fill="auto"/>
            <w:vAlign w:val="center"/>
          </w:tcPr>
          <w:p>
            <w:pPr>
              <w:widowControl/>
              <w:spacing w:line="240" w:lineRule="auto"/>
              <w:jc w:val="left"/>
              <w:rPr>
                <w:rFonts w:ascii="Times New Roman" w:hAnsi="Times New Roman" w:cs="宋体"/>
                <w:kern w:val="0"/>
                <w:sz w:val="22"/>
                <w:szCs w:val="22"/>
              </w:rPr>
            </w:pPr>
          </w:p>
        </w:tc>
        <w:tc>
          <w:tcPr>
            <w:tcW w:w="4253" w:type="dxa"/>
            <w:shd w:val="clear" w:color="auto" w:fill="auto"/>
            <w:vAlign w:val="center"/>
          </w:tcPr>
          <w:p>
            <w:pPr>
              <w:widowControl/>
              <w:spacing w:line="240" w:lineRule="auto"/>
              <w:jc w:val="center"/>
              <w:rPr>
                <w:rFonts w:ascii="Times New Roman" w:hAnsi="Times New Roman"/>
                <w:kern w:val="0"/>
                <w:sz w:val="22"/>
                <w:szCs w:val="22"/>
              </w:rPr>
            </w:pPr>
            <w:r>
              <w:rPr>
                <w:rFonts w:hint="eastAsia" w:ascii="Times New Roman" w:hAnsi="Times New Roman"/>
                <w:sz w:val="22"/>
                <w:szCs w:val="22"/>
              </w:rPr>
              <w:t>临时救助水平（</w:t>
            </w:r>
            <w:r>
              <w:rPr>
                <w:rFonts w:ascii="Times New Roman" w:hAnsi="Times New Roman" w:cs="Times New Roman"/>
                <w:sz w:val="22"/>
                <w:szCs w:val="22"/>
              </w:rPr>
              <w:t>3</w:t>
            </w:r>
            <w:r>
              <w:rPr>
                <w:rFonts w:hint="eastAsia" w:ascii="Times New Roman" w:hAnsi="Times New Roman"/>
                <w:sz w:val="22"/>
                <w:szCs w:val="22"/>
              </w:rPr>
              <w:t>分）</w:t>
            </w:r>
          </w:p>
        </w:tc>
        <w:tc>
          <w:tcPr>
            <w:tcW w:w="986" w:type="dxa"/>
            <w:shd w:val="clear" w:color="auto" w:fill="auto"/>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0"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continue"/>
            <w:shd w:val="clear" w:color="auto" w:fill="auto"/>
            <w:vAlign w:val="center"/>
          </w:tcPr>
          <w:p>
            <w:pPr>
              <w:widowControl/>
              <w:spacing w:line="240" w:lineRule="auto"/>
              <w:jc w:val="center"/>
              <w:rPr>
                <w:rFonts w:ascii="Times New Roman" w:hAnsi="Times New Roman" w:cs="宋体"/>
                <w:kern w:val="0"/>
                <w:sz w:val="22"/>
                <w:szCs w:val="22"/>
              </w:rPr>
            </w:pPr>
          </w:p>
        </w:tc>
        <w:tc>
          <w:tcPr>
            <w:tcW w:w="4253" w:type="dxa"/>
            <w:shd w:val="clear" w:color="auto" w:fill="auto"/>
            <w:vAlign w:val="center"/>
          </w:tcPr>
          <w:p>
            <w:pPr>
              <w:widowControl/>
              <w:spacing w:line="240" w:lineRule="auto"/>
              <w:jc w:val="center"/>
              <w:rPr>
                <w:rFonts w:ascii="Times New Roman" w:hAnsi="Times New Roman"/>
                <w:sz w:val="22"/>
                <w:szCs w:val="22"/>
              </w:rPr>
            </w:pPr>
            <w:r>
              <w:rPr>
                <w:rFonts w:hint="eastAsia" w:ascii="Times New Roman" w:hAnsi="Times New Roman"/>
                <w:sz w:val="22"/>
                <w:szCs w:val="22"/>
              </w:rPr>
              <w:t>救助家庭经济状况核对机制（</w:t>
            </w:r>
            <w:r>
              <w:rPr>
                <w:rFonts w:ascii="Times New Roman" w:hAnsi="Times New Roman"/>
                <w:sz w:val="22"/>
                <w:szCs w:val="22"/>
              </w:rPr>
              <w:t>3</w:t>
            </w:r>
            <w:r>
              <w:rPr>
                <w:rFonts w:hint="eastAsia" w:ascii="Times New Roman" w:hAnsi="Times New Roman"/>
                <w:sz w:val="22"/>
                <w:szCs w:val="22"/>
              </w:rPr>
              <w:t>分）</w:t>
            </w:r>
          </w:p>
        </w:tc>
        <w:tc>
          <w:tcPr>
            <w:tcW w:w="986" w:type="dxa"/>
            <w:shd w:val="clear" w:color="auto" w:fill="auto"/>
            <w:vAlign w:val="center"/>
          </w:tcPr>
          <w:p>
            <w:pPr>
              <w:widowControl/>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0"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continue"/>
            <w:shd w:val="clear" w:color="auto" w:fill="auto"/>
            <w:vAlign w:val="center"/>
          </w:tcPr>
          <w:p>
            <w:pPr>
              <w:widowControl/>
              <w:spacing w:line="240" w:lineRule="auto"/>
              <w:jc w:val="center"/>
              <w:rPr>
                <w:rFonts w:ascii="Times New Roman" w:hAnsi="Times New Roman" w:cs="宋体"/>
                <w:kern w:val="0"/>
                <w:sz w:val="22"/>
                <w:szCs w:val="22"/>
              </w:rPr>
            </w:pPr>
          </w:p>
        </w:tc>
        <w:tc>
          <w:tcPr>
            <w:tcW w:w="4253" w:type="dxa"/>
            <w:shd w:val="clear" w:color="auto" w:fill="auto"/>
            <w:vAlign w:val="center"/>
          </w:tcPr>
          <w:p>
            <w:pPr>
              <w:widowControl/>
              <w:spacing w:line="240" w:lineRule="auto"/>
              <w:jc w:val="center"/>
              <w:rPr>
                <w:rFonts w:ascii="Times New Roman" w:hAnsi="Times New Roman"/>
                <w:sz w:val="22"/>
                <w:szCs w:val="22"/>
              </w:rPr>
            </w:pPr>
            <w:r>
              <w:rPr>
                <w:rFonts w:hint="eastAsia" w:ascii="Times New Roman" w:hAnsi="Times New Roman"/>
                <w:sz w:val="22"/>
                <w:szCs w:val="22"/>
              </w:rPr>
              <w:t>信息共享程度（</w:t>
            </w:r>
            <w:r>
              <w:rPr>
                <w:rFonts w:ascii="Times New Roman" w:hAnsi="Times New Roman"/>
                <w:sz w:val="22"/>
                <w:szCs w:val="22"/>
              </w:rPr>
              <w:t>5</w:t>
            </w:r>
            <w:r>
              <w:rPr>
                <w:rFonts w:hint="eastAsia" w:ascii="Times New Roman" w:hAnsi="Times New Roman"/>
                <w:sz w:val="22"/>
                <w:szCs w:val="22"/>
              </w:rPr>
              <w:t>分）</w:t>
            </w:r>
          </w:p>
        </w:tc>
        <w:tc>
          <w:tcPr>
            <w:tcW w:w="986" w:type="dxa"/>
            <w:shd w:val="clear" w:color="auto" w:fill="auto"/>
            <w:vAlign w:val="center"/>
          </w:tcPr>
          <w:p>
            <w:pPr>
              <w:widowControl/>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2</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0"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restart"/>
            <w:shd w:val="clear" w:color="auto" w:fill="auto"/>
            <w:vAlign w:val="center"/>
          </w:tcPr>
          <w:p>
            <w:pPr>
              <w:widowControl/>
              <w:spacing w:line="240" w:lineRule="auto"/>
              <w:jc w:val="center"/>
              <w:rPr>
                <w:rFonts w:ascii="Times New Roman" w:hAnsi="Times New Roman" w:cs="宋体"/>
                <w:kern w:val="0"/>
                <w:sz w:val="22"/>
                <w:szCs w:val="22"/>
              </w:rPr>
            </w:pPr>
            <w:r>
              <w:rPr>
                <w:rFonts w:hint="eastAsia" w:ascii="Times New Roman" w:hAnsi="Times New Roman" w:cs="宋体"/>
                <w:kern w:val="0"/>
                <w:sz w:val="22"/>
                <w:szCs w:val="22"/>
              </w:rPr>
              <w:t>时效指标（</w:t>
            </w:r>
            <w:r>
              <w:rPr>
                <w:rFonts w:ascii="Times New Roman" w:hAnsi="Times New Roman" w:cs="Times New Roman"/>
                <w:kern w:val="0"/>
                <w:sz w:val="22"/>
                <w:szCs w:val="22"/>
              </w:rPr>
              <w:t>6</w:t>
            </w:r>
            <w:r>
              <w:rPr>
                <w:rFonts w:hint="eastAsia" w:ascii="Times New Roman" w:hAnsi="Times New Roman" w:cs="宋体"/>
                <w:kern w:val="0"/>
                <w:sz w:val="22"/>
                <w:szCs w:val="22"/>
              </w:rPr>
              <w:t>分）</w:t>
            </w:r>
          </w:p>
        </w:tc>
        <w:tc>
          <w:tcPr>
            <w:tcW w:w="4253" w:type="dxa"/>
            <w:vMerge w:val="restart"/>
            <w:shd w:val="clear" w:color="auto" w:fill="auto"/>
            <w:vAlign w:val="center"/>
          </w:tcPr>
          <w:p>
            <w:pPr>
              <w:widowControl/>
              <w:spacing w:line="240" w:lineRule="auto"/>
              <w:jc w:val="center"/>
              <w:rPr>
                <w:rFonts w:ascii="Times New Roman" w:hAnsi="Times New Roman"/>
                <w:sz w:val="22"/>
                <w:szCs w:val="22"/>
              </w:rPr>
            </w:pPr>
            <w:r>
              <w:rPr>
                <w:rFonts w:hint="eastAsia" w:ascii="Times New Roman" w:hAnsi="Times New Roman"/>
                <w:sz w:val="22"/>
                <w:szCs w:val="22"/>
              </w:rPr>
              <w:t>补贴按时发放率（</w:t>
            </w:r>
            <w:r>
              <w:rPr>
                <w:rFonts w:ascii="Times New Roman" w:hAnsi="Times New Roman"/>
                <w:sz w:val="22"/>
                <w:szCs w:val="22"/>
              </w:rPr>
              <w:t>3</w:t>
            </w:r>
            <w:r>
              <w:rPr>
                <w:rFonts w:hint="eastAsia" w:ascii="Times New Roman" w:hAnsi="Times New Roman"/>
                <w:sz w:val="22"/>
                <w:szCs w:val="22"/>
              </w:rPr>
              <w:t>分）</w:t>
            </w:r>
          </w:p>
          <w:p>
            <w:pPr>
              <w:widowControl/>
              <w:spacing w:line="240" w:lineRule="auto"/>
              <w:jc w:val="center"/>
              <w:rPr>
                <w:rFonts w:ascii="Times New Roman" w:hAnsi="Times New Roman"/>
                <w:sz w:val="22"/>
                <w:szCs w:val="22"/>
              </w:rPr>
            </w:pPr>
            <w:r>
              <w:rPr>
                <w:rFonts w:hint="eastAsia" w:ascii="Times New Roman" w:hAnsi="Times New Roman"/>
                <w:sz w:val="22"/>
                <w:szCs w:val="22"/>
              </w:rPr>
              <w:t>救助情况录入系统及时性（</w:t>
            </w:r>
            <w:r>
              <w:rPr>
                <w:rFonts w:ascii="Times New Roman" w:hAnsi="Times New Roman"/>
                <w:sz w:val="22"/>
                <w:szCs w:val="22"/>
              </w:rPr>
              <w:t>3</w:t>
            </w:r>
            <w:r>
              <w:rPr>
                <w:rFonts w:hint="eastAsia" w:ascii="Times New Roman" w:hAnsi="Times New Roman"/>
                <w:sz w:val="22"/>
                <w:szCs w:val="22"/>
              </w:rPr>
              <w:t>分）</w:t>
            </w:r>
          </w:p>
        </w:tc>
        <w:tc>
          <w:tcPr>
            <w:tcW w:w="986" w:type="dxa"/>
            <w:shd w:val="clear" w:color="auto" w:fill="auto"/>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0"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continue"/>
            <w:shd w:val="clear" w:color="auto" w:fill="auto"/>
            <w:vAlign w:val="center"/>
          </w:tcPr>
          <w:p>
            <w:pPr>
              <w:widowControl/>
              <w:spacing w:line="240" w:lineRule="auto"/>
              <w:jc w:val="center"/>
              <w:rPr>
                <w:rFonts w:ascii="Times New Roman" w:hAnsi="Times New Roman" w:cs="宋体"/>
                <w:color w:val="000000"/>
                <w:kern w:val="0"/>
                <w:sz w:val="22"/>
                <w:szCs w:val="22"/>
              </w:rPr>
            </w:pPr>
          </w:p>
        </w:tc>
        <w:tc>
          <w:tcPr>
            <w:tcW w:w="4253" w:type="dxa"/>
            <w:vMerge w:val="continue"/>
            <w:shd w:val="clear" w:color="auto" w:fill="auto"/>
            <w:vAlign w:val="center"/>
          </w:tcPr>
          <w:p>
            <w:pPr>
              <w:widowControl/>
              <w:spacing w:line="240" w:lineRule="auto"/>
              <w:jc w:val="center"/>
              <w:rPr>
                <w:rFonts w:ascii="Times New Roman" w:hAnsi="Times New Roman"/>
                <w:sz w:val="22"/>
                <w:szCs w:val="22"/>
              </w:rPr>
            </w:pPr>
          </w:p>
        </w:tc>
        <w:tc>
          <w:tcPr>
            <w:tcW w:w="986" w:type="dxa"/>
            <w:shd w:val="clear" w:color="auto" w:fill="auto"/>
            <w:vAlign w:val="center"/>
          </w:tcPr>
          <w:p>
            <w:pPr>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0" w:hRule="atLeast"/>
        </w:trPr>
        <w:tc>
          <w:tcPr>
            <w:tcW w:w="1276" w:type="dxa"/>
            <w:vMerge w:val="restart"/>
            <w:shd w:val="clear" w:color="auto" w:fill="auto"/>
            <w:vAlign w:val="center"/>
          </w:tcPr>
          <w:p>
            <w:pPr>
              <w:widowControl/>
              <w:spacing w:line="240" w:lineRule="auto"/>
              <w:jc w:val="center"/>
              <w:rPr>
                <w:rFonts w:ascii="Times New Roman" w:hAnsi="Times New Roman" w:cs="宋体"/>
                <w:b/>
                <w:bCs/>
                <w:color w:val="000000"/>
                <w:kern w:val="0"/>
                <w:sz w:val="22"/>
                <w:szCs w:val="22"/>
              </w:rPr>
            </w:pPr>
            <w:r>
              <w:rPr>
                <w:rFonts w:hint="eastAsia" w:ascii="Times New Roman" w:hAnsi="Times New Roman" w:cs="宋体"/>
                <w:b/>
                <w:bCs/>
                <w:color w:val="000000"/>
                <w:kern w:val="0"/>
                <w:sz w:val="22"/>
                <w:szCs w:val="22"/>
              </w:rPr>
              <w:t>效益指标（</w:t>
            </w:r>
            <w:r>
              <w:rPr>
                <w:rFonts w:ascii="Times New Roman" w:hAnsi="Times New Roman" w:cs="Times New Roman"/>
                <w:b/>
                <w:bCs/>
                <w:color w:val="000000"/>
                <w:kern w:val="0"/>
                <w:sz w:val="22"/>
                <w:szCs w:val="22"/>
              </w:rPr>
              <w:t>20</w:t>
            </w:r>
            <w:r>
              <w:rPr>
                <w:rFonts w:hint="eastAsia" w:ascii="Times New Roman" w:hAnsi="Times New Roman" w:cs="宋体"/>
                <w:b/>
                <w:bCs/>
                <w:color w:val="000000"/>
                <w:kern w:val="0"/>
                <w:sz w:val="22"/>
                <w:szCs w:val="22"/>
              </w:rPr>
              <w:t>分）</w:t>
            </w:r>
          </w:p>
        </w:tc>
        <w:tc>
          <w:tcPr>
            <w:tcW w:w="2126" w:type="dxa"/>
            <w:vMerge w:val="restart"/>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社会效益（</w:t>
            </w:r>
            <w:r>
              <w:rPr>
                <w:rFonts w:ascii="Times New Roman" w:hAnsi="Times New Roman" w:cs="Times New Roman"/>
                <w:color w:val="000000"/>
                <w:kern w:val="0"/>
                <w:sz w:val="22"/>
                <w:szCs w:val="22"/>
              </w:rPr>
              <w:t>10</w:t>
            </w:r>
            <w:r>
              <w:rPr>
                <w:rFonts w:hint="eastAsia" w:ascii="Times New Roman" w:hAnsi="Times New Roman" w:cs="宋体"/>
                <w:color w:val="000000"/>
                <w:kern w:val="0"/>
                <w:sz w:val="22"/>
                <w:szCs w:val="22"/>
              </w:rPr>
              <w:t>分）</w:t>
            </w:r>
          </w:p>
        </w:tc>
        <w:tc>
          <w:tcPr>
            <w:tcW w:w="4253" w:type="dxa"/>
            <w:shd w:val="clear" w:color="auto" w:fill="auto"/>
            <w:vAlign w:val="center"/>
          </w:tcPr>
          <w:p>
            <w:pPr>
              <w:widowControl/>
              <w:spacing w:line="240" w:lineRule="auto"/>
              <w:jc w:val="center"/>
              <w:rPr>
                <w:rFonts w:ascii="Times New Roman" w:hAnsi="Times New Roman"/>
                <w:sz w:val="22"/>
                <w:szCs w:val="22"/>
              </w:rPr>
            </w:pPr>
            <w:r>
              <w:rPr>
                <w:rFonts w:hint="eastAsia" w:ascii="Times New Roman" w:hAnsi="Times New Roman"/>
                <w:sz w:val="22"/>
                <w:szCs w:val="22"/>
              </w:rPr>
              <w:t>政策知晓率（</w:t>
            </w:r>
            <w:r>
              <w:rPr>
                <w:rFonts w:ascii="Times New Roman" w:hAnsi="Times New Roman"/>
                <w:sz w:val="22"/>
                <w:szCs w:val="22"/>
              </w:rPr>
              <w:t>5</w:t>
            </w:r>
            <w:r>
              <w:rPr>
                <w:rFonts w:hint="eastAsia" w:ascii="Times New Roman" w:hAnsi="Times New Roman"/>
                <w:sz w:val="22"/>
                <w:szCs w:val="22"/>
              </w:rPr>
              <w:t>分）</w:t>
            </w:r>
          </w:p>
        </w:tc>
        <w:tc>
          <w:tcPr>
            <w:tcW w:w="986" w:type="dxa"/>
            <w:shd w:val="clear" w:color="auto" w:fill="auto"/>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0"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vMerge w:val="continue"/>
            <w:vAlign w:val="center"/>
          </w:tcPr>
          <w:p>
            <w:pPr>
              <w:widowControl/>
              <w:spacing w:line="240" w:lineRule="auto"/>
              <w:jc w:val="left"/>
              <w:rPr>
                <w:rFonts w:ascii="Times New Roman" w:hAnsi="Times New Roman" w:cs="宋体"/>
                <w:color w:val="000000"/>
                <w:kern w:val="0"/>
                <w:sz w:val="22"/>
                <w:szCs w:val="22"/>
              </w:rPr>
            </w:pPr>
          </w:p>
        </w:tc>
        <w:tc>
          <w:tcPr>
            <w:tcW w:w="4253" w:type="dxa"/>
            <w:shd w:val="clear" w:color="auto" w:fill="auto"/>
            <w:vAlign w:val="center"/>
          </w:tcPr>
          <w:p>
            <w:pPr>
              <w:widowControl/>
              <w:spacing w:line="240" w:lineRule="auto"/>
              <w:jc w:val="center"/>
              <w:rPr>
                <w:rFonts w:ascii="Times New Roman" w:hAnsi="Times New Roman"/>
                <w:sz w:val="22"/>
                <w:szCs w:val="22"/>
              </w:rPr>
            </w:pPr>
            <w:r>
              <w:rPr>
                <w:rFonts w:hint="eastAsia" w:ascii="Times New Roman" w:hAnsi="Times New Roman"/>
                <w:sz w:val="22"/>
                <w:szCs w:val="22"/>
              </w:rPr>
              <w:t>政策认同感（</w:t>
            </w:r>
            <w:r>
              <w:rPr>
                <w:rFonts w:ascii="Times New Roman" w:hAnsi="Times New Roman"/>
                <w:sz w:val="22"/>
                <w:szCs w:val="22"/>
              </w:rPr>
              <w:t>5</w:t>
            </w:r>
            <w:r>
              <w:rPr>
                <w:rFonts w:hint="eastAsia" w:ascii="Times New Roman" w:hAnsi="Times New Roman"/>
                <w:sz w:val="22"/>
                <w:szCs w:val="22"/>
              </w:rPr>
              <w:t>分）</w:t>
            </w:r>
          </w:p>
        </w:tc>
        <w:tc>
          <w:tcPr>
            <w:tcW w:w="986" w:type="dxa"/>
            <w:shd w:val="clear" w:color="auto" w:fill="auto"/>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0"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可持续性（</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c>
          <w:tcPr>
            <w:tcW w:w="4253" w:type="dxa"/>
            <w:shd w:val="clear" w:color="auto" w:fill="auto"/>
            <w:vAlign w:val="center"/>
          </w:tcPr>
          <w:p>
            <w:pPr>
              <w:widowControl/>
              <w:spacing w:line="240" w:lineRule="auto"/>
              <w:jc w:val="center"/>
              <w:rPr>
                <w:rFonts w:ascii="Times New Roman" w:hAnsi="Times New Roman"/>
                <w:sz w:val="22"/>
                <w:szCs w:val="22"/>
              </w:rPr>
            </w:pPr>
            <w:r>
              <w:rPr>
                <w:rFonts w:hint="eastAsia" w:ascii="Times New Roman" w:hAnsi="Times New Roman"/>
                <w:sz w:val="22"/>
                <w:szCs w:val="22"/>
              </w:rPr>
              <w:t>救助机制完善性（</w:t>
            </w:r>
            <w:r>
              <w:rPr>
                <w:rFonts w:ascii="Times New Roman" w:hAnsi="Times New Roman"/>
                <w:sz w:val="22"/>
                <w:szCs w:val="22"/>
              </w:rPr>
              <w:t>5</w:t>
            </w:r>
            <w:r>
              <w:rPr>
                <w:rFonts w:hint="eastAsia" w:ascii="Times New Roman" w:hAnsi="Times New Roman"/>
                <w:sz w:val="22"/>
                <w:szCs w:val="22"/>
              </w:rPr>
              <w:t>分）</w:t>
            </w:r>
          </w:p>
        </w:tc>
        <w:tc>
          <w:tcPr>
            <w:tcW w:w="986" w:type="dxa"/>
            <w:shd w:val="clear" w:color="auto" w:fill="auto"/>
            <w:vAlign w:val="center"/>
          </w:tcPr>
          <w:p>
            <w:pPr>
              <w:widowControl/>
              <w:spacing w:line="240" w:lineRule="auto"/>
              <w:jc w:val="center"/>
              <w:rPr>
                <w:rFonts w:ascii="Times New Roman" w:hAnsi="Times New Roman" w:cs="宋体"/>
                <w:color w:val="000000"/>
                <w:kern w:val="0"/>
                <w:sz w:val="22"/>
                <w:szCs w:val="22"/>
              </w:rPr>
            </w:pPr>
            <w:r>
              <w:rPr>
                <w:rFonts w:ascii="Times New Roman" w:hAnsi="Times New Roman" w:cs="Times New Roman"/>
                <w:color w:val="000000"/>
                <w:kern w:val="0"/>
                <w:sz w:val="22"/>
                <w:szCs w:val="22"/>
              </w:rPr>
              <w:t>2</w:t>
            </w:r>
            <w:r>
              <w:rPr>
                <w:rFonts w:hint="eastAsia" w:ascii="Times New Roman" w:hAnsi="Times New Roman" w:cs="宋体"/>
                <w:color w:val="000000"/>
                <w:kern w:val="0"/>
                <w:sz w:val="22"/>
                <w:szCs w:val="22"/>
              </w:rPr>
              <w:t>.</w:t>
            </w:r>
            <w:r>
              <w:rPr>
                <w:rFonts w:ascii="Times New Roman" w:hAnsi="Times New Roman" w:cs="Times New Roman"/>
                <w:color w:val="000000"/>
                <w:kern w:val="0"/>
                <w:sz w:val="22"/>
                <w:szCs w:val="22"/>
              </w:rPr>
              <w:t>00</w:t>
            </w:r>
          </w:p>
        </w:tc>
      </w:tr>
      <w:tr>
        <w:tblPrEx>
          <w:tblCellMar>
            <w:top w:w="0" w:type="dxa"/>
            <w:left w:w="108" w:type="dxa"/>
            <w:bottom w:w="0" w:type="dxa"/>
            <w:right w:w="108" w:type="dxa"/>
          </w:tblCellMar>
        </w:tblPrEx>
        <w:trPr>
          <w:trHeight w:val="20" w:hRule="atLeast"/>
        </w:trPr>
        <w:tc>
          <w:tcPr>
            <w:tcW w:w="1276" w:type="dxa"/>
            <w:vMerge w:val="continue"/>
            <w:vAlign w:val="center"/>
          </w:tcPr>
          <w:p>
            <w:pPr>
              <w:widowControl/>
              <w:spacing w:line="240" w:lineRule="auto"/>
              <w:jc w:val="left"/>
              <w:rPr>
                <w:rFonts w:ascii="Times New Roman" w:hAnsi="Times New Roman" w:cs="宋体"/>
                <w:b/>
                <w:bCs/>
                <w:color w:val="000000"/>
                <w:kern w:val="0"/>
                <w:sz w:val="22"/>
                <w:szCs w:val="22"/>
              </w:rPr>
            </w:pPr>
          </w:p>
        </w:tc>
        <w:tc>
          <w:tcPr>
            <w:tcW w:w="2126" w:type="dxa"/>
            <w:shd w:val="clear" w:color="auto" w:fill="auto"/>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满意度（</w:t>
            </w:r>
            <w:r>
              <w:rPr>
                <w:rFonts w:ascii="Times New Roman" w:hAnsi="Times New Roman" w:cs="Times New Roman"/>
                <w:color w:val="000000"/>
                <w:kern w:val="0"/>
                <w:sz w:val="22"/>
                <w:szCs w:val="22"/>
              </w:rPr>
              <w:t>5</w:t>
            </w:r>
            <w:r>
              <w:rPr>
                <w:rFonts w:hint="eastAsia" w:ascii="Times New Roman" w:hAnsi="Times New Roman" w:cs="宋体"/>
                <w:color w:val="000000"/>
                <w:kern w:val="0"/>
                <w:sz w:val="22"/>
                <w:szCs w:val="22"/>
              </w:rPr>
              <w:t>分）</w:t>
            </w:r>
          </w:p>
        </w:tc>
        <w:tc>
          <w:tcPr>
            <w:tcW w:w="4253" w:type="dxa"/>
            <w:shd w:val="clear" w:color="auto" w:fill="auto"/>
            <w:vAlign w:val="center"/>
          </w:tcPr>
          <w:p>
            <w:pPr>
              <w:widowControl/>
              <w:spacing w:line="240" w:lineRule="auto"/>
              <w:jc w:val="center"/>
              <w:rPr>
                <w:rFonts w:ascii="Times New Roman" w:hAnsi="Times New Roman"/>
                <w:sz w:val="22"/>
                <w:szCs w:val="22"/>
              </w:rPr>
            </w:pPr>
            <w:r>
              <w:rPr>
                <w:rFonts w:hint="eastAsia" w:ascii="Times New Roman" w:hAnsi="Times New Roman"/>
                <w:sz w:val="22"/>
                <w:szCs w:val="22"/>
              </w:rPr>
              <w:t>服务对象满意度（</w:t>
            </w:r>
            <w:r>
              <w:rPr>
                <w:rFonts w:ascii="Times New Roman" w:hAnsi="Times New Roman"/>
                <w:sz w:val="22"/>
                <w:szCs w:val="22"/>
              </w:rPr>
              <w:t>5</w:t>
            </w:r>
            <w:r>
              <w:rPr>
                <w:rFonts w:hint="eastAsia" w:ascii="Times New Roman" w:hAnsi="Times New Roman"/>
                <w:sz w:val="22"/>
                <w:szCs w:val="22"/>
              </w:rPr>
              <w:t>分）</w:t>
            </w:r>
          </w:p>
        </w:tc>
        <w:tc>
          <w:tcPr>
            <w:tcW w:w="986" w:type="dxa"/>
            <w:shd w:val="clear" w:color="auto" w:fill="auto"/>
            <w:vAlign w:val="center"/>
          </w:tcPr>
          <w:p>
            <w:pPr>
              <w:widowControl/>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4. 90</w:t>
            </w:r>
          </w:p>
        </w:tc>
      </w:tr>
      <w:tr>
        <w:tblPrEx>
          <w:tblCellMar>
            <w:top w:w="0" w:type="dxa"/>
            <w:left w:w="108" w:type="dxa"/>
            <w:bottom w:w="0" w:type="dxa"/>
            <w:right w:w="108" w:type="dxa"/>
          </w:tblCellMar>
        </w:tblPrEx>
        <w:trPr>
          <w:trHeight w:val="288" w:hRule="atLeast"/>
        </w:trPr>
        <w:tc>
          <w:tcPr>
            <w:tcW w:w="7655" w:type="dxa"/>
            <w:gridSpan w:val="3"/>
            <w:tcBorders>
              <w:bottom w:val="single" w:color="auto" w:sz="12" w:space="0"/>
            </w:tcBorders>
            <w:shd w:val="clear" w:color="auto" w:fill="auto"/>
            <w:noWrap/>
            <w:vAlign w:val="center"/>
          </w:tcPr>
          <w:p>
            <w:pPr>
              <w:widowControl/>
              <w:spacing w:line="240" w:lineRule="auto"/>
              <w:jc w:val="center"/>
              <w:rPr>
                <w:rFonts w:ascii="Times New Roman" w:hAnsi="Times New Roman" w:cs="宋体"/>
                <w:color w:val="000000"/>
                <w:kern w:val="0"/>
                <w:sz w:val="22"/>
                <w:szCs w:val="22"/>
              </w:rPr>
            </w:pPr>
            <w:r>
              <w:rPr>
                <w:rFonts w:hint="eastAsia" w:ascii="Times New Roman" w:hAnsi="Times New Roman" w:cs="宋体"/>
                <w:color w:val="000000"/>
                <w:kern w:val="0"/>
                <w:sz w:val="22"/>
                <w:szCs w:val="22"/>
              </w:rPr>
              <w:t>总分</w:t>
            </w:r>
          </w:p>
        </w:tc>
        <w:tc>
          <w:tcPr>
            <w:tcW w:w="986" w:type="dxa"/>
            <w:tcBorders>
              <w:bottom w:val="single" w:color="auto" w:sz="12" w:space="0"/>
            </w:tcBorders>
            <w:shd w:val="clear" w:color="auto" w:fill="auto"/>
            <w:vAlign w:val="center"/>
          </w:tcPr>
          <w:p>
            <w:pPr>
              <w:widowControl/>
              <w:spacing w:line="240" w:lineRule="auto"/>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88</w:t>
            </w:r>
            <w:r>
              <w:rPr>
                <w:rFonts w:hint="eastAsia" w:ascii="Times New Roman" w:hAnsi="Times New Roman" w:cs="Times New Roman"/>
                <w:color w:val="000000"/>
                <w:kern w:val="0"/>
                <w:sz w:val="22"/>
                <w:szCs w:val="22"/>
              </w:rPr>
              <w:t>.</w:t>
            </w:r>
            <w:r>
              <w:rPr>
                <w:rFonts w:ascii="Times New Roman" w:hAnsi="Times New Roman" w:cs="Times New Roman"/>
                <w:color w:val="000000"/>
                <w:kern w:val="0"/>
                <w:sz w:val="22"/>
                <w:szCs w:val="22"/>
              </w:rPr>
              <w:t>81</w:t>
            </w:r>
          </w:p>
        </w:tc>
      </w:tr>
    </w:tbl>
    <w:p>
      <w:pPr>
        <w:spacing w:before="312" w:beforeLines="100" w:after="156" w:afterLines="50"/>
        <w:ind w:firstLine="643" w:firstLineChars="200"/>
        <w:outlineLvl w:val="1"/>
        <w:rPr>
          <w:rFonts w:ascii="Times New Roman" w:hAnsi="Times New Roman" w:cs="黑体"/>
          <w:b/>
          <w:bCs/>
          <w:sz w:val="32"/>
          <w:szCs w:val="32"/>
        </w:rPr>
      </w:pPr>
      <w:bookmarkStart w:id="74" w:name="_Toc124892217"/>
      <w:bookmarkStart w:id="75" w:name="_Toc1517595374"/>
      <w:bookmarkStart w:id="76" w:name="_Toc152320464"/>
      <w:r>
        <w:rPr>
          <w:rFonts w:hint="eastAsia" w:ascii="Times New Roman" w:hAnsi="Times New Roman" w:cs="黑体"/>
          <w:b/>
          <w:bCs/>
          <w:sz w:val="32"/>
          <w:szCs w:val="32"/>
        </w:rPr>
        <w:t>二、绩效评价指标分析</w:t>
      </w:r>
      <w:bookmarkEnd w:id="74"/>
      <w:bookmarkEnd w:id="75"/>
      <w:bookmarkEnd w:id="76"/>
    </w:p>
    <w:p>
      <w:pPr>
        <w:ind w:firstLine="560" w:firstLineChars="200"/>
        <w:rPr>
          <w:rFonts w:ascii="Times New Roman" w:hAnsi="Times New Roman" w:cs="Times New Roman"/>
          <w:szCs w:val="28"/>
        </w:rPr>
      </w:pPr>
      <w:r>
        <w:rPr>
          <w:rFonts w:ascii="Times New Roman" w:hAnsi="Times New Roman" w:cs="Times New Roman"/>
          <w:szCs w:val="28"/>
        </w:rPr>
        <w:t>从整体来看，2021-2022</w:t>
      </w:r>
      <w:r>
        <w:rPr>
          <w:rFonts w:hint="eastAsia" w:ascii="Times New Roman" w:hAnsi="Times New Roman" w:cs="Times New Roman"/>
          <w:szCs w:val="28"/>
        </w:rPr>
        <w:t>年惠安县困难群众救助补助专项资金</w:t>
      </w:r>
      <w:r>
        <w:rPr>
          <w:rFonts w:ascii="Times New Roman" w:hAnsi="Times New Roman" w:cs="Times New Roman"/>
          <w:szCs w:val="28"/>
        </w:rPr>
        <w:t>运作较规范，资金使用及时，整体实施情况良好，较好地完成了项目设定的各项目标。下面从项目决策、过程、产出、效益</w:t>
      </w:r>
      <w:r>
        <w:rPr>
          <w:rFonts w:hint="eastAsia" w:ascii="Times New Roman" w:hAnsi="Times New Roman" w:cs="Times New Roman"/>
          <w:szCs w:val="28"/>
        </w:rPr>
        <w:t>四</w:t>
      </w:r>
      <w:r>
        <w:rPr>
          <w:rFonts w:ascii="Times New Roman" w:hAnsi="Times New Roman" w:cs="Times New Roman"/>
          <w:szCs w:val="28"/>
        </w:rPr>
        <w:t>个维度具体分析项目运行情况：</w:t>
      </w:r>
    </w:p>
    <w:p>
      <w:pPr>
        <w:ind w:firstLine="562" w:firstLineChars="200"/>
        <w:outlineLvl w:val="2"/>
        <w:rPr>
          <w:rFonts w:ascii="Times New Roman" w:hAnsi="Times New Roman" w:cs="Times New Roman"/>
          <w:b/>
          <w:bCs/>
          <w:szCs w:val="28"/>
        </w:rPr>
      </w:pPr>
      <w:bookmarkStart w:id="77" w:name="_Toc406714302"/>
      <w:bookmarkStart w:id="78" w:name="_Toc124892218"/>
      <w:bookmarkStart w:id="79" w:name="_Toc152320465"/>
      <w:r>
        <w:rPr>
          <w:rFonts w:hint="eastAsia" w:ascii="Times New Roman" w:hAnsi="Times New Roman" w:cs="Times New Roman"/>
          <w:b/>
          <w:bCs/>
          <w:szCs w:val="28"/>
        </w:rPr>
        <w:t>（一）项目决策情况</w:t>
      </w:r>
      <w:bookmarkEnd w:id="77"/>
      <w:bookmarkEnd w:id="78"/>
      <w:bookmarkEnd w:id="79"/>
    </w:p>
    <w:p>
      <w:pPr>
        <w:ind w:firstLine="560" w:firstLineChars="200"/>
        <w:rPr>
          <w:rFonts w:ascii="Times New Roman" w:hAnsi="Times New Roman" w:cs="Times New Roman"/>
          <w:szCs w:val="28"/>
        </w:rPr>
      </w:pPr>
      <w:r>
        <w:rPr>
          <w:rFonts w:ascii="Times New Roman" w:hAnsi="Times New Roman" w:cs="Times New Roman"/>
          <w:szCs w:val="28"/>
        </w:rPr>
        <w:t>项目决策维度的评价主要从项目立项、绩效目标和资金投入三个方面展开</w:t>
      </w:r>
      <w:r>
        <w:rPr>
          <w:rFonts w:hint="eastAsia" w:ascii="Times New Roman" w:hAnsi="Times New Roman" w:cs="Times New Roman"/>
          <w:szCs w:val="28"/>
        </w:rPr>
        <w:t>。</w:t>
      </w:r>
      <w:r>
        <w:rPr>
          <w:rFonts w:ascii="Times New Roman" w:hAnsi="Times New Roman" w:cs="Times New Roman"/>
          <w:szCs w:val="28"/>
        </w:rPr>
        <w:t>立项依据充分、绩效目标和资金投入方案合理</w:t>
      </w:r>
      <w:r>
        <w:rPr>
          <w:rFonts w:hint="eastAsia" w:ascii="Times New Roman" w:hAnsi="Times New Roman" w:cs="Times New Roman"/>
          <w:szCs w:val="28"/>
        </w:rPr>
        <w:t>，</w:t>
      </w:r>
      <w:r>
        <w:rPr>
          <w:rFonts w:hint="eastAsia" w:ascii="Times New Roman" w:hAnsi="Times New Roman"/>
          <w:shd w:val="clear" w:color="auto" w:fill="FFFFFF"/>
        </w:rPr>
        <w:t>但仍存在指标设计较为简单、未能依据历史数据及增长规律设定年度目标值的情况。该部分总分</w:t>
      </w:r>
      <w:r>
        <w:rPr>
          <w:rFonts w:ascii="Times New Roman" w:hAnsi="Times New Roman" w:cs="Times New Roman"/>
          <w:shd w:val="clear" w:color="auto" w:fill="FFFFFF"/>
        </w:rPr>
        <w:t>20</w:t>
      </w:r>
      <w:r>
        <w:rPr>
          <w:rFonts w:hint="eastAsia" w:ascii="Times New Roman" w:hAnsi="Times New Roman"/>
          <w:shd w:val="clear" w:color="auto" w:fill="FFFFFF"/>
        </w:rPr>
        <w:t>分，得分</w:t>
      </w:r>
      <w:r>
        <w:rPr>
          <w:rFonts w:ascii="Times New Roman" w:hAnsi="Times New Roman" w:cs="Times New Roman"/>
          <w:shd w:val="clear" w:color="auto" w:fill="FFFFFF"/>
        </w:rPr>
        <w:t>18</w:t>
      </w:r>
      <w:r>
        <w:rPr>
          <w:rFonts w:hint="eastAsia" w:ascii="Times New Roman" w:hAnsi="Times New Roman"/>
          <w:shd w:val="clear" w:color="auto" w:fill="FFFFFF"/>
        </w:rPr>
        <w:t>分，扣分</w:t>
      </w:r>
      <w:r>
        <w:rPr>
          <w:rFonts w:ascii="Times New Roman" w:hAnsi="Times New Roman" w:cs="Times New Roman"/>
          <w:shd w:val="clear" w:color="auto" w:fill="FFFFFF"/>
        </w:rPr>
        <w:t>2</w:t>
      </w:r>
      <w:r>
        <w:rPr>
          <w:rFonts w:hint="eastAsia" w:ascii="Times New Roman" w:hAnsi="Times New Roman"/>
          <w:shd w:val="clear" w:color="auto" w:fill="FFFFFF"/>
        </w:rPr>
        <w:t>分。</w:t>
      </w:r>
    </w:p>
    <w:p>
      <w:pPr>
        <w:ind w:firstLine="560" w:firstLineChars="200"/>
        <w:rPr>
          <w:rFonts w:ascii="Times New Roman" w:hAnsi="Times New Roman" w:cs="Times New Roman"/>
          <w:szCs w:val="28"/>
        </w:rPr>
      </w:pPr>
      <w:r>
        <w:rPr>
          <w:rFonts w:hint="eastAsia" w:ascii="Times New Roman" w:hAnsi="Times New Roman" w:cs="Times New Roman"/>
          <w:szCs w:val="28"/>
        </w:rPr>
        <w:t>专项资金从项目立项起便依据《中共惠安县委办公室惠安县人民政府办公室关于</w:t>
      </w:r>
      <w:r>
        <w:rPr>
          <w:rFonts w:ascii="Times New Roman" w:hAnsi="Times New Roman" w:cs="Times New Roman"/>
          <w:szCs w:val="28"/>
        </w:rPr>
        <w:t>2022</w:t>
      </w:r>
      <w:r>
        <w:rPr>
          <w:rFonts w:hint="eastAsia" w:ascii="Times New Roman" w:hAnsi="Times New Roman" w:cs="Times New Roman"/>
          <w:szCs w:val="28"/>
        </w:rPr>
        <w:t>年县委县政府为民办实事项目责任分解的通知》（惠委办〔</w:t>
      </w:r>
      <w:r>
        <w:rPr>
          <w:rFonts w:ascii="Times New Roman" w:hAnsi="Times New Roman" w:cs="Times New Roman"/>
          <w:szCs w:val="28"/>
        </w:rPr>
        <w:t>2021</w:t>
      </w:r>
      <w:r>
        <w:rPr>
          <w:rFonts w:hint="eastAsia" w:ascii="Times New Roman" w:hAnsi="Times New Roman" w:cs="Times New Roman"/>
          <w:szCs w:val="28"/>
        </w:rPr>
        <w:t>〕</w:t>
      </w:r>
      <w:r>
        <w:rPr>
          <w:rFonts w:ascii="Times New Roman" w:hAnsi="Times New Roman" w:cs="Times New Roman"/>
          <w:szCs w:val="28"/>
        </w:rPr>
        <w:t>74</w:t>
      </w:r>
      <w:r>
        <w:rPr>
          <w:rFonts w:hint="eastAsia" w:ascii="Times New Roman" w:hAnsi="Times New Roman" w:cs="Times New Roman"/>
          <w:szCs w:val="28"/>
        </w:rPr>
        <w:t>号）、《惠安县民政局关于印发〈惠安县困难群众“漏保”“漏救”点题整治巩固提升工作方案〉的通知》（</w:t>
      </w:r>
      <w:r>
        <w:rPr>
          <w:rFonts w:ascii="Times New Roman" w:hAnsi="Times New Roman" w:cs="Times New Roman"/>
          <w:szCs w:val="28"/>
        </w:rPr>
        <w:t>惠民综〔2022〕31号</w:t>
      </w:r>
      <w:r>
        <w:rPr>
          <w:rFonts w:hint="eastAsia" w:ascii="Times New Roman" w:hAnsi="Times New Roman" w:cs="Times New Roman"/>
          <w:szCs w:val="28"/>
        </w:rPr>
        <w:t>）等政策文件，项目按照规定的程序申请设立；审批文件、材料符合相关要求；事前已经过必要的可行性研究和集体决策。</w:t>
      </w:r>
    </w:p>
    <w:p>
      <w:pPr>
        <w:ind w:firstLine="560" w:firstLineChars="200"/>
        <w:rPr>
          <w:rFonts w:ascii="Times New Roman" w:hAnsi="Times New Roman" w:cs="Times New Roman"/>
          <w:szCs w:val="28"/>
        </w:rPr>
      </w:pPr>
      <w:r>
        <w:rPr>
          <w:rFonts w:hint="eastAsia" w:ascii="Times New Roman" w:hAnsi="Times New Roman" w:cs="Times New Roman"/>
          <w:szCs w:val="28"/>
        </w:rPr>
        <w:t>在绩效目标设置上，项目绩效目标与实际工作内容具有相关性；项目预期产出效益和效果符合正常的业绩水平；与预算确定的项目投资额或资金量相匹配，该</w:t>
      </w:r>
      <w:r>
        <w:rPr>
          <w:rFonts w:ascii="Times New Roman" w:hAnsi="Times New Roman" w:cs="Times New Roman"/>
          <w:szCs w:val="28"/>
        </w:rPr>
        <w:t>项目绩效目标</w:t>
      </w:r>
      <w:r>
        <w:rPr>
          <w:rFonts w:hint="eastAsia" w:ascii="Times New Roman" w:hAnsi="Times New Roman" w:cs="Times New Roman"/>
          <w:szCs w:val="28"/>
        </w:rPr>
        <w:t>已</w:t>
      </w:r>
      <w:r>
        <w:rPr>
          <w:rFonts w:ascii="Times New Roman" w:hAnsi="Times New Roman" w:cs="Times New Roman"/>
          <w:szCs w:val="28"/>
        </w:rPr>
        <w:t>细化分解为具体的绩效指标，与项目目标任务数或计划数相对应，指标值清晰可衡量。</w:t>
      </w:r>
      <w:r>
        <w:rPr>
          <w:rFonts w:hint="eastAsia" w:ascii="Times New Roman" w:hAnsi="Times New Roman" w:cs="Times New Roman"/>
          <w:szCs w:val="28"/>
        </w:rPr>
        <w:t>但部门在进行绩效自评时存在指标设计较为简单、目标值设定较低、未能依据历年数据及增长规律合理设定年度目标值的情况，如</w:t>
      </w:r>
      <w:r>
        <w:rPr>
          <w:rFonts w:ascii="Times New Roman" w:hAnsi="Times New Roman" w:cs="Times New Roman"/>
          <w:szCs w:val="28"/>
        </w:rPr>
        <w:t>2021</w:t>
      </w:r>
      <w:r>
        <w:rPr>
          <w:rFonts w:hint="eastAsia" w:ascii="Times New Roman" w:hAnsi="Times New Roman" w:cs="Times New Roman"/>
          <w:szCs w:val="28"/>
        </w:rPr>
        <w:t>年农村低保户数实际完成值为</w:t>
      </w:r>
      <w:r>
        <w:rPr>
          <w:rFonts w:ascii="Times New Roman" w:hAnsi="Times New Roman" w:cs="Times New Roman"/>
          <w:szCs w:val="28"/>
        </w:rPr>
        <w:t>4074</w:t>
      </w:r>
      <w:r>
        <w:rPr>
          <w:rFonts w:hint="eastAsia" w:ascii="Times New Roman" w:hAnsi="Times New Roman" w:cs="Times New Roman"/>
          <w:szCs w:val="28"/>
        </w:rPr>
        <w:t>户，而</w:t>
      </w:r>
      <w:r>
        <w:rPr>
          <w:rFonts w:ascii="Times New Roman" w:hAnsi="Times New Roman" w:cs="Times New Roman"/>
          <w:szCs w:val="28"/>
        </w:rPr>
        <w:t>2022</w:t>
      </w:r>
      <w:r>
        <w:rPr>
          <w:rFonts w:hint="eastAsia" w:ascii="Times New Roman" w:hAnsi="Times New Roman" w:cs="Times New Roman"/>
          <w:szCs w:val="28"/>
        </w:rPr>
        <w:t>年农村低保户数目标值为</w:t>
      </w:r>
      <w:r>
        <w:rPr>
          <w:rFonts w:ascii="Times New Roman" w:hAnsi="Times New Roman" w:cs="Times New Roman"/>
          <w:szCs w:val="28"/>
        </w:rPr>
        <w:t>3900</w:t>
      </w:r>
      <w:r>
        <w:rPr>
          <w:rFonts w:hint="eastAsia" w:ascii="Times New Roman" w:hAnsi="Times New Roman" w:cs="Times New Roman"/>
          <w:szCs w:val="28"/>
        </w:rPr>
        <w:t>户。因未能科学合理的设计评价指标和制定绩效目标值，“绩效目标合理性”、“绩效指标明确性”两项分别扣</w:t>
      </w:r>
      <w:r>
        <w:rPr>
          <w:rFonts w:ascii="Times New Roman" w:hAnsi="Times New Roman" w:cs="Times New Roman"/>
          <w:szCs w:val="28"/>
        </w:rPr>
        <w:t>1</w:t>
      </w:r>
      <w:r>
        <w:rPr>
          <w:rFonts w:hint="eastAsia" w:ascii="Times New Roman" w:hAnsi="Times New Roman" w:cs="Times New Roman"/>
          <w:szCs w:val="28"/>
        </w:rPr>
        <w:t>分。</w:t>
      </w:r>
    </w:p>
    <w:p>
      <w:pPr>
        <w:ind w:firstLine="560" w:firstLineChars="200"/>
        <w:rPr>
          <w:rFonts w:ascii="Times New Roman" w:hAnsi="Times New Roman" w:cs="Times New Roman"/>
          <w:szCs w:val="28"/>
        </w:rPr>
      </w:pPr>
      <w:r>
        <w:rPr>
          <w:rFonts w:hint="eastAsia" w:ascii="Times New Roman" w:hAnsi="Times New Roman" w:cs="Times New Roman"/>
          <w:szCs w:val="28"/>
        </w:rPr>
        <w:t>在资金投入方面，预算编制经过科学论证；</w:t>
      </w:r>
      <w:r>
        <w:rPr>
          <w:rFonts w:ascii="Times New Roman" w:hAnsi="Times New Roman" w:cs="Times New Roman"/>
          <w:szCs w:val="28"/>
        </w:rPr>
        <w:t>预算内容与项目内容匹配；预算额度测算依据充分，</w:t>
      </w:r>
      <w:r>
        <w:rPr>
          <w:rFonts w:hint="eastAsia" w:ascii="Times New Roman" w:hAnsi="Times New Roman" w:cs="Times New Roman"/>
          <w:szCs w:val="28"/>
        </w:rPr>
        <w:t>并</w:t>
      </w:r>
      <w:r>
        <w:rPr>
          <w:rFonts w:ascii="Times New Roman" w:hAnsi="Times New Roman" w:cs="Times New Roman"/>
          <w:szCs w:val="28"/>
        </w:rPr>
        <w:t>按照标准编制；预算确定的项目投资额</w:t>
      </w:r>
      <w:r>
        <w:rPr>
          <w:rFonts w:hint="eastAsia" w:ascii="Times New Roman" w:hAnsi="Times New Roman" w:cs="Times New Roman"/>
          <w:szCs w:val="28"/>
        </w:rPr>
        <w:t>或资金量</w:t>
      </w:r>
      <w:r>
        <w:rPr>
          <w:rFonts w:ascii="Times New Roman" w:hAnsi="Times New Roman" w:cs="Times New Roman"/>
          <w:szCs w:val="28"/>
        </w:rPr>
        <w:t>与工作任务相匹配。</w:t>
      </w:r>
    </w:p>
    <w:p>
      <w:pPr>
        <w:autoSpaceDE w:val="0"/>
        <w:ind w:firstLine="562"/>
        <w:outlineLvl w:val="2"/>
        <w:rPr>
          <w:rFonts w:ascii="Times New Roman" w:hAnsi="Times New Roman"/>
          <w:b/>
          <w:bCs/>
          <w:szCs w:val="28"/>
        </w:rPr>
      </w:pPr>
      <w:bookmarkStart w:id="80" w:name="_Toc152320466"/>
      <w:bookmarkStart w:id="81" w:name="_Toc124892219"/>
      <w:bookmarkStart w:id="82" w:name="_Toc119967329"/>
      <w:r>
        <w:rPr>
          <w:rFonts w:hint="eastAsia" w:ascii="Times New Roman" w:hAnsi="Times New Roman"/>
          <w:b/>
          <w:bCs/>
        </w:rPr>
        <w:t>（二）项目过程情况</w:t>
      </w:r>
      <w:bookmarkEnd w:id="80"/>
      <w:bookmarkEnd w:id="81"/>
      <w:bookmarkEnd w:id="82"/>
    </w:p>
    <w:p>
      <w:pPr>
        <w:ind w:firstLine="560" w:firstLineChars="200"/>
        <w:rPr>
          <w:rFonts w:ascii="Times New Roman" w:hAnsi="Times New Roman" w:cs="Times New Roman"/>
          <w:szCs w:val="28"/>
        </w:rPr>
      </w:pPr>
      <w:r>
        <w:rPr>
          <w:rFonts w:hint="eastAsia" w:ascii="Times New Roman" w:hAnsi="Times New Roman" w:cs="Times New Roman"/>
          <w:szCs w:val="28"/>
        </w:rPr>
        <w:t>项目过程维度的评价主要从资金管理和组织实施两个方面展开。</w:t>
      </w:r>
      <w:r>
        <w:rPr>
          <w:rFonts w:hint="eastAsia" w:ascii="Times New Roman" w:hAnsi="Times New Roman"/>
          <w:shd w:val="clear" w:color="auto" w:fill="FFFFFF"/>
        </w:rPr>
        <w:t>项目资金管理合规，组织实施有据可依，</w:t>
      </w:r>
      <w:r>
        <w:rPr>
          <w:rFonts w:hint="eastAsia" w:ascii="Times New Roman" w:hAnsi="Times New Roman" w:cs="Times New Roman"/>
          <w:szCs w:val="28"/>
        </w:rPr>
        <w:t>但专项资金预算执行率有待提升。该部分总分</w:t>
      </w:r>
      <w:r>
        <w:rPr>
          <w:rFonts w:ascii="Times New Roman" w:hAnsi="Times New Roman" w:cs="Times New Roman"/>
          <w:szCs w:val="28"/>
        </w:rPr>
        <w:t>20</w:t>
      </w:r>
      <w:r>
        <w:rPr>
          <w:rFonts w:hint="eastAsia" w:ascii="Times New Roman" w:hAnsi="Times New Roman" w:cs="Times New Roman"/>
          <w:szCs w:val="28"/>
        </w:rPr>
        <w:t>分，得分</w:t>
      </w:r>
      <w:r>
        <w:rPr>
          <w:rFonts w:ascii="Times New Roman" w:hAnsi="Times New Roman" w:cs="Times New Roman"/>
          <w:szCs w:val="28"/>
        </w:rPr>
        <w:t>19.91</w:t>
      </w:r>
      <w:r>
        <w:rPr>
          <w:rFonts w:hint="eastAsia" w:ascii="Times New Roman" w:hAnsi="Times New Roman" w:cs="Times New Roman"/>
          <w:szCs w:val="28"/>
        </w:rPr>
        <w:t>分，扣分0</w:t>
      </w:r>
      <w:r>
        <w:rPr>
          <w:rFonts w:ascii="Times New Roman" w:hAnsi="Times New Roman" w:cs="Times New Roman"/>
          <w:szCs w:val="28"/>
        </w:rPr>
        <w:t>.09分。</w:t>
      </w:r>
    </w:p>
    <w:p>
      <w:pPr>
        <w:ind w:firstLine="560" w:firstLineChars="200"/>
        <w:rPr>
          <w:rFonts w:ascii="Times New Roman" w:hAnsi="Times New Roman" w:cs="Times New Roman"/>
          <w:szCs w:val="28"/>
        </w:rPr>
      </w:pPr>
      <w:r>
        <w:rPr>
          <w:rFonts w:hint="eastAsia" w:ascii="Times New Roman" w:hAnsi="Times New Roman" w:cs="Times New Roman"/>
          <w:szCs w:val="28"/>
        </w:rPr>
        <w:t>在资金管理方面，</w:t>
      </w:r>
      <w:r>
        <w:rPr>
          <w:rFonts w:ascii="Times New Roman" w:hAnsi="Times New Roman" w:cs="Times New Roman"/>
          <w:szCs w:val="28"/>
        </w:rPr>
        <w:t>2021</w:t>
      </w:r>
      <w:r>
        <w:rPr>
          <w:rFonts w:hint="eastAsia" w:ascii="Times New Roman" w:hAnsi="Times New Roman" w:cs="Times New Roman"/>
          <w:szCs w:val="28"/>
        </w:rPr>
        <w:t>-</w:t>
      </w:r>
      <w:r>
        <w:rPr>
          <w:rFonts w:ascii="Times New Roman" w:hAnsi="Times New Roman" w:cs="Times New Roman"/>
          <w:szCs w:val="28"/>
        </w:rPr>
        <w:t>2022</w:t>
      </w:r>
      <w:r>
        <w:rPr>
          <w:rFonts w:hint="eastAsia" w:ascii="Times New Roman" w:hAnsi="Times New Roman" w:cs="Times New Roman"/>
          <w:szCs w:val="28"/>
        </w:rPr>
        <w:t>年度的预算执行率为</w:t>
      </w:r>
      <w:r>
        <w:rPr>
          <w:rFonts w:ascii="Times New Roman" w:hAnsi="Times New Roman" w:cs="Times New Roman"/>
          <w:szCs w:val="28"/>
        </w:rPr>
        <w:t>98.21</w:t>
      </w:r>
      <w:r>
        <w:rPr>
          <w:rFonts w:hint="eastAsia" w:ascii="Times New Roman" w:hAnsi="Times New Roman" w:cs="Times New Roman"/>
          <w:szCs w:val="28"/>
        </w:rPr>
        <w:t>%，资金执行率未达</w:t>
      </w:r>
      <w:r>
        <w:rPr>
          <w:rFonts w:ascii="Times New Roman" w:hAnsi="Times New Roman" w:cs="Times New Roman"/>
          <w:szCs w:val="28"/>
        </w:rPr>
        <w:t>100</w:t>
      </w:r>
      <w:r>
        <w:rPr>
          <w:rFonts w:hint="eastAsia" w:ascii="Times New Roman" w:hAnsi="Times New Roman" w:cs="Times New Roman"/>
          <w:szCs w:val="28"/>
        </w:rPr>
        <w:t>%，因此“预算执行率”此项扣</w:t>
      </w:r>
      <w:r>
        <w:rPr>
          <w:rFonts w:ascii="Times New Roman" w:hAnsi="Times New Roman" w:cs="Times New Roman"/>
          <w:szCs w:val="28"/>
        </w:rPr>
        <w:t>0.09</w:t>
      </w:r>
      <w:r>
        <w:rPr>
          <w:rFonts w:hint="eastAsia" w:ascii="Times New Roman" w:hAnsi="Times New Roman" w:cs="Times New Roman"/>
          <w:szCs w:val="28"/>
        </w:rPr>
        <w:t>分；</w:t>
      </w:r>
      <w:r>
        <w:rPr>
          <w:rFonts w:ascii="Times New Roman" w:hAnsi="Times New Roman" w:cs="Times New Roman"/>
          <w:szCs w:val="28"/>
        </w:rPr>
        <w:t>资金使用符合国家财经法规和财务管理制度以及有关专项资金管理办法的规定；资金的拨付有完整的审批程序和手续；资金使用符合</w:t>
      </w:r>
      <w:r>
        <w:rPr>
          <w:rFonts w:hint="eastAsia" w:ascii="Times New Roman" w:hAnsi="Times New Roman" w:cs="Times New Roman"/>
          <w:szCs w:val="28"/>
        </w:rPr>
        <w:t>专项</w:t>
      </w:r>
      <w:r>
        <w:rPr>
          <w:rFonts w:ascii="Times New Roman" w:hAnsi="Times New Roman" w:cs="Times New Roman"/>
          <w:szCs w:val="28"/>
        </w:rPr>
        <w:t>资金批复或合同规定的用途；不存在挤占、挪用、虚列支出等情况。</w:t>
      </w:r>
    </w:p>
    <w:p>
      <w:pPr>
        <w:ind w:firstLine="560" w:firstLineChars="200"/>
        <w:rPr>
          <w:rFonts w:ascii="Times New Roman" w:hAnsi="Times New Roman" w:cs="Times New Roman"/>
          <w:szCs w:val="28"/>
        </w:rPr>
      </w:pPr>
      <w:r>
        <w:rPr>
          <w:rFonts w:hint="eastAsia" w:ascii="Times New Roman" w:hAnsi="Times New Roman" w:cs="Times New Roman"/>
          <w:szCs w:val="28"/>
        </w:rPr>
        <w:t>组织实施方面，县民政局</w:t>
      </w:r>
      <w:r>
        <w:rPr>
          <w:rFonts w:ascii="Times New Roman" w:hAnsi="Times New Roman" w:cs="Times New Roman"/>
          <w:szCs w:val="28"/>
        </w:rPr>
        <w:t>依据</w:t>
      </w:r>
      <w:r>
        <w:rPr>
          <w:rFonts w:hint="eastAsia" w:ascii="Times New Roman" w:hAnsi="Times New Roman" w:cs="Times New Roman"/>
          <w:szCs w:val="28"/>
        </w:rPr>
        <w:t>国家、省级、市级相关文件</w:t>
      </w:r>
      <w:r>
        <w:rPr>
          <w:rFonts w:ascii="Times New Roman" w:hAnsi="Times New Roman" w:cs="Times New Roman"/>
          <w:szCs w:val="28"/>
        </w:rPr>
        <w:t>和管理规定</w:t>
      </w:r>
      <w:r>
        <w:rPr>
          <w:rFonts w:hint="eastAsia" w:ascii="Times New Roman" w:hAnsi="Times New Roman" w:cs="Times New Roman"/>
          <w:szCs w:val="28"/>
        </w:rPr>
        <w:t>对符合条件的困难群众</w:t>
      </w:r>
      <w:r>
        <w:rPr>
          <w:rFonts w:ascii="Times New Roman" w:hAnsi="Times New Roman" w:cs="Times New Roman"/>
          <w:szCs w:val="28"/>
        </w:rPr>
        <w:t>实施</w:t>
      </w:r>
      <w:r>
        <w:rPr>
          <w:rFonts w:hint="eastAsia" w:ascii="Times New Roman" w:hAnsi="Times New Roman" w:cs="Times New Roman"/>
          <w:szCs w:val="28"/>
        </w:rPr>
        <w:t>救助补助，</w:t>
      </w:r>
      <w:r>
        <w:rPr>
          <w:rFonts w:ascii="Times New Roman" w:hAnsi="Times New Roman" w:cs="Times New Roman"/>
          <w:szCs w:val="28"/>
        </w:rPr>
        <w:t>财务和业务管理制度合法、合规、完整</w:t>
      </w:r>
      <w:r>
        <w:rPr>
          <w:rFonts w:hint="eastAsia" w:ascii="Times New Roman" w:hAnsi="Times New Roman" w:cs="Times New Roman"/>
          <w:szCs w:val="28"/>
        </w:rPr>
        <w:t>，</w:t>
      </w:r>
      <w:r>
        <w:rPr>
          <w:rFonts w:ascii="Times New Roman" w:hAnsi="Times New Roman" w:cs="Times New Roman"/>
          <w:szCs w:val="28"/>
        </w:rPr>
        <w:t>对</w:t>
      </w:r>
      <w:r>
        <w:rPr>
          <w:rFonts w:hint="eastAsia" w:ascii="Times New Roman" w:hAnsi="Times New Roman" w:cs="Times New Roman"/>
          <w:szCs w:val="28"/>
        </w:rPr>
        <w:t>专项</w:t>
      </w:r>
      <w:r>
        <w:rPr>
          <w:rFonts w:ascii="Times New Roman" w:hAnsi="Times New Roman" w:cs="Times New Roman"/>
          <w:szCs w:val="28"/>
        </w:rPr>
        <w:t>顺利实施提供了保障</w:t>
      </w:r>
      <w:r>
        <w:rPr>
          <w:rFonts w:hint="eastAsia" w:ascii="Times New Roman" w:hAnsi="Times New Roman" w:cs="Times New Roman"/>
          <w:szCs w:val="28"/>
        </w:rPr>
        <w:t>；补助资金申报表</w:t>
      </w:r>
      <w:r>
        <w:rPr>
          <w:rFonts w:ascii="Times New Roman" w:hAnsi="Times New Roman" w:cs="Times New Roman"/>
          <w:szCs w:val="28"/>
        </w:rPr>
        <w:t>、</w:t>
      </w:r>
      <w:r>
        <w:rPr>
          <w:rFonts w:hint="eastAsia" w:ascii="Times New Roman" w:hAnsi="Times New Roman" w:cs="Times New Roman"/>
          <w:szCs w:val="28"/>
        </w:rPr>
        <w:t>补助对象信息表</w:t>
      </w:r>
      <w:r>
        <w:rPr>
          <w:rFonts w:ascii="Times New Roman" w:hAnsi="Times New Roman" w:cs="Times New Roman"/>
          <w:szCs w:val="28"/>
        </w:rPr>
        <w:t>等资料齐全并及时归档</w:t>
      </w:r>
      <w:r>
        <w:rPr>
          <w:rFonts w:hint="eastAsia" w:ascii="Times New Roman" w:hAnsi="Times New Roman" w:cs="Times New Roman"/>
          <w:szCs w:val="28"/>
        </w:rPr>
        <w:t>。</w:t>
      </w:r>
    </w:p>
    <w:p>
      <w:pPr>
        <w:autoSpaceDE w:val="0"/>
        <w:ind w:firstLine="562"/>
        <w:outlineLvl w:val="2"/>
        <w:rPr>
          <w:rFonts w:ascii="Times New Roman" w:hAnsi="Times New Roman"/>
          <w:b/>
          <w:bCs/>
          <w:szCs w:val="28"/>
        </w:rPr>
      </w:pPr>
      <w:bookmarkStart w:id="83" w:name="_Toc124892220"/>
      <w:bookmarkStart w:id="84" w:name="_Toc152320467"/>
      <w:bookmarkStart w:id="85" w:name="_Toc119967330"/>
      <w:r>
        <w:rPr>
          <w:rFonts w:hint="eastAsia" w:ascii="Times New Roman" w:hAnsi="Times New Roman"/>
          <w:b/>
          <w:bCs/>
        </w:rPr>
        <w:t>（三）项目产出情况</w:t>
      </w:r>
      <w:bookmarkEnd w:id="83"/>
      <w:bookmarkEnd w:id="84"/>
      <w:bookmarkEnd w:id="85"/>
    </w:p>
    <w:p>
      <w:pPr>
        <w:ind w:firstLine="560" w:firstLineChars="200"/>
        <w:rPr>
          <w:rFonts w:ascii="Times New Roman" w:hAnsi="Times New Roman" w:cs="Times New Roman"/>
          <w:szCs w:val="28"/>
        </w:rPr>
      </w:pPr>
      <w:r>
        <w:rPr>
          <w:rFonts w:hint="eastAsia" w:ascii="Times New Roman" w:hAnsi="Times New Roman" w:cs="Times New Roman"/>
          <w:szCs w:val="28"/>
        </w:rPr>
        <w:t>项目产出维度的评价主要从项目产出数量、质量和时效三个方面展开。惠安县民政局对困难群众已实现“应保尽保”、“应救尽救”，但仍存在救助宣传形式传统、救助方式单一，人员技能培训频率较低，信息共享机制不完善等问题。该部分总分</w:t>
      </w:r>
      <w:r>
        <w:rPr>
          <w:rFonts w:ascii="Times New Roman" w:hAnsi="Times New Roman" w:cs="Times New Roman"/>
          <w:szCs w:val="28"/>
        </w:rPr>
        <w:t>40</w:t>
      </w:r>
      <w:r>
        <w:rPr>
          <w:rFonts w:hint="eastAsia" w:ascii="Times New Roman" w:hAnsi="Times New Roman" w:cs="Times New Roman"/>
          <w:szCs w:val="28"/>
        </w:rPr>
        <w:t>分，得分</w:t>
      </w:r>
      <w:r>
        <w:rPr>
          <w:rFonts w:ascii="Times New Roman" w:hAnsi="Times New Roman" w:cs="Times New Roman"/>
          <w:szCs w:val="28"/>
        </w:rPr>
        <w:t>34</w:t>
      </w:r>
      <w:r>
        <w:rPr>
          <w:rFonts w:hint="eastAsia" w:ascii="Times New Roman" w:hAnsi="Times New Roman" w:cs="Times New Roman"/>
          <w:szCs w:val="28"/>
        </w:rPr>
        <w:t>分，扣分</w:t>
      </w:r>
      <w:r>
        <w:rPr>
          <w:rFonts w:ascii="Times New Roman" w:hAnsi="Times New Roman" w:cs="Times New Roman"/>
          <w:szCs w:val="28"/>
        </w:rPr>
        <w:t>6分。</w:t>
      </w:r>
    </w:p>
    <w:p>
      <w:pPr>
        <w:ind w:firstLine="560" w:firstLineChars="200"/>
        <w:rPr>
          <w:rFonts w:ascii="Times New Roman" w:hAnsi="Times New Roman" w:cs="Times New Roman"/>
          <w:szCs w:val="28"/>
        </w:rPr>
      </w:pPr>
      <w:r>
        <w:rPr>
          <w:rFonts w:hint="eastAsia" w:ascii="Times New Roman" w:hAnsi="Times New Roman" w:cs="Times New Roman"/>
          <w:szCs w:val="28"/>
        </w:rPr>
        <w:t>数量方面，</w:t>
      </w:r>
      <w:r>
        <w:rPr>
          <w:rFonts w:ascii="Times New Roman" w:hAnsi="Times New Roman" w:cs="Times New Roman"/>
          <w:szCs w:val="28"/>
        </w:rPr>
        <w:t>2021年</w:t>
      </w:r>
      <w:r>
        <w:rPr>
          <w:rFonts w:hint="eastAsia" w:ascii="Times New Roman" w:hAnsi="Times New Roman" w:cs="Times New Roman"/>
          <w:szCs w:val="28"/>
        </w:rPr>
        <w:t>惠安县</w:t>
      </w:r>
      <w:r>
        <w:rPr>
          <w:rFonts w:ascii="Times New Roman" w:hAnsi="Times New Roman" w:cs="Times New Roman"/>
          <w:szCs w:val="28"/>
        </w:rPr>
        <w:t>全县低保保障户数4485户，保障人口8178人，2022</w:t>
      </w:r>
      <w:r>
        <w:rPr>
          <w:rFonts w:hint="eastAsia" w:ascii="Times New Roman" w:hAnsi="Times New Roman" w:cs="Times New Roman"/>
          <w:szCs w:val="28"/>
        </w:rPr>
        <w:t>年</w:t>
      </w:r>
      <w:r>
        <w:rPr>
          <w:rFonts w:ascii="Times New Roman" w:hAnsi="Times New Roman" w:cs="Times New Roman"/>
          <w:szCs w:val="28"/>
        </w:rPr>
        <w:t>全县低保保障户数4695</w:t>
      </w:r>
      <w:r>
        <w:rPr>
          <w:rFonts w:hint="eastAsia" w:ascii="Times New Roman" w:hAnsi="Times New Roman" w:cs="Times New Roman"/>
          <w:szCs w:val="28"/>
        </w:rPr>
        <w:t>户，</w:t>
      </w:r>
      <w:r>
        <w:rPr>
          <w:rFonts w:ascii="Times New Roman" w:hAnsi="Times New Roman" w:cs="Times New Roman"/>
          <w:szCs w:val="28"/>
        </w:rPr>
        <w:t>2021-2022</w:t>
      </w:r>
      <w:r>
        <w:rPr>
          <w:rFonts w:hint="eastAsia" w:ascii="Times New Roman" w:hAnsi="Times New Roman" w:cs="Times New Roman"/>
          <w:szCs w:val="28"/>
        </w:rPr>
        <w:t>年低保对象参保率均为</w:t>
      </w:r>
      <w:r>
        <w:rPr>
          <w:rFonts w:ascii="Times New Roman" w:hAnsi="Times New Roman" w:cs="Times New Roman"/>
          <w:szCs w:val="28"/>
        </w:rPr>
        <w:t>100%</w:t>
      </w:r>
      <w:r>
        <w:rPr>
          <w:rFonts w:hint="eastAsia" w:ascii="Times New Roman" w:hAnsi="Times New Roman" w:cs="Times New Roman"/>
          <w:szCs w:val="28"/>
        </w:rPr>
        <w:t>，已实现“应保尽保”。</w:t>
      </w:r>
      <w:r>
        <w:rPr>
          <w:rFonts w:ascii="Times New Roman" w:hAnsi="Times New Roman" w:cs="Times New Roman"/>
          <w:szCs w:val="28"/>
        </w:rPr>
        <w:t>2021</w:t>
      </w:r>
      <w:r>
        <w:rPr>
          <w:rFonts w:hint="eastAsia" w:ascii="Times New Roman" w:hAnsi="Times New Roman" w:cs="Times New Roman"/>
          <w:szCs w:val="28"/>
        </w:rPr>
        <w:t>年实施临时救助</w:t>
      </w:r>
      <w:r>
        <w:rPr>
          <w:rFonts w:ascii="Times New Roman" w:hAnsi="Times New Roman" w:cs="Times New Roman"/>
          <w:szCs w:val="28"/>
        </w:rPr>
        <w:t>2138</w:t>
      </w:r>
      <w:r>
        <w:rPr>
          <w:rFonts w:hint="eastAsia" w:ascii="Times New Roman" w:hAnsi="Times New Roman" w:cs="Times New Roman"/>
          <w:szCs w:val="28"/>
        </w:rPr>
        <w:t>户，</w:t>
      </w:r>
      <w:r>
        <w:rPr>
          <w:rFonts w:ascii="Times New Roman" w:hAnsi="Times New Roman" w:cs="Times New Roman"/>
          <w:szCs w:val="28"/>
        </w:rPr>
        <w:t>2022</w:t>
      </w:r>
      <w:r>
        <w:rPr>
          <w:rFonts w:hint="eastAsia" w:ascii="Times New Roman" w:hAnsi="Times New Roman" w:cs="Times New Roman"/>
          <w:szCs w:val="28"/>
        </w:rPr>
        <w:t>年全县累计救助</w:t>
      </w:r>
      <w:r>
        <w:rPr>
          <w:rFonts w:ascii="Times New Roman" w:hAnsi="Times New Roman" w:cs="Times New Roman"/>
          <w:szCs w:val="28"/>
        </w:rPr>
        <w:t>2448</w:t>
      </w:r>
      <w:r>
        <w:rPr>
          <w:rFonts w:hint="eastAsia" w:ascii="Times New Roman" w:hAnsi="Times New Roman" w:cs="Times New Roman"/>
          <w:szCs w:val="28"/>
        </w:rPr>
        <w:t>户，救助人次呈增长趋势，符合临时救助“应救尽救”的工作理念。目前惠安县救助宣传主要为镇级办事大厅纸质的宣传材料和宣传栏、民政微信公众号、入户宣传，救助方式主要为对相关对象进行补助，其中以</w:t>
      </w:r>
      <w:r>
        <w:rPr>
          <w:rFonts w:hint="eastAsia" w:ascii="Times New Roman" w:hAnsi="Times New Roman"/>
          <w:shd w:val="clear" w:color="auto" w:fill="FFFFFF"/>
        </w:rPr>
        <w:t>资金补助为主，物资补助为辅，不能满足部分对象集中供养、日常照料、心理慰藉等方面需求</w:t>
      </w:r>
      <w:r>
        <w:rPr>
          <w:rFonts w:hint="eastAsia" w:ascii="Times New Roman" w:hAnsi="Times New Roman" w:cs="Times New Roman"/>
          <w:szCs w:val="28"/>
        </w:rPr>
        <w:t>，因此此项扣</w:t>
      </w:r>
      <w:r>
        <w:rPr>
          <w:rFonts w:ascii="Times New Roman" w:hAnsi="Times New Roman" w:cs="Times New Roman"/>
          <w:szCs w:val="28"/>
        </w:rPr>
        <w:t>2</w:t>
      </w:r>
      <w:r>
        <w:rPr>
          <w:rFonts w:hint="eastAsia" w:ascii="Times New Roman" w:hAnsi="Times New Roman" w:cs="Times New Roman"/>
          <w:szCs w:val="28"/>
        </w:rPr>
        <w:t>分</w:t>
      </w:r>
      <w:r>
        <w:rPr>
          <w:rFonts w:hint="eastAsia" w:ascii="Times New Roman" w:hAnsi="Times New Roman"/>
          <w:shd w:val="clear" w:color="auto" w:fill="FFFFFF"/>
        </w:rPr>
        <w:t>。</w:t>
      </w:r>
      <w:r>
        <w:rPr>
          <w:rFonts w:hint="eastAsia" w:ascii="Times New Roman" w:hAnsi="Times New Roman" w:cs="Times New Roman"/>
          <w:szCs w:val="28"/>
        </w:rPr>
        <w:t>同时，</w:t>
      </w:r>
      <w:r>
        <w:rPr>
          <w:rFonts w:ascii="Times New Roman" w:hAnsi="Times New Roman" w:cs="Times New Roman"/>
          <w:szCs w:val="28"/>
        </w:rPr>
        <w:t>2021</w:t>
      </w:r>
      <w:r>
        <w:rPr>
          <w:rFonts w:hint="eastAsia" w:ascii="Times New Roman" w:hAnsi="Times New Roman" w:cs="Times New Roman"/>
          <w:szCs w:val="28"/>
        </w:rPr>
        <w:t>年民政局组织镇分管领导、民政办负责人与业务经办人员培训</w:t>
      </w:r>
      <w:r>
        <w:rPr>
          <w:rFonts w:ascii="Times New Roman" w:hAnsi="Times New Roman" w:cs="Times New Roman"/>
          <w:szCs w:val="28"/>
        </w:rPr>
        <w:t>2</w:t>
      </w:r>
      <w:r>
        <w:rPr>
          <w:rFonts w:hint="eastAsia" w:ascii="Times New Roman" w:hAnsi="Times New Roman" w:cs="Times New Roman"/>
          <w:szCs w:val="28"/>
        </w:rPr>
        <w:t>次，培训7</w:t>
      </w:r>
      <w:r>
        <w:rPr>
          <w:rFonts w:ascii="Times New Roman" w:hAnsi="Times New Roman" w:cs="Times New Roman"/>
          <w:szCs w:val="28"/>
        </w:rPr>
        <w:t>2</w:t>
      </w:r>
      <w:r>
        <w:rPr>
          <w:rFonts w:hint="eastAsia" w:ascii="Times New Roman" w:hAnsi="Times New Roman" w:cs="Times New Roman"/>
          <w:szCs w:val="28"/>
        </w:rPr>
        <w:t>人次；</w:t>
      </w:r>
      <w:r>
        <w:rPr>
          <w:rFonts w:ascii="Times New Roman" w:hAnsi="Times New Roman" w:cs="Times New Roman"/>
          <w:szCs w:val="28"/>
        </w:rPr>
        <w:t>2022</w:t>
      </w:r>
      <w:r>
        <w:rPr>
          <w:rFonts w:hint="eastAsia" w:ascii="Times New Roman" w:hAnsi="Times New Roman" w:cs="Times New Roman"/>
          <w:szCs w:val="28"/>
        </w:rPr>
        <w:t>年惠安县民政局组织镇分管领导、民政办负责人与业务经办人员培训</w:t>
      </w:r>
      <w:r>
        <w:rPr>
          <w:rFonts w:ascii="Times New Roman" w:hAnsi="Times New Roman" w:cs="Times New Roman"/>
          <w:szCs w:val="28"/>
        </w:rPr>
        <w:t>3次</w:t>
      </w:r>
      <w:r>
        <w:rPr>
          <w:rFonts w:hint="eastAsia" w:ascii="Times New Roman" w:hAnsi="Times New Roman" w:cs="Times New Roman"/>
          <w:szCs w:val="28"/>
        </w:rPr>
        <w:t>，共计培训</w:t>
      </w:r>
      <w:r>
        <w:rPr>
          <w:rFonts w:ascii="Times New Roman" w:hAnsi="Times New Roman" w:cs="Times New Roman"/>
          <w:szCs w:val="28"/>
        </w:rPr>
        <w:t>108</w:t>
      </w:r>
      <w:r>
        <w:rPr>
          <w:rFonts w:hint="eastAsia" w:ascii="Times New Roman" w:hAnsi="Times New Roman" w:cs="Times New Roman"/>
          <w:szCs w:val="28"/>
        </w:rPr>
        <w:t>人次；且每年均分</w:t>
      </w:r>
      <w:r>
        <w:rPr>
          <w:rFonts w:ascii="Times New Roman" w:hAnsi="Times New Roman" w:cs="Times New Roman"/>
          <w:szCs w:val="28"/>
        </w:rPr>
        <w:t>12批次对12个乡镇218个村民政员进行业务培训</w:t>
      </w:r>
      <w:r>
        <w:rPr>
          <w:rFonts w:hint="eastAsia" w:ascii="Times New Roman" w:hAnsi="Times New Roman" w:cs="Times New Roman"/>
          <w:szCs w:val="28"/>
        </w:rPr>
        <w:t>，民政局对乡镇级、村级相关工作人员的业务培训次数较少，培训范围较小，此项扣</w:t>
      </w:r>
      <w:r>
        <w:rPr>
          <w:rFonts w:ascii="Times New Roman" w:hAnsi="Times New Roman" w:cs="Times New Roman"/>
          <w:szCs w:val="28"/>
        </w:rPr>
        <w:t>1</w:t>
      </w:r>
      <w:r>
        <w:rPr>
          <w:rFonts w:hint="eastAsia" w:ascii="Times New Roman" w:hAnsi="Times New Roman" w:cs="Times New Roman"/>
          <w:szCs w:val="28"/>
        </w:rPr>
        <w:t>分。</w:t>
      </w:r>
    </w:p>
    <w:p>
      <w:pPr>
        <w:ind w:firstLine="560" w:firstLineChars="200"/>
        <w:rPr>
          <w:rFonts w:ascii="Times New Roman" w:hAnsi="Times New Roman" w:cs="Times New Roman"/>
          <w:szCs w:val="28"/>
        </w:rPr>
      </w:pPr>
      <w:r>
        <w:rPr>
          <w:rFonts w:hint="eastAsia" w:ascii="Times New Roman" w:hAnsi="Times New Roman" w:cs="Times New Roman"/>
          <w:szCs w:val="28"/>
        </w:rPr>
        <w:t>质量方面，</w:t>
      </w:r>
      <w:r>
        <w:rPr>
          <w:rFonts w:ascii="Times New Roman" w:hAnsi="Times New Roman" w:cs="Times New Roman"/>
          <w:szCs w:val="28"/>
        </w:rPr>
        <w:t>2021</w:t>
      </w:r>
      <w:r>
        <w:rPr>
          <w:rFonts w:hint="eastAsia" w:ascii="Times New Roman" w:hAnsi="Times New Roman" w:cs="Times New Roman"/>
          <w:szCs w:val="28"/>
        </w:rPr>
        <w:t>年低保入户抽查率为</w:t>
      </w:r>
      <w:r>
        <w:rPr>
          <w:rFonts w:ascii="Times New Roman" w:hAnsi="Times New Roman" w:cs="Times New Roman"/>
          <w:szCs w:val="28"/>
        </w:rPr>
        <w:t>33.65%</w:t>
      </w:r>
      <w:r>
        <w:rPr>
          <w:rFonts w:hint="eastAsia" w:ascii="Times New Roman" w:hAnsi="Times New Roman" w:cs="Times New Roman"/>
          <w:szCs w:val="28"/>
        </w:rPr>
        <w:t>，</w:t>
      </w:r>
      <w:r>
        <w:rPr>
          <w:rFonts w:ascii="Times New Roman" w:hAnsi="Times New Roman" w:cs="Times New Roman"/>
          <w:szCs w:val="28"/>
        </w:rPr>
        <w:t>2022</w:t>
      </w:r>
      <w:r>
        <w:rPr>
          <w:rFonts w:hint="eastAsia" w:ascii="Times New Roman" w:hAnsi="Times New Roman" w:cs="Times New Roman"/>
          <w:szCs w:val="28"/>
        </w:rPr>
        <w:t>年低保入户抽查率为</w:t>
      </w:r>
      <w:r>
        <w:rPr>
          <w:rFonts w:ascii="Times New Roman" w:hAnsi="Times New Roman" w:cs="Times New Roman"/>
          <w:szCs w:val="28"/>
        </w:rPr>
        <w:t>39.72%</w:t>
      </w:r>
      <w:r>
        <w:rPr>
          <w:rFonts w:hint="eastAsia" w:ascii="Times New Roman" w:hAnsi="Times New Roman" w:cs="Times New Roman"/>
          <w:szCs w:val="28"/>
        </w:rPr>
        <w:t>，高于国家要求的抽查率</w:t>
      </w:r>
      <w:r>
        <w:rPr>
          <w:rFonts w:ascii="Times New Roman" w:hAnsi="Times New Roman" w:cs="Times New Roman"/>
          <w:szCs w:val="28"/>
        </w:rPr>
        <w:t>30%</w:t>
      </w:r>
      <w:r>
        <w:rPr>
          <w:rFonts w:hint="eastAsia" w:ascii="Times New Roman" w:hAnsi="Times New Roman" w:cs="Times New Roman"/>
          <w:szCs w:val="28"/>
        </w:rPr>
        <w:t>。补贴对象准确性为</w:t>
      </w:r>
      <w:r>
        <w:rPr>
          <w:rFonts w:ascii="Times New Roman" w:hAnsi="Times New Roman" w:cs="Times New Roman"/>
          <w:szCs w:val="28"/>
        </w:rPr>
        <w:t>100%</w:t>
      </w:r>
      <w:r>
        <w:rPr>
          <w:rFonts w:hint="eastAsia" w:ascii="Times New Roman" w:hAnsi="Times New Roman" w:cs="Times New Roman"/>
          <w:szCs w:val="28"/>
        </w:rPr>
        <w:t>，不存在“人情保”、“关系保”、“政策保”，未发现“漏保”、“错保”、“骗保”等情况。</w:t>
      </w:r>
      <w:r>
        <w:rPr>
          <w:rFonts w:ascii="Times New Roman" w:hAnsi="Times New Roman" w:cs="Times New Roman"/>
          <w:szCs w:val="28"/>
        </w:rPr>
        <w:t>2021</w:t>
      </w:r>
      <w:r>
        <w:rPr>
          <w:rFonts w:hint="eastAsia" w:ascii="Times New Roman" w:hAnsi="Times New Roman" w:cs="Times New Roman"/>
          <w:szCs w:val="28"/>
        </w:rPr>
        <w:t>全县平均每户救助</w:t>
      </w:r>
      <w:r>
        <w:rPr>
          <w:rFonts w:ascii="Times New Roman" w:hAnsi="Times New Roman" w:cs="Times New Roman"/>
          <w:szCs w:val="28"/>
        </w:rPr>
        <w:t>2541.32元，2022年全县平均每人次救助2541.03元</w:t>
      </w:r>
      <w:r>
        <w:rPr>
          <w:rFonts w:hint="eastAsia" w:ascii="Times New Roman" w:hAnsi="Times New Roman" w:cs="Times New Roman"/>
          <w:szCs w:val="28"/>
        </w:rPr>
        <w:t>，</w:t>
      </w:r>
      <w:r>
        <w:rPr>
          <w:rFonts w:ascii="Times New Roman" w:hAnsi="Times New Roman" w:cs="Times New Roman"/>
          <w:szCs w:val="28"/>
        </w:rPr>
        <w:t>较上年增长0.07%</w:t>
      </w:r>
      <w:r>
        <w:rPr>
          <w:rFonts w:hint="eastAsia" w:ascii="Times New Roman" w:hAnsi="Times New Roman" w:cs="Times New Roman"/>
          <w:szCs w:val="28"/>
        </w:rPr>
        <w:t>，临时救助水平较为稳定。惠安县民政局通过福建省救助申请家庭经济状况核对平台对申请救助对象进行核对，同时，民政局内部已建立信息共享机制，并每月与法院、医保、残联进行信息核对，但仍缺少建立同其他部门之间信息共享机制，沟通的及时性存在提升空间，因此该指标扣</w:t>
      </w:r>
      <w:r>
        <w:rPr>
          <w:rFonts w:ascii="Times New Roman" w:hAnsi="Times New Roman" w:cs="Times New Roman"/>
          <w:szCs w:val="28"/>
        </w:rPr>
        <w:t>3</w:t>
      </w:r>
      <w:r>
        <w:rPr>
          <w:rFonts w:hint="eastAsia" w:ascii="Times New Roman" w:hAnsi="Times New Roman" w:cs="Times New Roman"/>
          <w:szCs w:val="28"/>
        </w:rPr>
        <w:t>分。</w:t>
      </w:r>
    </w:p>
    <w:p>
      <w:pPr>
        <w:ind w:firstLine="560" w:firstLineChars="200"/>
        <w:rPr>
          <w:rFonts w:ascii="Times New Roman" w:hAnsi="Times New Roman" w:cs="Times New Roman"/>
          <w:szCs w:val="28"/>
        </w:rPr>
      </w:pPr>
      <w:r>
        <w:rPr>
          <w:rFonts w:hint="eastAsia" w:ascii="Times New Roman" w:hAnsi="Times New Roman" w:cs="Times New Roman"/>
          <w:szCs w:val="28"/>
        </w:rPr>
        <w:t>时效方面，困难群众救助补贴每月按时足额发放，救助对象在次月1</w:t>
      </w:r>
      <w:r>
        <w:rPr>
          <w:rFonts w:ascii="Times New Roman" w:hAnsi="Times New Roman" w:cs="Times New Roman"/>
          <w:szCs w:val="28"/>
        </w:rPr>
        <w:t>0</w:t>
      </w:r>
      <w:r>
        <w:rPr>
          <w:rFonts w:hint="eastAsia" w:ascii="Times New Roman" w:hAnsi="Times New Roman" w:cs="Times New Roman"/>
          <w:szCs w:val="28"/>
        </w:rPr>
        <w:t>日前录入社会救助系统，其中流浪乞讨受助人员救助情况按省级要求当日录入全国救助管理信息系统，工作时效性较好。</w:t>
      </w:r>
    </w:p>
    <w:p>
      <w:pPr>
        <w:autoSpaceDE w:val="0"/>
        <w:ind w:firstLine="562"/>
        <w:outlineLvl w:val="2"/>
        <w:rPr>
          <w:rFonts w:ascii="Times New Roman" w:hAnsi="Times New Roman"/>
          <w:b/>
          <w:bCs/>
          <w:szCs w:val="28"/>
        </w:rPr>
      </w:pPr>
      <w:bookmarkStart w:id="86" w:name="_Toc124892221"/>
      <w:bookmarkStart w:id="87" w:name="_Toc119967331"/>
      <w:bookmarkStart w:id="88" w:name="_Toc152320468"/>
      <w:r>
        <w:rPr>
          <w:rFonts w:hint="eastAsia" w:ascii="Times New Roman" w:hAnsi="Times New Roman"/>
          <w:b/>
          <w:bCs/>
        </w:rPr>
        <w:t>（四）项目效益情况</w:t>
      </w:r>
      <w:bookmarkEnd w:id="86"/>
      <w:bookmarkEnd w:id="87"/>
      <w:bookmarkEnd w:id="88"/>
    </w:p>
    <w:p>
      <w:pPr>
        <w:ind w:firstLine="560" w:firstLineChars="200"/>
        <w:rPr>
          <w:rFonts w:ascii="Times New Roman" w:hAnsi="Times New Roman" w:cs="Times New Roman"/>
          <w:szCs w:val="28"/>
        </w:rPr>
      </w:pPr>
      <w:r>
        <w:rPr>
          <w:rFonts w:hint="eastAsia" w:ascii="Times New Roman" w:hAnsi="Times New Roman" w:cs="Times New Roman"/>
          <w:szCs w:val="28"/>
        </w:rPr>
        <w:t>项目效益维度的评价主要从项目社会效益、可持续性和满意度三个方面展开。惠安县困难群众了解、认同相关救助补助政策，并对民政工作有着较高的满意度，但目前惠安县社会救助信息化建设水平较低，缺乏动态管理机制建设。该部分总分</w:t>
      </w:r>
      <w:r>
        <w:rPr>
          <w:rFonts w:ascii="Times New Roman" w:hAnsi="Times New Roman" w:cs="Times New Roman"/>
          <w:szCs w:val="28"/>
        </w:rPr>
        <w:t>20</w:t>
      </w:r>
      <w:r>
        <w:rPr>
          <w:rFonts w:hint="eastAsia" w:ascii="Times New Roman" w:hAnsi="Times New Roman" w:cs="Times New Roman"/>
          <w:szCs w:val="28"/>
        </w:rPr>
        <w:t>分，得分</w:t>
      </w:r>
      <w:r>
        <w:rPr>
          <w:rFonts w:ascii="Times New Roman" w:hAnsi="Times New Roman" w:cs="Times New Roman"/>
          <w:szCs w:val="28"/>
        </w:rPr>
        <w:t>16.9</w:t>
      </w:r>
      <w:r>
        <w:rPr>
          <w:rFonts w:hint="eastAsia" w:ascii="Times New Roman" w:hAnsi="Times New Roman" w:cs="Times New Roman"/>
          <w:szCs w:val="28"/>
        </w:rPr>
        <w:t>分，扣分</w:t>
      </w:r>
      <w:r>
        <w:rPr>
          <w:rFonts w:ascii="Times New Roman" w:hAnsi="Times New Roman" w:cs="Times New Roman"/>
          <w:szCs w:val="28"/>
        </w:rPr>
        <w:t>3.1分。</w:t>
      </w:r>
    </w:p>
    <w:p>
      <w:pPr>
        <w:ind w:firstLine="560" w:firstLineChars="200"/>
        <w:rPr>
          <w:rFonts w:ascii="Times New Roman" w:hAnsi="Times New Roman" w:cs="Times New Roman"/>
          <w:szCs w:val="28"/>
        </w:rPr>
      </w:pPr>
      <w:r>
        <w:rPr>
          <w:rFonts w:hint="eastAsia" w:ascii="Times New Roman" w:hAnsi="Times New Roman" w:cs="Times New Roman"/>
          <w:szCs w:val="28"/>
        </w:rPr>
        <w:t>社会效益方面，惠安县民政局积极开展各项救助工作，为困难群众的基本生活实施兜底保障，解决其基本生活困难。根据走访调查发现群众对困难群众救助补助相关政策的知晓率、认同感较高，因此此项得满分。</w:t>
      </w:r>
    </w:p>
    <w:p>
      <w:pPr>
        <w:ind w:firstLine="560" w:firstLineChars="200"/>
        <w:rPr>
          <w:rFonts w:ascii="Times New Roman" w:hAnsi="Times New Roman" w:cs="Times New Roman"/>
          <w:szCs w:val="28"/>
        </w:rPr>
      </w:pPr>
      <w:r>
        <w:rPr>
          <w:rFonts w:hint="eastAsia" w:ascii="Times New Roman" w:hAnsi="Times New Roman" w:cs="Times New Roman"/>
          <w:szCs w:val="28"/>
        </w:rPr>
        <w:t>可持续性方面，惠安县社会救助信息化建设水平较低，主动识别机制不够完善，困难群众的发现仍依赖传统上的“人找政策”，且每年对困难群众进行一次大型复核，每月进行信息变更核对，缺乏对困难群众信息的动态管理，困难群众的相关信息更新较为不及时，救助工作的准确性、及时性有待进一步提升，因此此项扣</w:t>
      </w:r>
      <w:r>
        <w:rPr>
          <w:rFonts w:ascii="Times New Roman" w:hAnsi="Times New Roman" w:cs="Times New Roman"/>
          <w:szCs w:val="28"/>
        </w:rPr>
        <w:t>3</w:t>
      </w:r>
      <w:r>
        <w:rPr>
          <w:rFonts w:hint="eastAsia" w:ascii="Times New Roman" w:hAnsi="Times New Roman" w:cs="Times New Roman"/>
          <w:szCs w:val="28"/>
        </w:rPr>
        <w:t>分。</w:t>
      </w:r>
    </w:p>
    <w:p>
      <w:pPr>
        <w:ind w:firstLine="560" w:firstLineChars="200"/>
        <w:rPr>
          <w:rFonts w:ascii="Times New Roman" w:hAnsi="Times New Roman" w:cs="Times New Roman"/>
          <w:szCs w:val="28"/>
        </w:rPr>
      </w:pPr>
      <w:r>
        <w:rPr>
          <w:rFonts w:hint="eastAsia" w:ascii="Times New Roman" w:hAnsi="Times New Roman" w:cs="Times New Roman"/>
          <w:szCs w:val="28"/>
        </w:rPr>
        <w:t>满意度方面，通过整理项目绩效评价材料得</w:t>
      </w:r>
      <w:r>
        <w:rPr>
          <w:rFonts w:ascii="Times New Roman" w:hAnsi="Times New Roman" w:cs="Times New Roman"/>
          <w:szCs w:val="28"/>
        </w:rPr>
        <w:t>2021</w:t>
      </w:r>
      <w:r>
        <w:rPr>
          <w:rFonts w:hint="eastAsia" w:ascii="Times New Roman" w:hAnsi="Times New Roman" w:cs="Times New Roman"/>
          <w:szCs w:val="28"/>
        </w:rPr>
        <w:t>-</w:t>
      </w:r>
      <w:r>
        <w:rPr>
          <w:rFonts w:ascii="Times New Roman" w:hAnsi="Times New Roman" w:cs="Times New Roman"/>
          <w:szCs w:val="28"/>
        </w:rPr>
        <w:t>2022</w:t>
      </w:r>
      <w:r>
        <w:rPr>
          <w:rFonts w:hint="eastAsia" w:ascii="Times New Roman" w:hAnsi="Times New Roman" w:cs="Times New Roman"/>
          <w:szCs w:val="28"/>
        </w:rPr>
        <w:t>年服务对象满意度达</w:t>
      </w:r>
      <w:r>
        <w:rPr>
          <w:rFonts w:ascii="Times New Roman" w:hAnsi="Times New Roman" w:cs="Times New Roman"/>
          <w:szCs w:val="28"/>
        </w:rPr>
        <w:t>98</w:t>
      </w:r>
      <w:r>
        <w:rPr>
          <w:rFonts w:hint="eastAsia" w:ascii="Times New Roman" w:hAnsi="Times New Roman" w:cs="Times New Roman"/>
          <w:szCs w:val="28"/>
        </w:rPr>
        <w:t>%，因此此项扣</w:t>
      </w:r>
      <w:r>
        <w:rPr>
          <w:rFonts w:ascii="Times New Roman" w:hAnsi="Times New Roman" w:cs="Times New Roman"/>
          <w:szCs w:val="28"/>
        </w:rPr>
        <w:t>0.1</w:t>
      </w:r>
      <w:r>
        <w:rPr>
          <w:rFonts w:hint="eastAsia" w:ascii="Times New Roman" w:hAnsi="Times New Roman" w:cs="Times New Roman"/>
          <w:szCs w:val="28"/>
        </w:rPr>
        <w:t>分。</w:t>
      </w:r>
      <w:r>
        <w:rPr>
          <w:rFonts w:ascii="Times New Roman" w:hAnsi="Times New Roman"/>
        </w:rPr>
        <w:br w:type="page"/>
      </w:r>
    </w:p>
    <w:p>
      <w:pPr>
        <w:ind w:firstLine="560"/>
        <w:rPr>
          <w:rFonts w:ascii="Times New Roman" w:hAnsi="Times New Roman"/>
          <w:b/>
          <w:bCs/>
          <w:szCs w:val="28"/>
        </w:rPr>
      </w:pPr>
    </w:p>
    <w:p>
      <w:pPr>
        <w:numPr>
          <w:ilvl w:val="0"/>
          <w:numId w:val="1"/>
        </w:numPr>
        <w:ind w:firstLine="723" w:firstLineChars="200"/>
        <w:jc w:val="center"/>
        <w:outlineLvl w:val="0"/>
        <w:rPr>
          <w:rFonts w:ascii="Times New Roman" w:hAnsi="Times New Roman" w:cs="楷体"/>
          <w:b/>
          <w:bCs/>
          <w:sz w:val="36"/>
          <w:szCs w:val="36"/>
        </w:rPr>
      </w:pPr>
      <w:bookmarkStart w:id="89" w:name="_Toc124892222"/>
      <w:bookmarkStart w:id="90" w:name="_Toc119967332"/>
      <w:bookmarkStart w:id="91" w:name="_Toc152320469"/>
      <w:r>
        <w:rPr>
          <w:rFonts w:hint="eastAsia" w:ascii="Times New Roman" w:hAnsi="Times New Roman" w:cs="楷体"/>
          <w:b/>
          <w:bCs/>
          <w:sz w:val="36"/>
          <w:szCs w:val="36"/>
        </w:rPr>
        <w:t>存在主要问题</w:t>
      </w:r>
      <w:bookmarkEnd w:id="89"/>
      <w:bookmarkEnd w:id="90"/>
      <w:bookmarkEnd w:id="91"/>
    </w:p>
    <w:p>
      <w:pPr>
        <w:rPr>
          <w:rFonts w:ascii="Times New Roman" w:hAnsi="Times New Roman"/>
          <w:b/>
          <w:bCs/>
          <w:szCs w:val="28"/>
        </w:rPr>
      </w:pPr>
    </w:p>
    <w:p>
      <w:pPr>
        <w:spacing w:before="156" w:beforeLines="50" w:after="156" w:afterLines="50"/>
        <w:ind w:firstLine="643" w:firstLineChars="200"/>
        <w:outlineLvl w:val="1"/>
        <w:rPr>
          <w:rFonts w:ascii="Times New Roman" w:hAnsi="Times New Roman" w:cs="黑体"/>
          <w:b/>
          <w:bCs/>
          <w:sz w:val="32"/>
          <w:szCs w:val="32"/>
        </w:rPr>
      </w:pPr>
      <w:bookmarkStart w:id="92" w:name="_Toc152320470"/>
      <w:r>
        <w:rPr>
          <w:rFonts w:hint="eastAsia" w:ascii="Times New Roman" w:hAnsi="Times New Roman" w:cs="黑体"/>
          <w:b/>
          <w:bCs/>
          <w:sz w:val="32"/>
          <w:szCs w:val="32"/>
        </w:rPr>
        <w:t>一、绩效评价指标设定有待优化</w:t>
      </w:r>
      <w:bookmarkEnd w:id="92"/>
    </w:p>
    <w:p>
      <w:pPr>
        <w:ind w:firstLine="560" w:firstLineChars="200"/>
        <w:rPr>
          <w:rFonts w:ascii="Times New Roman" w:hAnsi="Times New Roman" w:cs="Arial"/>
          <w:color w:val="191919"/>
          <w:shd w:val="clear" w:color="auto" w:fill="FFFFFF"/>
        </w:rPr>
      </w:pPr>
      <w:r>
        <w:rPr>
          <w:rFonts w:hint="eastAsia" w:ascii="Times New Roman" w:hAnsi="Times New Roman"/>
          <w:shd w:val="clear" w:color="auto" w:fill="FFFFFF"/>
        </w:rPr>
        <w:t>惠安县困难群众救助补助专项资金绩效自评报告存在指标设计较为简单、未能依据历史数据及增长规律设定年度目标值的情况。如：时效指标设定为发放周期，目标值为</w:t>
      </w:r>
      <w:r>
        <w:rPr>
          <w:rFonts w:ascii="Times New Roman" w:hAnsi="Times New Roman" w:cs="Times New Roman"/>
          <w:shd w:val="clear" w:color="auto" w:fill="FFFFFF"/>
        </w:rPr>
        <w:t>1</w:t>
      </w:r>
      <w:r>
        <w:rPr>
          <w:rFonts w:hint="eastAsia" w:ascii="Times New Roman" w:hAnsi="Times New Roman"/>
          <w:shd w:val="clear" w:color="auto" w:fill="FFFFFF"/>
        </w:rPr>
        <w:t>年，实际完成值为</w:t>
      </w:r>
      <w:r>
        <w:rPr>
          <w:rFonts w:ascii="Times New Roman" w:hAnsi="Times New Roman" w:cs="Times New Roman"/>
          <w:shd w:val="clear" w:color="auto" w:fill="FFFFFF"/>
        </w:rPr>
        <w:t>1</w:t>
      </w:r>
      <w:r>
        <w:rPr>
          <w:rFonts w:hint="eastAsia" w:ascii="Times New Roman" w:hAnsi="Times New Roman"/>
          <w:shd w:val="clear" w:color="auto" w:fill="FFFFFF"/>
        </w:rPr>
        <w:t>年，该指标并不能很好的反映该专项资金发放的及时性；数量指标中</w:t>
      </w:r>
      <w:r>
        <w:rPr>
          <w:rFonts w:ascii="Times New Roman" w:hAnsi="Times New Roman" w:cs="Times New Roman"/>
          <w:szCs w:val="28"/>
        </w:rPr>
        <w:t>2021</w:t>
      </w:r>
      <w:r>
        <w:rPr>
          <w:rFonts w:hint="eastAsia" w:ascii="Times New Roman" w:hAnsi="Times New Roman" w:cs="Times New Roman"/>
          <w:szCs w:val="28"/>
        </w:rPr>
        <w:t>年农村低保户数实际完成值为</w:t>
      </w:r>
      <w:r>
        <w:rPr>
          <w:rFonts w:ascii="Times New Roman" w:hAnsi="Times New Roman" w:cs="Times New Roman"/>
          <w:szCs w:val="28"/>
        </w:rPr>
        <w:t>4074</w:t>
      </w:r>
      <w:r>
        <w:rPr>
          <w:rFonts w:hint="eastAsia" w:ascii="Times New Roman" w:hAnsi="Times New Roman" w:cs="Times New Roman"/>
          <w:szCs w:val="28"/>
        </w:rPr>
        <w:t>户，而</w:t>
      </w:r>
      <w:r>
        <w:rPr>
          <w:rFonts w:ascii="Times New Roman" w:hAnsi="Times New Roman" w:cs="Times New Roman"/>
          <w:szCs w:val="28"/>
        </w:rPr>
        <w:t>2022</w:t>
      </w:r>
      <w:r>
        <w:rPr>
          <w:rFonts w:hint="eastAsia" w:ascii="Times New Roman" w:hAnsi="Times New Roman" w:cs="Times New Roman"/>
          <w:szCs w:val="28"/>
        </w:rPr>
        <w:t>年农村低保户数目标值为</w:t>
      </w:r>
      <w:r>
        <w:rPr>
          <w:rFonts w:ascii="Times New Roman" w:hAnsi="Times New Roman" w:cs="Times New Roman"/>
          <w:szCs w:val="28"/>
        </w:rPr>
        <w:t>3900</w:t>
      </w:r>
      <w:r>
        <w:rPr>
          <w:rFonts w:hint="eastAsia" w:ascii="Times New Roman" w:hAnsi="Times New Roman" w:cs="Times New Roman"/>
          <w:szCs w:val="28"/>
        </w:rPr>
        <w:t>户。部分绩效评价指标目标值设定过低，不能有效发挥绩效评价</w:t>
      </w:r>
      <w:r>
        <w:rPr>
          <w:rFonts w:hint="eastAsia" w:ascii="Times New Roman" w:hAnsi="Times New Roman" w:cs="Arial"/>
          <w:color w:val="191919"/>
          <w:shd w:val="clear" w:color="auto" w:fill="FFFFFF"/>
        </w:rPr>
        <w:t>的</w:t>
      </w:r>
      <w:r>
        <w:rPr>
          <w:rFonts w:ascii="Times New Roman" w:hAnsi="Times New Roman" w:cs="Arial"/>
          <w:color w:val="191919"/>
          <w:shd w:val="clear" w:color="auto" w:fill="FFFFFF"/>
        </w:rPr>
        <w:t>考核评价</w:t>
      </w:r>
      <w:r>
        <w:rPr>
          <w:rFonts w:hint="eastAsia" w:ascii="Times New Roman" w:hAnsi="Times New Roman" w:cs="Arial"/>
          <w:color w:val="191919"/>
          <w:shd w:val="clear" w:color="auto" w:fill="FFFFFF"/>
        </w:rPr>
        <w:t>作用。</w:t>
      </w:r>
    </w:p>
    <w:p>
      <w:pPr>
        <w:spacing w:before="156" w:beforeLines="50" w:after="156" w:afterLines="50"/>
        <w:ind w:firstLine="643" w:firstLineChars="200"/>
        <w:outlineLvl w:val="1"/>
        <w:rPr>
          <w:rFonts w:ascii="Times New Roman" w:hAnsi="Times New Roman" w:cs="黑体"/>
          <w:b/>
          <w:bCs/>
          <w:sz w:val="32"/>
          <w:szCs w:val="32"/>
        </w:rPr>
      </w:pPr>
      <w:bookmarkStart w:id="93" w:name="_Toc152320471"/>
      <w:r>
        <w:rPr>
          <w:rFonts w:hint="eastAsia" w:ascii="Times New Roman" w:hAnsi="Times New Roman" w:cs="黑体"/>
          <w:b/>
          <w:bCs/>
          <w:sz w:val="32"/>
          <w:szCs w:val="32"/>
        </w:rPr>
        <w:t>二、救助方式不适应差异化需求</w:t>
      </w:r>
      <w:bookmarkEnd w:id="93"/>
    </w:p>
    <w:p>
      <w:pPr>
        <w:ind w:firstLine="560" w:firstLineChars="200"/>
        <w:rPr>
          <w:rFonts w:ascii="Times New Roman" w:hAnsi="Times New Roman"/>
          <w:shd w:val="clear" w:color="auto" w:fill="FFFFFF"/>
        </w:rPr>
      </w:pPr>
      <w:bookmarkStart w:id="94" w:name="_Hlk152061461"/>
      <w:r>
        <w:rPr>
          <w:rFonts w:hint="eastAsia" w:ascii="Times New Roman" w:hAnsi="Times New Roman"/>
          <w:shd w:val="clear" w:color="auto" w:fill="FFFFFF"/>
        </w:rPr>
        <w:t>当前惠安县的救助方式较为单一，对困难群众的主要救助方式是资金救助，再辅以少量的物资救助，不能满足部分对象集中供养、日常照料、心理慰藉等方面需求</w:t>
      </w:r>
      <w:bookmarkEnd w:id="94"/>
      <w:r>
        <w:rPr>
          <w:rFonts w:hint="eastAsia" w:ascii="Times New Roman" w:hAnsi="Times New Roman"/>
          <w:shd w:val="clear" w:color="auto" w:fill="FFFFFF"/>
        </w:rPr>
        <w:t>。同时，困难群众情况千差万别，需求各有不同，当前的补助方式也不能充分满足多样性、差异性救助需求，不利于提高困难群众的获得感、幸福感。</w:t>
      </w:r>
    </w:p>
    <w:p>
      <w:pPr>
        <w:spacing w:before="156" w:beforeLines="50" w:after="156" w:afterLines="50"/>
        <w:ind w:firstLine="643" w:firstLineChars="200"/>
        <w:outlineLvl w:val="1"/>
        <w:rPr>
          <w:rFonts w:ascii="Times New Roman" w:hAnsi="Times New Roman" w:cs="黑体"/>
          <w:b/>
          <w:bCs/>
          <w:sz w:val="32"/>
          <w:szCs w:val="32"/>
        </w:rPr>
      </w:pPr>
      <w:bookmarkStart w:id="95" w:name="_Toc152320472"/>
      <w:r>
        <w:rPr>
          <w:rFonts w:hint="eastAsia" w:ascii="Times New Roman" w:hAnsi="Times New Roman" w:cs="黑体"/>
          <w:b/>
          <w:bCs/>
          <w:sz w:val="32"/>
          <w:szCs w:val="32"/>
        </w:rPr>
        <w:t>三、相关工作人员培训力度还需加强</w:t>
      </w:r>
      <w:bookmarkEnd w:id="95"/>
    </w:p>
    <w:p>
      <w:pPr>
        <w:ind w:firstLine="560" w:firstLineChars="200"/>
        <w:rPr>
          <w:rFonts w:ascii="Times New Roman" w:hAnsi="Times New Roman"/>
          <w:shd w:val="clear" w:color="auto" w:fill="FFFFFF"/>
        </w:rPr>
      </w:pPr>
      <w:r>
        <w:rPr>
          <w:rFonts w:hint="eastAsia" w:ascii="Times New Roman" w:hAnsi="Times New Roman"/>
          <w:shd w:val="clear" w:color="auto" w:fill="FFFFFF"/>
        </w:rPr>
        <w:t>困难群众救助工作具有涉及面广、政策性强和工作量大的特点，大量的具体事务都要靠基层工作人员来落实。目前惠安县对基层工作人员的培训力度较为不足，存在培训开展次数较少，覆盖人员范围较小，培训内容缺乏系统化安排、培训效果不佳等问题，部分工作人员的业务水平和服务能力有待提高，救助工作质量有待进一步规范和提升。</w:t>
      </w:r>
    </w:p>
    <w:p>
      <w:pPr>
        <w:spacing w:before="156" w:beforeLines="50" w:after="156" w:afterLines="50"/>
        <w:ind w:firstLine="643" w:firstLineChars="200"/>
        <w:outlineLvl w:val="1"/>
        <w:rPr>
          <w:rFonts w:ascii="Times New Roman" w:hAnsi="Times New Roman" w:cs="黑体"/>
          <w:b/>
          <w:bCs/>
          <w:sz w:val="32"/>
          <w:szCs w:val="32"/>
        </w:rPr>
      </w:pPr>
      <w:bookmarkStart w:id="96" w:name="_Toc152320473"/>
      <w:r>
        <w:rPr>
          <w:rFonts w:hint="eastAsia" w:ascii="Times New Roman" w:hAnsi="Times New Roman" w:cs="黑体"/>
          <w:b/>
          <w:bCs/>
          <w:sz w:val="32"/>
          <w:szCs w:val="32"/>
        </w:rPr>
        <w:t>四、救助对象识别与管理机制有待完善</w:t>
      </w:r>
      <w:bookmarkEnd w:id="96"/>
    </w:p>
    <w:p>
      <w:pPr>
        <w:ind w:firstLine="548" w:firstLineChars="196"/>
        <w:rPr>
          <w:rFonts w:ascii="Times New Roman" w:hAnsi="Times New Roman"/>
          <w:shd w:val="clear" w:color="auto" w:fill="FFFFFF"/>
        </w:rPr>
      </w:pPr>
      <w:r>
        <w:rPr>
          <w:rFonts w:hint="eastAsia" w:ascii="Times New Roman" w:hAnsi="Times New Roman"/>
          <w:shd w:val="clear" w:color="auto" w:fill="FFFFFF"/>
        </w:rPr>
        <w:t>惠安县民政局对困难群众的主动识别机制和动态管理机制不够完善，困难群众的发现是传统上的“人找政策”。同时，对与困难群众信息的管理主要依靠人工核查，未能进行信息化动态管理，救助工作的准确性以及核实的及时性仍存在一定的优化空间。</w:t>
      </w:r>
    </w:p>
    <w:p>
      <w:pPr>
        <w:spacing w:before="156" w:beforeLines="50" w:after="156" w:afterLines="50"/>
        <w:ind w:firstLine="643" w:firstLineChars="200"/>
        <w:outlineLvl w:val="1"/>
        <w:rPr>
          <w:rFonts w:ascii="Times New Roman" w:hAnsi="Times New Roman" w:cs="黑体"/>
          <w:b/>
          <w:bCs/>
          <w:sz w:val="32"/>
          <w:szCs w:val="32"/>
        </w:rPr>
      </w:pPr>
      <w:bookmarkStart w:id="97" w:name="_Toc152320474"/>
      <w:r>
        <w:rPr>
          <w:rFonts w:hint="eastAsia" w:ascii="Times New Roman" w:hAnsi="Times New Roman" w:cs="黑体"/>
          <w:b/>
          <w:bCs/>
          <w:sz w:val="32"/>
          <w:szCs w:val="32"/>
        </w:rPr>
        <w:t>五、部门间信息共享有待充分</w:t>
      </w:r>
      <w:bookmarkEnd w:id="97"/>
    </w:p>
    <w:p>
      <w:pPr>
        <w:ind w:firstLine="560" w:firstLineChars="200"/>
        <w:rPr>
          <w:rFonts w:ascii="Times New Roman" w:hAnsi="Times New Roman"/>
          <w:shd w:val="clear" w:color="auto" w:fill="FFFFFF"/>
        </w:rPr>
      </w:pPr>
      <w:r>
        <w:rPr>
          <w:rFonts w:hint="eastAsia" w:ascii="Times New Roman" w:hAnsi="Times New Roman"/>
          <w:shd w:val="clear" w:color="auto" w:fill="FFFFFF"/>
        </w:rPr>
        <w:t>目前惠安县残疾人救助工作的审核由残联进行认定并核报数据，再转由民政部门进行补贴发放，由于民政部门与残联、医保、社保、公安等部门间共享信息实时度不高、共享字段不足，还没有全面建立部门间在线共享更新机制，部门效能未能有效衔接，难以为救助工作开展提供精准及时的核对结果。</w:t>
      </w:r>
    </w:p>
    <w:p>
      <w:pPr>
        <w:pStyle w:val="5"/>
        <w:rPr>
          <w:rFonts w:ascii="Times New Roman" w:eastAsia="仿宋"/>
        </w:rPr>
      </w:pPr>
    </w:p>
    <w:p>
      <w:pPr>
        <w:widowControl/>
        <w:spacing w:line="240" w:lineRule="auto"/>
        <w:jc w:val="left"/>
        <w:rPr>
          <w:rFonts w:ascii="Times New Roman" w:hAnsi="Times New Roman"/>
          <w:szCs w:val="28"/>
        </w:rPr>
      </w:pPr>
      <w:bookmarkStart w:id="98" w:name="_Hlk125147498"/>
      <w:r>
        <w:rPr>
          <w:rFonts w:ascii="Times New Roman" w:hAnsi="Times New Roman"/>
          <w:szCs w:val="28"/>
        </w:rPr>
        <w:br w:type="page"/>
      </w:r>
    </w:p>
    <w:p>
      <w:pPr>
        <w:widowControl/>
        <w:spacing w:line="240" w:lineRule="auto"/>
        <w:jc w:val="left"/>
        <w:rPr>
          <w:rFonts w:ascii="Times New Roman" w:hAnsi="Times New Roman"/>
          <w:szCs w:val="28"/>
        </w:rPr>
      </w:pPr>
    </w:p>
    <w:p>
      <w:pPr>
        <w:numPr>
          <w:ilvl w:val="0"/>
          <w:numId w:val="1"/>
        </w:numPr>
        <w:ind w:firstLine="723" w:firstLineChars="200"/>
        <w:jc w:val="center"/>
        <w:outlineLvl w:val="0"/>
        <w:rPr>
          <w:rFonts w:ascii="Times New Roman" w:hAnsi="Times New Roman" w:cs="楷体"/>
          <w:b/>
          <w:bCs/>
          <w:sz w:val="36"/>
          <w:szCs w:val="36"/>
        </w:rPr>
      </w:pPr>
      <w:bookmarkStart w:id="99" w:name="_Toc152320475"/>
      <w:bookmarkStart w:id="100" w:name="_Toc124892225"/>
      <w:r>
        <w:rPr>
          <w:rFonts w:hint="eastAsia" w:ascii="Times New Roman" w:hAnsi="Times New Roman" w:cs="楷体"/>
          <w:b/>
          <w:bCs/>
          <w:sz w:val="36"/>
          <w:szCs w:val="36"/>
        </w:rPr>
        <w:t>改进措施与管理建议</w:t>
      </w:r>
      <w:bookmarkEnd w:id="99"/>
      <w:bookmarkEnd w:id="100"/>
    </w:p>
    <w:p>
      <w:pPr>
        <w:ind w:firstLine="560"/>
        <w:rPr>
          <w:rFonts w:ascii="Times New Roman" w:hAnsi="Times New Roman"/>
          <w:szCs w:val="28"/>
        </w:rPr>
      </w:pPr>
    </w:p>
    <w:p>
      <w:pPr>
        <w:spacing w:before="156" w:beforeLines="50" w:after="156" w:afterLines="50"/>
        <w:ind w:firstLine="643" w:firstLineChars="200"/>
        <w:outlineLvl w:val="1"/>
        <w:rPr>
          <w:rFonts w:ascii="Times New Roman" w:hAnsi="Times New Roman" w:cs="黑体"/>
          <w:b/>
          <w:bCs/>
          <w:sz w:val="32"/>
          <w:szCs w:val="32"/>
        </w:rPr>
      </w:pPr>
      <w:bookmarkStart w:id="101" w:name="_Toc152320476"/>
      <w:r>
        <w:rPr>
          <w:rFonts w:hint="eastAsia" w:ascii="Times New Roman" w:hAnsi="Times New Roman" w:cs="黑体"/>
          <w:b/>
          <w:bCs/>
          <w:sz w:val="32"/>
          <w:szCs w:val="32"/>
        </w:rPr>
        <w:t>一、优化绩效评价工作</w:t>
      </w:r>
      <w:bookmarkEnd w:id="101"/>
    </w:p>
    <w:p>
      <w:pPr>
        <w:ind w:firstLine="560" w:firstLineChars="200"/>
        <w:rPr>
          <w:rFonts w:ascii="Times New Roman" w:hAnsi="Times New Roman" w:cs="Times New Roman"/>
          <w:szCs w:val="28"/>
        </w:rPr>
      </w:pPr>
      <w:r>
        <w:rPr>
          <w:rFonts w:hint="eastAsia" w:ascii="Times New Roman" w:hAnsi="Times New Roman" w:cs="Arial"/>
          <w:color w:val="191919"/>
          <w:shd w:val="clear" w:color="auto" w:fill="FFFFFF"/>
        </w:rPr>
        <w:t>民政局</w:t>
      </w:r>
      <w:r>
        <w:rPr>
          <w:rFonts w:ascii="Times New Roman" w:hAnsi="Times New Roman" w:cs="Arial"/>
          <w:color w:val="191919"/>
          <w:shd w:val="clear" w:color="auto" w:fill="FFFFFF"/>
        </w:rPr>
        <w:t>应加大对指标设计的重视程度，</w:t>
      </w:r>
      <w:r>
        <w:rPr>
          <w:rFonts w:hint="eastAsia" w:ascii="Times New Roman" w:hAnsi="Times New Roman" w:cs="Times New Roman"/>
          <w:szCs w:val="28"/>
        </w:rPr>
        <w:t>科学</w:t>
      </w:r>
      <w:r>
        <w:rPr>
          <w:rStyle w:val="15"/>
          <w:rFonts w:ascii="Times New Roman" w:hAnsi="Times New Roman" w:cs="Arial"/>
          <w:b w:val="0"/>
          <w:bCs w:val="0"/>
          <w:color w:val="191919"/>
          <w:shd w:val="clear" w:color="auto" w:fill="FFFFFF"/>
        </w:rPr>
        <w:t>合理设置绩效评价指标</w:t>
      </w:r>
      <w:r>
        <w:rPr>
          <w:rStyle w:val="15"/>
          <w:rFonts w:hint="eastAsia" w:ascii="Times New Roman" w:hAnsi="Times New Roman" w:cs="Arial"/>
          <w:b w:val="0"/>
          <w:bCs w:val="0"/>
          <w:color w:val="191919"/>
          <w:shd w:val="clear" w:color="auto" w:fill="FFFFFF"/>
        </w:rPr>
        <w:t>。</w:t>
      </w:r>
      <w:r>
        <w:rPr>
          <w:rFonts w:ascii="Times New Roman" w:hAnsi="Times New Roman" w:cs="Arial"/>
          <w:color w:val="191919"/>
          <w:shd w:val="clear" w:color="auto" w:fill="FFFFFF"/>
        </w:rPr>
        <w:t>在</w:t>
      </w:r>
      <w:r>
        <w:rPr>
          <w:rFonts w:hint="eastAsia" w:ascii="Times New Roman" w:hAnsi="Times New Roman" w:cs="Arial"/>
          <w:color w:val="191919"/>
          <w:shd w:val="clear" w:color="auto" w:fill="FFFFFF"/>
        </w:rPr>
        <w:t>指标设计时</w:t>
      </w:r>
      <w:r>
        <w:rPr>
          <w:rFonts w:ascii="Times New Roman" w:hAnsi="Times New Roman" w:cs="Arial"/>
          <w:color w:val="191919"/>
          <w:shd w:val="clear" w:color="auto" w:fill="FFFFFF"/>
        </w:rPr>
        <w:t>应围绕工作任务，参考往年的执行情况，充分论证、严格筛选，优先选取最具代表性、能直接全面反映</w:t>
      </w:r>
      <w:r>
        <w:rPr>
          <w:rFonts w:hint="eastAsia" w:ascii="Times New Roman" w:hAnsi="Times New Roman" w:cs="Arial"/>
          <w:color w:val="191919"/>
          <w:shd w:val="clear" w:color="auto" w:fill="FFFFFF"/>
        </w:rPr>
        <w:t>工作</w:t>
      </w:r>
      <w:r>
        <w:rPr>
          <w:rFonts w:ascii="Times New Roman" w:hAnsi="Times New Roman" w:cs="Arial"/>
          <w:color w:val="191919"/>
          <w:shd w:val="clear" w:color="auto" w:fill="FFFFFF"/>
        </w:rPr>
        <w:t>产出和效益的指标</w:t>
      </w:r>
      <w:r>
        <w:rPr>
          <w:rFonts w:hint="eastAsia" w:ascii="Times New Roman" w:hAnsi="Times New Roman" w:cs="Arial"/>
          <w:color w:val="191919"/>
          <w:shd w:val="clear" w:color="auto" w:fill="FFFFFF"/>
        </w:rPr>
        <w:t>。同时，还</w:t>
      </w:r>
      <w:r>
        <w:rPr>
          <w:rFonts w:ascii="Times New Roman" w:hAnsi="Times New Roman" w:cs="Arial"/>
          <w:color w:val="191919"/>
          <w:shd w:val="clear" w:color="auto" w:fill="FFFFFF"/>
        </w:rPr>
        <w:t>可以采取委托公共绩效评价协会、邀请专家等方式对</w:t>
      </w:r>
      <w:r>
        <w:rPr>
          <w:rFonts w:hint="eastAsia" w:ascii="Times New Roman" w:hAnsi="Times New Roman" w:cs="Arial"/>
          <w:color w:val="191919"/>
          <w:shd w:val="clear" w:color="auto" w:fill="FFFFFF"/>
        </w:rPr>
        <w:t>部门</w:t>
      </w:r>
      <w:r>
        <w:rPr>
          <w:rFonts w:ascii="Times New Roman" w:hAnsi="Times New Roman" w:cs="Arial"/>
          <w:color w:val="191919"/>
          <w:shd w:val="clear" w:color="auto" w:fill="FFFFFF"/>
        </w:rPr>
        <w:t>绩效</w:t>
      </w:r>
      <w:r>
        <w:rPr>
          <w:rFonts w:hint="eastAsia" w:ascii="Times New Roman" w:hAnsi="Times New Roman" w:cs="Arial"/>
          <w:color w:val="191919"/>
          <w:shd w:val="clear" w:color="auto" w:fill="FFFFFF"/>
        </w:rPr>
        <w:t>评价</w:t>
      </w:r>
      <w:r>
        <w:rPr>
          <w:rFonts w:ascii="Times New Roman" w:hAnsi="Times New Roman" w:cs="Arial"/>
          <w:color w:val="191919"/>
          <w:shd w:val="clear" w:color="auto" w:fill="FFFFFF"/>
        </w:rPr>
        <w:t>目标进行审核，提出合理化建议</w:t>
      </w:r>
      <w:r>
        <w:rPr>
          <w:rFonts w:hint="eastAsia" w:ascii="Times New Roman" w:hAnsi="Times New Roman" w:cs="Arial"/>
          <w:color w:val="191919"/>
          <w:shd w:val="clear" w:color="auto" w:fill="FFFFFF"/>
        </w:rPr>
        <w:t>，</w:t>
      </w:r>
      <w:r>
        <w:rPr>
          <w:rFonts w:ascii="Times New Roman" w:hAnsi="Times New Roman" w:cs="Arial"/>
          <w:color w:val="191919"/>
          <w:shd w:val="clear" w:color="auto" w:fill="FFFFFF"/>
        </w:rPr>
        <w:t>充分发挥绩效管理提升财政资金使用效益的引导作用。</w:t>
      </w:r>
    </w:p>
    <w:p>
      <w:pPr>
        <w:spacing w:before="156" w:beforeLines="50" w:after="156" w:afterLines="50"/>
        <w:ind w:firstLine="643" w:firstLineChars="200"/>
        <w:outlineLvl w:val="1"/>
        <w:rPr>
          <w:rFonts w:ascii="Times New Roman" w:hAnsi="Times New Roman" w:cs="黑体"/>
          <w:b/>
          <w:bCs/>
          <w:sz w:val="32"/>
          <w:szCs w:val="32"/>
        </w:rPr>
      </w:pPr>
      <w:bookmarkStart w:id="102" w:name="_Toc152320477"/>
      <w:r>
        <w:rPr>
          <w:rFonts w:hint="eastAsia" w:ascii="Times New Roman" w:hAnsi="Times New Roman" w:cs="黑体"/>
          <w:b/>
          <w:bCs/>
          <w:sz w:val="32"/>
          <w:szCs w:val="32"/>
        </w:rPr>
        <w:t>二、创新社会救助方式</w:t>
      </w:r>
      <w:bookmarkEnd w:id="102"/>
    </w:p>
    <w:p>
      <w:pPr>
        <w:ind w:firstLine="560" w:firstLineChars="200"/>
        <w:rPr>
          <w:rFonts w:ascii="Times New Roman" w:hAnsi="Times New Roman" w:cs="Times New Roman"/>
          <w:szCs w:val="28"/>
        </w:rPr>
      </w:pPr>
      <w:r>
        <w:rPr>
          <w:rFonts w:hint="eastAsia" w:ascii="Times New Roman" w:hAnsi="Times New Roman" w:cs="Times New Roman"/>
          <w:szCs w:val="28"/>
        </w:rPr>
        <w:t>积极落实上级要求，推动社会救助制度改革，推行“资金</w:t>
      </w:r>
      <w:r>
        <w:rPr>
          <w:rFonts w:ascii="Times New Roman" w:hAnsi="Times New Roman" w:cs="Times New Roman"/>
          <w:szCs w:val="28"/>
        </w:rPr>
        <w:t>+物资+服务”的救助方式，通过政府购买服务引进社会组织参与，并组织发动社会各界尤其是社会组织、公益机构和爱心人士自觉参与，充分利用各类资源，补齐救助短板，做到资源与需求有效对接，实现救助对象、救助需求全覆盖。</w:t>
      </w:r>
    </w:p>
    <w:p>
      <w:pPr>
        <w:spacing w:before="156" w:beforeLines="50" w:after="156" w:afterLines="50"/>
        <w:ind w:firstLine="643" w:firstLineChars="200"/>
        <w:outlineLvl w:val="1"/>
        <w:rPr>
          <w:rFonts w:ascii="Times New Roman" w:hAnsi="Times New Roman" w:cs="黑体"/>
          <w:b/>
          <w:bCs/>
          <w:sz w:val="32"/>
          <w:szCs w:val="32"/>
        </w:rPr>
      </w:pPr>
      <w:bookmarkStart w:id="103" w:name="_Toc152320478"/>
      <w:r>
        <w:rPr>
          <w:rFonts w:hint="eastAsia" w:ascii="Times New Roman" w:hAnsi="Times New Roman" w:cs="黑体"/>
          <w:b/>
          <w:bCs/>
          <w:sz w:val="32"/>
          <w:szCs w:val="32"/>
        </w:rPr>
        <w:t>三、加强人员技能培训</w:t>
      </w:r>
      <w:bookmarkEnd w:id="103"/>
    </w:p>
    <w:p>
      <w:pPr>
        <w:ind w:firstLine="560" w:firstLineChars="200"/>
        <w:rPr>
          <w:rFonts w:ascii="Times New Roman" w:hAnsi="Times New Roman" w:cs="Times New Roman"/>
          <w:szCs w:val="28"/>
        </w:rPr>
      </w:pPr>
      <w:r>
        <w:rPr>
          <w:rFonts w:hint="eastAsia" w:ascii="Times New Roman" w:hAnsi="Times New Roman" w:cs="Times New Roman"/>
          <w:szCs w:val="28"/>
        </w:rPr>
        <w:t>组织各乡镇、村社区对相关基层工作人员定期开展系统化的困难群众救助补助工作专题培训和履职实践学习，增加培训次数，扩大培训覆盖面，积极提高全县困难群众救助工作人员的业务水平、服务能力和责任意识，使基层工作人员充分掌握困难群众救助资金管理要求、掌握相关的工作技能，不断规范和提升我县困难群众救助工作的质量。</w:t>
      </w:r>
      <w:r>
        <w:rPr>
          <w:rFonts w:ascii="Times New Roman" w:hAnsi="Times New Roman" w:cs="Times New Roman"/>
          <w:szCs w:val="28"/>
        </w:rPr>
        <w:t xml:space="preserve"> </w:t>
      </w:r>
    </w:p>
    <w:p>
      <w:pPr>
        <w:ind w:firstLine="643" w:firstLineChars="200"/>
        <w:rPr>
          <w:rFonts w:ascii="Times New Roman" w:hAnsi="Times New Roman" w:cs="黑体"/>
          <w:b/>
          <w:bCs/>
          <w:sz w:val="32"/>
          <w:szCs w:val="32"/>
        </w:rPr>
      </w:pPr>
      <w:r>
        <w:rPr>
          <w:rFonts w:hint="eastAsia" w:ascii="Times New Roman" w:hAnsi="Times New Roman" w:cs="黑体"/>
          <w:b/>
          <w:bCs/>
          <w:sz w:val="32"/>
          <w:szCs w:val="32"/>
        </w:rPr>
        <w:t>四、完善相关救助机制</w:t>
      </w:r>
    </w:p>
    <w:p>
      <w:pPr>
        <w:widowControl/>
        <w:spacing w:before="156" w:beforeLines="50" w:after="156" w:afterLines="50"/>
        <w:ind w:firstLine="560" w:firstLineChars="200"/>
        <w:rPr>
          <w:rFonts w:ascii="Times New Roman" w:hAnsi="Times New Roman" w:cs="Times New Roman"/>
          <w:color w:val="FF0000"/>
          <w:szCs w:val="28"/>
        </w:rPr>
      </w:pPr>
      <w:r>
        <w:rPr>
          <w:rFonts w:hint="eastAsia" w:ascii="Times New Roman" w:hAnsi="Times New Roman" w:cs="Times New Roman"/>
          <w:szCs w:val="28"/>
        </w:rPr>
        <w:t>加大困难群众救助补助相关政策宣传力度，实现“应救尽救”。在宣传手册、入户宣传、实地座谈、宣讲等传统方式的基础上，充分利用微信、微博、短视频、互联网等渠道，创新宣传形式，丰富宣传内容，扩大宣传范围。同时，在实地访问、入户调查的基础上，不断优化困难群众主动识别和动态监测机制，加强对重点人群的定期走访，主动发现、主动救助，实现从“人找政策”到“政策找人”，加强动态监测，完善困难群众动态监测信息平台，确保救助对象“应救尽救”“应退尽退”。</w:t>
      </w:r>
    </w:p>
    <w:p>
      <w:pPr>
        <w:spacing w:before="156" w:beforeLines="50" w:after="156" w:afterLines="50"/>
        <w:ind w:firstLine="643" w:firstLineChars="200"/>
        <w:outlineLvl w:val="1"/>
        <w:rPr>
          <w:rFonts w:ascii="Times New Roman" w:hAnsi="Times New Roman" w:cs="黑体"/>
          <w:b/>
          <w:bCs/>
          <w:sz w:val="32"/>
          <w:szCs w:val="32"/>
        </w:rPr>
      </w:pPr>
      <w:bookmarkStart w:id="104" w:name="_Toc152320479"/>
      <w:r>
        <w:rPr>
          <w:rFonts w:hint="eastAsia" w:ascii="Times New Roman" w:hAnsi="Times New Roman" w:cs="黑体"/>
          <w:b/>
          <w:bCs/>
          <w:sz w:val="32"/>
          <w:szCs w:val="32"/>
        </w:rPr>
        <w:t>五、建立信息共享机制</w:t>
      </w:r>
      <w:bookmarkEnd w:id="104"/>
    </w:p>
    <w:p>
      <w:pPr>
        <w:ind w:firstLine="560" w:firstLineChars="200"/>
        <w:rPr>
          <w:rFonts w:ascii="Times New Roman" w:hAnsi="Times New Roman" w:cs="Times New Roman"/>
          <w:szCs w:val="28"/>
        </w:rPr>
      </w:pPr>
      <w:r>
        <w:rPr>
          <w:rFonts w:hint="eastAsia" w:ascii="Times New Roman" w:hAnsi="Times New Roman" w:cs="Times New Roman"/>
          <w:szCs w:val="28"/>
        </w:rPr>
        <w:t>推进信息共享机制建设，建立并运用信息比对和共享机制，加强县民政局与残联、医保、社保、公安、不动产登记中心等部门之间的协作沟通，定期进行信息比对，融通更多数据信息，及时将救助对象信息变动的情况进行部门间共享，确保信息及时畅通，持续提升对象认定精准度和救助工作的及时性，防止发生“错保”、“漏保”、资金结余等问题。</w:t>
      </w:r>
    </w:p>
    <w:bookmarkEnd w:id="98"/>
    <w:p>
      <w:pPr>
        <w:ind w:firstLine="560" w:firstLineChars="200"/>
        <w:rPr>
          <w:rFonts w:ascii="Times New Roman" w:hAnsi="Times New Roman"/>
          <w:szCs w:val="28"/>
        </w:rPr>
      </w:pPr>
      <w:r>
        <w:rPr>
          <w:rFonts w:ascii="Times New Roman" w:hAnsi="Times New Roman"/>
          <w:szCs w:val="28"/>
        </w:rPr>
        <w:br w:type="page"/>
      </w:r>
    </w:p>
    <w:p>
      <w:pPr>
        <w:ind w:firstLine="560"/>
        <w:outlineLvl w:val="0"/>
        <w:rPr>
          <w:rFonts w:ascii="Times New Roman" w:hAnsi="Times New Roman"/>
          <w:b/>
          <w:bCs/>
          <w:szCs w:val="36"/>
        </w:rPr>
      </w:pPr>
      <w:bookmarkStart w:id="105" w:name="_Toc117458371"/>
      <w:bookmarkStart w:id="106" w:name="_Toc124892229"/>
      <w:bookmarkStart w:id="107" w:name="_Toc152320480"/>
      <w:bookmarkStart w:id="108" w:name="_Toc119967348"/>
      <w:bookmarkStart w:id="109" w:name="_Toc70354055"/>
      <w:bookmarkStart w:id="110" w:name="_Toc3006"/>
      <w:r>
        <w:rPr>
          <w:rFonts w:ascii="Times New Roman" w:hAnsi="Times New Roman"/>
          <w:b/>
          <w:bCs/>
          <w:szCs w:val="36"/>
        </w:rPr>
        <w:t>附件：</w:t>
      </w:r>
      <w:bookmarkEnd w:id="105"/>
      <w:bookmarkEnd w:id="106"/>
      <w:bookmarkEnd w:id="107"/>
      <w:bookmarkEnd w:id="108"/>
      <w:bookmarkEnd w:id="109"/>
      <w:bookmarkEnd w:id="110"/>
    </w:p>
    <w:p>
      <w:pPr>
        <w:spacing w:before="156" w:beforeLines="50" w:after="156" w:afterLines="50"/>
        <w:jc w:val="center"/>
        <w:rPr>
          <w:rFonts w:ascii="Times New Roman" w:hAnsi="Times New Roman"/>
          <w:sz w:val="24"/>
        </w:rPr>
      </w:pPr>
      <w:r>
        <w:rPr>
          <w:rFonts w:hint="eastAsia" w:ascii="Times New Roman" w:hAnsi="Times New Roman"/>
          <w:b/>
          <w:szCs w:val="28"/>
        </w:rPr>
        <w:t>惠安县</w:t>
      </w:r>
      <w:r>
        <w:rPr>
          <w:rFonts w:ascii="Times New Roman" w:hAnsi="Times New Roman" w:cs="Times New Roman"/>
          <w:b/>
          <w:szCs w:val="28"/>
        </w:rPr>
        <w:t>2021</w:t>
      </w:r>
      <w:r>
        <w:rPr>
          <w:rFonts w:ascii="Times New Roman" w:hAnsi="Times New Roman"/>
          <w:b/>
          <w:szCs w:val="28"/>
        </w:rPr>
        <w:t>-</w:t>
      </w:r>
      <w:r>
        <w:rPr>
          <w:rFonts w:ascii="Times New Roman" w:hAnsi="Times New Roman" w:cs="Times New Roman"/>
          <w:b/>
          <w:szCs w:val="28"/>
        </w:rPr>
        <w:t>2022</w:t>
      </w:r>
      <w:r>
        <w:rPr>
          <w:rFonts w:hint="eastAsia" w:ascii="Times New Roman" w:hAnsi="Times New Roman"/>
          <w:b/>
          <w:szCs w:val="28"/>
        </w:rPr>
        <w:t>年度困难群众救助补助专项资金</w:t>
      </w:r>
      <w:r>
        <w:rPr>
          <w:rFonts w:ascii="Times New Roman" w:hAnsi="Times New Roman"/>
          <w:b/>
          <w:szCs w:val="28"/>
        </w:rPr>
        <w:t>绩效评价</w:t>
      </w:r>
      <w:r>
        <w:rPr>
          <w:rFonts w:hint="eastAsia" w:ascii="Times New Roman" w:hAnsi="Times New Roman"/>
          <w:b/>
          <w:szCs w:val="28"/>
        </w:rPr>
        <w:t>表</w:t>
      </w:r>
    </w:p>
    <w:tbl>
      <w:tblPr>
        <w:tblStyle w:val="13"/>
        <w:tblW w:w="8522" w:type="dxa"/>
        <w:tblInd w:w="0" w:type="dxa"/>
        <w:tblLayout w:type="autofit"/>
        <w:tblCellMar>
          <w:top w:w="0" w:type="dxa"/>
          <w:left w:w="108" w:type="dxa"/>
          <w:bottom w:w="0" w:type="dxa"/>
          <w:right w:w="108" w:type="dxa"/>
        </w:tblCellMar>
      </w:tblPr>
      <w:tblGrid>
        <w:gridCol w:w="577"/>
        <w:gridCol w:w="955"/>
        <w:gridCol w:w="2113"/>
        <w:gridCol w:w="3387"/>
        <w:gridCol w:w="719"/>
        <w:gridCol w:w="771"/>
      </w:tblGrid>
      <w:tr>
        <w:tblPrEx>
          <w:tblCellMar>
            <w:top w:w="0" w:type="dxa"/>
            <w:left w:w="108" w:type="dxa"/>
            <w:bottom w:w="0" w:type="dxa"/>
            <w:right w:w="108" w:type="dxa"/>
          </w:tblCellMar>
        </w:tblPrEx>
        <w:trPr>
          <w:trHeight w:val="737" w:hRule="atLeast"/>
          <w:tblHeader/>
        </w:trPr>
        <w:tc>
          <w:tcPr>
            <w:tcW w:w="578"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pPr>
              <w:widowControl/>
              <w:spacing w:line="240" w:lineRule="auto"/>
              <w:jc w:val="center"/>
              <w:rPr>
                <w:rFonts w:ascii="Times New Roman" w:hAnsi="Times New Roman" w:cs="宋体"/>
                <w:b/>
                <w:bCs/>
                <w:color w:val="000000"/>
                <w:kern w:val="0"/>
                <w:sz w:val="18"/>
                <w:szCs w:val="18"/>
              </w:rPr>
            </w:pPr>
            <w:r>
              <w:rPr>
                <w:rFonts w:hint="eastAsia" w:ascii="Times New Roman" w:hAnsi="Times New Roman" w:cs="宋体"/>
                <w:b/>
                <w:bCs/>
                <w:color w:val="000000"/>
                <w:kern w:val="0"/>
                <w:sz w:val="18"/>
                <w:szCs w:val="18"/>
              </w:rPr>
              <w:t>一级指标</w:t>
            </w:r>
          </w:p>
        </w:tc>
        <w:tc>
          <w:tcPr>
            <w:tcW w:w="957"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spacing w:line="240" w:lineRule="auto"/>
              <w:jc w:val="center"/>
              <w:rPr>
                <w:rFonts w:ascii="Times New Roman" w:hAnsi="Times New Roman" w:cs="宋体"/>
                <w:b/>
                <w:bCs/>
                <w:color w:val="000000"/>
                <w:kern w:val="0"/>
                <w:sz w:val="18"/>
                <w:szCs w:val="18"/>
              </w:rPr>
            </w:pPr>
            <w:r>
              <w:rPr>
                <w:rFonts w:hint="eastAsia" w:ascii="Times New Roman" w:hAnsi="Times New Roman" w:cs="宋体"/>
                <w:b/>
                <w:bCs/>
                <w:color w:val="000000"/>
                <w:kern w:val="0"/>
                <w:sz w:val="18"/>
                <w:szCs w:val="18"/>
              </w:rPr>
              <w:t>二级指标</w:t>
            </w:r>
          </w:p>
        </w:tc>
        <w:tc>
          <w:tcPr>
            <w:tcW w:w="2117"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spacing w:line="240" w:lineRule="auto"/>
              <w:jc w:val="center"/>
              <w:rPr>
                <w:rFonts w:ascii="Times New Roman" w:hAnsi="Times New Roman" w:cs="宋体"/>
                <w:b/>
                <w:bCs/>
                <w:color w:val="000000"/>
                <w:kern w:val="0"/>
                <w:sz w:val="18"/>
                <w:szCs w:val="18"/>
              </w:rPr>
            </w:pPr>
            <w:r>
              <w:rPr>
                <w:rFonts w:hint="eastAsia" w:ascii="Times New Roman" w:hAnsi="Times New Roman" w:cs="宋体"/>
                <w:b/>
                <w:bCs/>
                <w:color w:val="000000"/>
                <w:kern w:val="0"/>
                <w:sz w:val="18"/>
                <w:szCs w:val="18"/>
              </w:rPr>
              <w:t>三级指标</w:t>
            </w:r>
          </w:p>
        </w:tc>
        <w:tc>
          <w:tcPr>
            <w:tcW w:w="3394"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spacing w:line="240" w:lineRule="auto"/>
              <w:jc w:val="center"/>
              <w:rPr>
                <w:rFonts w:ascii="Times New Roman" w:hAnsi="Times New Roman" w:cs="宋体"/>
                <w:b/>
                <w:bCs/>
                <w:color w:val="000000"/>
                <w:kern w:val="0"/>
                <w:sz w:val="18"/>
                <w:szCs w:val="18"/>
              </w:rPr>
            </w:pPr>
            <w:r>
              <w:rPr>
                <w:rFonts w:hint="eastAsia" w:ascii="Times New Roman" w:hAnsi="Times New Roman" w:cs="宋体"/>
                <w:b/>
                <w:bCs/>
                <w:color w:val="000000"/>
                <w:kern w:val="0"/>
                <w:sz w:val="18"/>
                <w:szCs w:val="18"/>
              </w:rPr>
              <w:t>评分规则</w:t>
            </w:r>
          </w:p>
        </w:tc>
        <w:tc>
          <w:tcPr>
            <w:tcW w:w="720"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spacing w:line="240" w:lineRule="auto"/>
              <w:jc w:val="center"/>
              <w:rPr>
                <w:rFonts w:ascii="Times New Roman" w:hAnsi="Times New Roman" w:cs="宋体"/>
                <w:b/>
                <w:bCs/>
                <w:color w:val="000000"/>
                <w:kern w:val="0"/>
                <w:sz w:val="18"/>
                <w:szCs w:val="18"/>
              </w:rPr>
            </w:pPr>
            <w:r>
              <w:rPr>
                <w:rFonts w:hint="eastAsia" w:ascii="Times New Roman" w:hAnsi="Times New Roman" w:cs="宋体"/>
                <w:b/>
                <w:bCs/>
                <w:color w:val="000000"/>
                <w:kern w:val="0"/>
                <w:sz w:val="18"/>
                <w:szCs w:val="18"/>
              </w:rPr>
              <w:t>评分</w:t>
            </w:r>
          </w:p>
        </w:tc>
        <w:tc>
          <w:tcPr>
            <w:tcW w:w="756"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spacing w:line="240" w:lineRule="auto"/>
              <w:jc w:val="center"/>
              <w:rPr>
                <w:rFonts w:ascii="Times New Roman" w:hAnsi="Times New Roman" w:cs="宋体"/>
                <w:b/>
                <w:bCs/>
                <w:color w:val="000000"/>
                <w:kern w:val="0"/>
                <w:sz w:val="18"/>
                <w:szCs w:val="18"/>
              </w:rPr>
            </w:pPr>
            <w:r>
              <w:rPr>
                <w:rFonts w:hint="eastAsia" w:ascii="Times New Roman" w:hAnsi="Times New Roman" w:cs="宋体"/>
                <w:b/>
                <w:bCs/>
                <w:color w:val="000000"/>
                <w:kern w:val="0"/>
                <w:sz w:val="18"/>
                <w:szCs w:val="18"/>
              </w:rPr>
              <w:t>扣分原因</w:t>
            </w:r>
          </w:p>
        </w:tc>
      </w:tr>
      <w:tr>
        <w:tblPrEx>
          <w:tblCellMar>
            <w:top w:w="0" w:type="dxa"/>
            <w:left w:w="108" w:type="dxa"/>
            <w:bottom w:w="0" w:type="dxa"/>
            <w:right w:w="108" w:type="dxa"/>
          </w:tblCellMar>
        </w:tblPrEx>
        <w:trPr>
          <w:trHeight w:val="2016" w:hRule="atLeast"/>
        </w:trPr>
        <w:tc>
          <w:tcPr>
            <w:tcW w:w="57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Times New Roman" w:hAnsi="Times New Roman" w:cs="宋体"/>
                <w:b/>
                <w:bCs/>
                <w:color w:val="000000"/>
                <w:kern w:val="0"/>
                <w:sz w:val="18"/>
                <w:szCs w:val="18"/>
              </w:rPr>
            </w:pPr>
            <w:r>
              <w:rPr>
                <w:rFonts w:hint="eastAsia" w:ascii="Times New Roman" w:hAnsi="Times New Roman" w:cs="宋体"/>
                <w:b/>
                <w:bCs/>
                <w:color w:val="000000"/>
                <w:kern w:val="0"/>
                <w:sz w:val="18"/>
                <w:szCs w:val="18"/>
              </w:rPr>
              <w:t>决策指标（</w:t>
            </w:r>
            <w:r>
              <w:rPr>
                <w:rFonts w:ascii="Times New Roman" w:hAnsi="Times New Roman" w:cs="Times New Roman"/>
                <w:b/>
                <w:bCs/>
                <w:color w:val="000000"/>
                <w:kern w:val="0"/>
                <w:sz w:val="18"/>
                <w:szCs w:val="18"/>
              </w:rPr>
              <w:t>20</w:t>
            </w:r>
            <w:r>
              <w:rPr>
                <w:rFonts w:hint="eastAsia" w:ascii="Times New Roman" w:hAnsi="Times New Roman" w:cs="宋体"/>
                <w:b/>
                <w:bCs/>
                <w:color w:val="000000"/>
                <w:kern w:val="0"/>
                <w:sz w:val="18"/>
                <w:szCs w:val="18"/>
              </w:rPr>
              <w:t>分）</w:t>
            </w:r>
          </w:p>
        </w:tc>
        <w:tc>
          <w:tcPr>
            <w:tcW w:w="95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项目立项（</w:t>
            </w:r>
            <w:r>
              <w:rPr>
                <w:rFonts w:ascii="Times New Roman" w:hAnsi="Times New Roman" w:cs="Times New Roman"/>
                <w:color w:val="000000"/>
                <w:kern w:val="0"/>
                <w:sz w:val="18"/>
                <w:szCs w:val="18"/>
              </w:rPr>
              <w:t>8</w:t>
            </w:r>
            <w:r>
              <w:rPr>
                <w:rFonts w:hint="eastAsia" w:ascii="Times New Roman" w:hAnsi="Times New Roman" w:cs="宋体"/>
                <w:color w:val="000000"/>
                <w:kern w:val="0"/>
                <w:sz w:val="18"/>
                <w:szCs w:val="18"/>
              </w:rPr>
              <w:t>分）</w:t>
            </w:r>
          </w:p>
        </w:tc>
        <w:tc>
          <w:tcPr>
            <w:tcW w:w="2117"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立项依据充分性（</w:t>
            </w:r>
            <w:r>
              <w:rPr>
                <w:rFonts w:ascii="Times New Roman" w:hAnsi="Times New Roman" w:cs="Times New Roman"/>
                <w:color w:val="000000"/>
                <w:kern w:val="0"/>
                <w:sz w:val="18"/>
                <w:szCs w:val="18"/>
              </w:rPr>
              <w:t>4</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kern w:val="0"/>
                <w:sz w:val="18"/>
                <w:szCs w:val="18"/>
              </w:rPr>
            </w:pPr>
            <w:r>
              <w:rPr>
                <w:rFonts w:ascii="Times New Roman" w:hAnsi="Times New Roman" w:cs="Times New Roman"/>
                <w:kern w:val="0"/>
                <w:sz w:val="18"/>
                <w:szCs w:val="18"/>
              </w:rPr>
              <w:t>1</w:t>
            </w:r>
            <w:r>
              <w:rPr>
                <w:rFonts w:hint="eastAsia" w:ascii="Times New Roman" w:hAnsi="Times New Roman" w:cs="Times New Roman"/>
                <w:kern w:val="0"/>
                <w:sz w:val="18"/>
                <w:szCs w:val="18"/>
              </w:rPr>
              <w:t>.项目立项是否符合法律、法规、规章或者省委省政府规范性文件情况；</w:t>
            </w:r>
            <w:r>
              <w:rPr>
                <w:rFonts w:ascii="Times New Roman" w:hAnsi="Times New Roman" w:cs="Times New Roman"/>
                <w:kern w:val="0"/>
                <w:sz w:val="18"/>
                <w:szCs w:val="18"/>
              </w:rPr>
              <w:t>2</w:t>
            </w:r>
            <w:r>
              <w:rPr>
                <w:rFonts w:hint="eastAsia" w:ascii="Times New Roman" w:hAnsi="Times New Roman" w:cs="Times New Roman"/>
                <w:kern w:val="0"/>
                <w:sz w:val="18"/>
                <w:szCs w:val="18"/>
              </w:rPr>
              <w:t>.项目立项是否与部门职责范围相符，属于部门履职所需；</w:t>
            </w:r>
            <w:r>
              <w:rPr>
                <w:rFonts w:ascii="Times New Roman" w:hAnsi="Times New Roman" w:cs="Times New Roman"/>
                <w:kern w:val="0"/>
                <w:sz w:val="18"/>
                <w:szCs w:val="18"/>
              </w:rPr>
              <w:t>3</w:t>
            </w:r>
            <w:r>
              <w:rPr>
                <w:rFonts w:hint="eastAsia" w:ascii="Times New Roman" w:hAnsi="Times New Roman" w:cs="Times New Roman"/>
                <w:kern w:val="0"/>
                <w:sz w:val="18"/>
                <w:szCs w:val="18"/>
              </w:rPr>
              <w:t>.项目是否属于公共财政支持范围，是否符合中央、地方事权支出责任划分原则；</w:t>
            </w:r>
            <w:r>
              <w:rPr>
                <w:rFonts w:ascii="Times New Roman" w:hAnsi="Times New Roman" w:cs="Times New Roman"/>
                <w:kern w:val="0"/>
                <w:sz w:val="18"/>
                <w:szCs w:val="18"/>
              </w:rPr>
              <w:t>4</w:t>
            </w:r>
            <w:r>
              <w:rPr>
                <w:rFonts w:hint="eastAsia" w:ascii="Times New Roman" w:hAnsi="Times New Roman" w:cs="Times New Roman"/>
                <w:kern w:val="0"/>
                <w:sz w:val="18"/>
                <w:szCs w:val="18"/>
              </w:rPr>
              <w:t>.项目是否与相关部门同类项目或部门内部相关项目重复。一项不符合扣</w:t>
            </w:r>
            <w:r>
              <w:rPr>
                <w:rFonts w:ascii="Times New Roman" w:hAnsi="Times New Roman" w:cs="Times New Roman"/>
                <w:kern w:val="0"/>
                <w:sz w:val="18"/>
                <w:szCs w:val="18"/>
              </w:rPr>
              <w:t>1</w:t>
            </w:r>
            <w:r>
              <w:rPr>
                <w:rFonts w:hint="eastAsia" w:ascii="Times New Roman" w:hAnsi="Times New Roman" w:cs="Times New Roman"/>
                <w:kern w:val="0"/>
                <w:sz w:val="18"/>
                <w:szCs w:val="18"/>
              </w:rPr>
              <w:t>分。</w:t>
            </w:r>
          </w:p>
        </w:tc>
        <w:tc>
          <w:tcPr>
            <w:tcW w:w="720"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4</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　</w:t>
            </w:r>
          </w:p>
        </w:tc>
      </w:tr>
      <w:tr>
        <w:tblPrEx>
          <w:tblCellMar>
            <w:top w:w="0" w:type="dxa"/>
            <w:left w:w="108" w:type="dxa"/>
            <w:bottom w:w="0" w:type="dxa"/>
            <w:right w:w="108" w:type="dxa"/>
          </w:tblCellMar>
        </w:tblPrEx>
        <w:trPr>
          <w:trHeight w:val="737"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color w:val="000000"/>
                <w:kern w:val="0"/>
                <w:sz w:val="18"/>
                <w:szCs w:val="18"/>
              </w:rPr>
            </w:pPr>
          </w:p>
        </w:tc>
        <w:tc>
          <w:tcPr>
            <w:tcW w:w="2117"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立项程序规范性（</w:t>
            </w:r>
            <w:r>
              <w:rPr>
                <w:rFonts w:ascii="Times New Roman" w:hAnsi="Times New Roman" w:cs="Times New Roman"/>
                <w:color w:val="000000"/>
                <w:kern w:val="0"/>
                <w:sz w:val="18"/>
                <w:szCs w:val="18"/>
              </w:rPr>
              <w:t>4</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kern w:val="0"/>
                <w:sz w:val="18"/>
                <w:szCs w:val="18"/>
              </w:rPr>
            </w:pPr>
            <w:r>
              <w:rPr>
                <w:rFonts w:ascii="Times New Roman" w:hAnsi="Times New Roman" w:cs="Times New Roman"/>
                <w:kern w:val="0"/>
                <w:sz w:val="18"/>
                <w:szCs w:val="18"/>
              </w:rPr>
              <w:t>1</w:t>
            </w:r>
            <w:r>
              <w:rPr>
                <w:rFonts w:hint="eastAsia" w:ascii="Times New Roman" w:hAnsi="Times New Roman" w:cs="Times New Roman"/>
                <w:kern w:val="0"/>
                <w:sz w:val="18"/>
                <w:szCs w:val="18"/>
              </w:rPr>
              <w:t>.项目是否按照规定的程序申请设立；</w:t>
            </w:r>
            <w:r>
              <w:rPr>
                <w:rFonts w:ascii="Times New Roman" w:hAnsi="Times New Roman" w:cs="Times New Roman"/>
                <w:kern w:val="0"/>
                <w:sz w:val="18"/>
                <w:szCs w:val="18"/>
              </w:rPr>
              <w:t>2</w:t>
            </w:r>
            <w:r>
              <w:rPr>
                <w:rFonts w:hint="eastAsia" w:ascii="Times New Roman" w:hAnsi="Times New Roman" w:cs="Times New Roman"/>
                <w:kern w:val="0"/>
                <w:sz w:val="18"/>
                <w:szCs w:val="18"/>
              </w:rPr>
              <w:t>.审批文件、材料是否符合相关要求。一项不符合扣</w:t>
            </w:r>
            <w:r>
              <w:rPr>
                <w:rFonts w:ascii="Times New Roman" w:hAnsi="Times New Roman" w:cs="Times New Roman"/>
                <w:kern w:val="0"/>
                <w:sz w:val="18"/>
                <w:szCs w:val="18"/>
              </w:rPr>
              <w:t>2</w:t>
            </w:r>
            <w:r>
              <w:rPr>
                <w:rFonts w:hint="eastAsia" w:ascii="Times New Roman" w:hAnsi="Times New Roman" w:cs="Times New Roman"/>
                <w:kern w:val="0"/>
                <w:sz w:val="18"/>
                <w:szCs w:val="18"/>
              </w:rPr>
              <w:t>分。</w:t>
            </w:r>
          </w:p>
        </w:tc>
        <w:tc>
          <w:tcPr>
            <w:tcW w:w="720"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4</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　</w:t>
            </w:r>
          </w:p>
        </w:tc>
      </w:tr>
      <w:tr>
        <w:tblPrEx>
          <w:tblCellMar>
            <w:top w:w="0" w:type="dxa"/>
            <w:left w:w="108" w:type="dxa"/>
            <w:bottom w:w="0" w:type="dxa"/>
            <w:right w:w="108" w:type="dxa"/>
          </w:tblCellMar>
        </w:tblPrEx>
        <w:trPr>
          <w:trHeight w:val="1078"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绩效目标（</w:t>
            </w:r>
            <w:r>
              <w:rPr>
                <w:rFonts w:ascii="Times New Roman" w:hAnsi="Times New Roman" w:cs="Times New Roman"/>
                <w:color w:val="000000"/>
                <w:kern w:val="0"/>
                <w:sz w:val="18"/>
                <w:szCs w:val="18"/>
              </w:rPr>
              <w:t>8</w:t>
            </w:r>
            <w:r>
              <w:rPr>
                <w:rFonts w:hint="eastAsia" w:ascii="Times New Roman" w:hAnsi="Times New Roman" w:cs="宋体"/>
                <w:color w:val="000000"/>
                <w:kern w:val="0"/>
                <w:sz w:val="18"/>
                <w:szCs w:val="18"/>
              </w:rPr>
              <w:t>分）</w:t>
            </w:r>
          </w:p>
        </w:tc>
        <w:tc>
          <w:tcPr>
            <w:tcW w:w="2117"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绩效目标合理性（</w:t>
            </w:r>
            <w:r>
              <w:rPr>
                <w:rFonts w:ascii="Times New Roman" w:hAnsi="Times New Roman" w:cs="Times New Roman"/>
                <w:color w:val="000000"/>
                <w:kern w:val="0"/>
                <w:sz w:val="18"/>
                <w:szCs w:val="18"/>
              </w:rPr>
              <w:t>4</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kern w:val="0"/>
                <w:sz w:val="18"/>
                <w:szCs w:val="18"/>
              </w:rPr>
            </w:pPr>
            <w:r>
              <w:rPr>
                <w:rFonts w:ascii="Times New Roman" w:hAnsi="Times New Roman" w:cs="Times New Roman"/>
                <w:kern w:val="0"/>
                <w:sz w:val="18"/>
                <w:szCs w:val="18"/>
              </w:rPr>
              <w:t>1</w:t>
            </w:r>
            <w:r>
              <w:rPr>
                <w:rFonts w:hint="eastAsia" w:ascii="Times New Roman" w:hAnsi="Times New Roman" w:cs="Times New Roman"/>
                <w:kern w:val="0"/>
                <w:sz w:val="18"/>
                <w:szCs w:val="18"/>
              </w:rPr>
              <w:t>.目标设置应细化、量化、可考核；</w:t>
            </w:r>
            <w:r>
              <w:rPr>
                <w:rFonts w:ascii="Times New Roman" w:hAnsi="Times New Roman" w:cs="Times New Roman"/>
                <w:kern w:val="0"/>
                <w:sz w:val="18"/>
                <w:szCs w:val="18"/>
              </w:rPr>
              <w:t>2</w:t>
            </w:r>
            <w:r>
              <w:rPr>
                <w:rFonts w:hint="eastAsia" w:ascii="Times New Roman" w:hAnsi="Times New Roman" w:cs="Times New Roman"/>
                <w:kern w:val="0"/>
                <w:sz w:val="18"/>
                <w:szCs w:val="18"/>
              </w:rPr>
              <w:t>.目标内容与预算申请匹配性；</w:t>
            </w:r>
            <w:r>
              <w:rPr>
                <w:rFonts w:ascii="Times New Roman" w:hAnsi="Times New Roman" w:cs="Times New Roman"/>
                <w:kern w:val="0"/>
                <w:sz w:val="18"/>
                <w:szCs w:val="18"/>
              </w:rPr>
              <w:t>3</w:t>
            </w:r>
            <w:r>
              <w:rPr>
                <w:rFonts w:hint="eastAsia" w:ascii="Times New Roman" w:hAnsi="Times New Roman" w:cs="Times New Roman"/>
                <w:kern w:val="0"/>
                <w:sz w:val="18"/>
                <w:szCs w:val="18"/>
              </w:rPr>
              <w:t>.目标内容与预算申请相关性；</w:t>
            </w:r>
            <w:r>
              <w:rPr>
                <w:rFonts w:ascii="Times New Roman" w:hAnsi="Times New Roman" w:cs="Times New Roman"/>
                <w:kern w:val="0"/>
                <w:sz w:val="18"/>
                <w:szCs w:val="18"/>
              </w:rPr>
              <w:t>4</w:t>
            </w:r>
            <w:r>
              <w:rPr>
                <w:rFonts w:hint="eastAsia" w:ascii="Times New Roman" w:hAnsi="Times New Roman" w:cs="Times New Roman"/>
                <w:kern w:val="0"/>
                <w:sz w:val="18"/>
                <w:szCs w:val="18"/>
              </w:rPr>
              <w:t>.目标设定合理科学。一项不符合扣</w:t>
            </w:r>
            <w:r>
              <w:rPr>
                <w:rFonts w:ascii="Times New Roman" w:hAnsi="Times New Roman" w:cs="Times New Roman"/>
                <w:kern w:val="0"/>
                <w:sz w:val="18"/>
                <w:szCs w:val="18"/>
              </w:rPr>
              <w:t>1</w:t>
            </w:r>
            <w:r>
              <w:rPr>
                <w:rFonts w:hint="eastAsia" w:ascii="Times New Roman" w:hAnsi="Times New Roman" w:cs="Times New Roman"/>
                <w:kern w:val="0"/>
                <w:sz w:val="18"/>
                <w:szCs w:val="18"/>
              </w:rPr>
              <w:t>分。</w:t>
            </w:r>
          </w:p>
        </w:tc>
        <w:tc>
          <w:tcPr>
            <w:tcW w:w="720"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　第</w:t>
            </w:r>
            <w:r>
              <w:rPr>
                <w:rFonts w:ascii="Times New Roman" w:hAnsi="Times New Roman" w:cs="Times New Roman"/>
                <w:color w:val="000000"/>
                <w:kern w:val="0"/>
                <w:sz w:val="18"/>
                <w:szCs w:val="18"/>
              </w:rPr>
              <w:t>4</w:t>
            </w:r>
            <w:r>
              <w:rPr>
                <w:rFonts w:hint="eastAsia" w:ascii="Times New Roman" w:hAnsi="Times New Roman" w:cs="宋体"/>
                <w:color w:val="000000"/>
                <w:kern w:val="0"/>
                <w:sz w:val="18"/>
                <w:szCs w:val="18"/>
              </w:rPr>
              <w:t>点</w:t>
            </w:r>
          </w:p>
        </w:tc>
      </w:tr>
      <w:tr>
        <w:tblPrEx>
          <w:tblCellMar>
            <w:top w:w="0" w:type="dxa"/>
            <w:left w:w="108" w:type="dxa"/>
            <w:bottom w:w="0" w:type="dxa"/>
            <w:right w:w="108" w:type="dxa"/>
          </w:tblCellMar>
        </w:tblPrEx>
        <w:trPr>
          <w:trHeight w:val="737"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color w:val="000000"/>
                <w:kern w:val="0"/>
                <w:sz w:val="18"/>
                <w:szCs w:val="18"/>
              </w:rPr>
            </w:pPr>
          </w:p>
        </w:tc>
        <w:tc>
          <w:tcPr>
            <w:tcW w:w="2117"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绩效指标明确性（</w:t>
            </w:r>
            <w:r>
              <w:rPr>
                <w:rFonts w:ascii="Times New Roman" w:hAnsi="Times New Roman" w:cs="Times New Roman"/>
                <w:color w:val="000000"/>
                <w:kern w:val="0"/>
                <w:sz w:val="18"/>
                <w:szCs w:val="18"/>
              </w:rPr>
              <w:t>4</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kern w:val="0"/>
                <w:sz w:val="18"/>
                <w:szCs w:val="18"/>
              </w:rPr>
            </w:pPr>
            <w:r>
              <w:rPr>
                <w:rFonts w:ascii="Times New Roman" w:hAnsi="Times New Roman" w:cs="Times New Roman"/>
                <w:kern w:val="0"/>
                <w:sz w:val="18"/>
                <w:szCs w:val="18"/>
              </w:rPr>
              <w:t>1</w:t>
            </w:r>
            <w:r>
              <w:rPr>
                <w:rFonts w:hint="eastAsia" w:ascii="Times New Roman" w:hAnsi="Times New Roman" w:cs="Times New Roman"/>
                <w:kern w:val="0"/>
                <w:sz w:val="18"/>
                <w:szCs w:val="18"/>
              </w:rPr>
              <w:t>.将项目绩效目标细化分解为具体的绩效指标；</w:t>
            </w:r>
            <w:r>
              <w:rPr>
                <w:rFonts w:ascii="Times New Roman" w:hAnsi="Times New Roman" w:cs="Times New Roman"/>
                <w:kern w:val="0"/>
                <w:sz w:val="18"/>
                <w:szCs w:val="18"/>
              </w:rPr>
              <w:t>2</w:t>
            </w:r>
            <w:r>
              <w:rPr>
                <w:rFonts w:hint="eastAsia" w:ascii="Times New Roman" w:hAnsi="Times New Roman" w:cs="Times New Roman"/>
                <w:kern w:val="0"/>
                <w:sz w:val="18"/>
                <w:szCs w:val="18"/>
              </w:rPr>
              <w:t>.通过清晰、可衡量的指标值予以体现；</w:t>
            </w:r>
            <w:r>
              <w:rPr>
                <w:rFonts w:ascii="Times New Roman" w:hAnsi="Times New Roman" w:cs="Times New Roman"/>
                <w:kern w:val="0"/>
                <w:sz w:val="18"/>
                <w:szCs w:val="18"/>
              </w:rPr>
              <w:t>3</w:t>
            </w:r>
            <w:r>
              <w:rPr>
                <w:rFonts w:hint="eastAsia" w:ascii="Times New Roman" w:hAnsi="Times New Roman" w:cs="Times New Roman"/>
                <w:kern w:val="0"/>
                <w:sz w:val="18"/>
                <w:szCs w:val="18"/>
              </w:rPr>
              <w:t>.与项目目标任务数或计划数相对应；</w:t>
            </w:r>
            <w:r>
              <w:rPr>
                <w:rFonts w:ascii="Times New Roman" w:hAnsi="Times New Roman" w:cs="Times New Roman"/>
                <w:kern w:val="0"/>
                <w:sz w:val="18"/>
                <w:szCs w:val="18"/>
              </w:rPr>
              <w:t>4.</w:t>
            </w:r>
            <w:r>
              <w:rPr>
                <w:rFonts w:hint="eastAsia" w:ascii="Times New Roman" w:hAnsi="Times New Roman" w:cs="Times New Roman"/>
                <w:kern w:val="0"/>
                <w:sz w:val="18"/>
                <w:szCs w:val="18"/>
              </w:rPr>
              <w:t>绩效指标的选取有科学性、代表性。一项不符合扣</w:t>
            </w:r>
            <w:r>
              <w:rPr>
                <w:rFonts w:ascii="Times New Roman" w:hAnsi="Times New Roman" w:cs="Times New Roman"/>
                <w:kern w:val="0"/>
                <w:sz w:val="18"/>
                <w:szCs w:val="18"/>
              </w:rPr>
              <w:t>1</w:t>
            </w:r>
            <w:r>
              <w:rPr>
                <w:rFonts w:hint="eastAsia" w:ascii="Times New Roman" w:hAnsi="Times New Roman" w:cs="Times New Roman"/>
                <w:kern w:val="0"/>
                <w:sz w:val="18"/>
                <w:szCs w:val="18"/>
              </w:rPr>
              <w:t>分。</w:t>
            </w:r>
          </w:p>
        </w:tc>
        <w:tc>
          <w:tcPr>
            <w:tcW w:w="720"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　第</w:t>
            </w:r>
            <w:r>
              <w:rPr>
                <w:rFonts w:ascii="Times New Roman" w:hAnsi="Times New Roman" w:cs="宋体"/>
                <w:color w:val="000000"/>
                <w:kern w:val="0"/>
                <w:sz w:val="18"/>
                <w:szCs w:val="18"/>
              </w:rPr>
              <w:t>4</w:t>
            </w:r>
            <w:r>
              <w:rPr>
                <w:rFonts w:hint="eastAsia" w:ascii="Times New Roman" w:hAnsi="Times New Roman" w:cs="宋体"/>
                <w:color w:val="000000"/>
                <w:kern w:val="0"/>
                <w:sz w:val="18"/>
                <w:szCs w:val="18"/>
              </w:rPr>
              <w:t>点</w:t>
            </w:r>
          </w:p>
        </w:tc>
      </w:tr>
      <w:tr>
        <w:tblPrEx>
          <w:tblCellMar>
            <w:top w:w="0" w:type="dxa"/>
            <w:left w:w="108" w:type="dxa"/>
            <w:bottom w:w="0" w:type="dxa"/>
            <w:right w:w="108" w:type="dxa"/>
          </w:tblCellMar>
        </w:tblPrEx>
        <w:trPr>
          <w:trHeight w:val="737"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tcBorders>
              <w:top w:val="nil"/>
              <w:left w:val="nil"/>
              <w:bottom w:val="nil"/>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资金投入（</w:t>
            </w:r>
            <w:r>
              <w:rPr>
                <w:rFonts w:ascii="Times New Roman" w:hAnsi="Times New Roman" w:cs="Times New Roman"/>
                <w:color w:val="000000"/>
                <w:kern w:val="0"/>
                <w:sz w:val="18"/>
                <w:szCs w:val="18"/>
              </w:rPr>
              <w:t>4</w:t>
            </w:r>
            <w:r>
              <w:rPr>
                <w:rFonts w:hint="eastAsia" w:ascii="Times New Roman" w:hAnsi="Times New Roman" w:cs="宋体"/>
                <w:color w:val="000000"/>
                <w:kern w:val="0"/>
                <w:sz w:val="18"/>
                <w:szCs w:val="18"/>
              </w:rPr>
              <w:t>分）</w:t>
            </w:r>
          </w:p>
        </w:tc>
        <w:tc>
          <w:tcPr>
            <w:tcW w:w="2117"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预算编制科学性（</w:t>
            </w:r>
            <w:r>
              <w:rPr>
                <w:rFonts w:ascii="Times New Roman" w:hAnsi="Times New Roman" w:cs="Times New Roman"/>
                <w:color w:val="000000"/>
                <w:kern w:val="0"/>
                <w:sz w:val="18"/>
                <w:szCs w:val="18"/>
              </w:rPr>
              <w:t>4</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kern w:val="0"/>
                <w:sz w:val="18"/>
                <w:szCs w:val="18"/>
              </w:rPr>
            </w:pPr>
            <w:r>
              <w:rPr>
                <w:rFonts w:ascii="Times New Roman" w:hAnsi="Times New Roman" w:cs="Times New Roman"/>
                <w:kern w:val="0"/>
                <w:sz w:val="18"/>
                <w:szCs w:val="18"/>
              </w:rPr>
              <w:t>1</w:t>
            </w:r>
            <w:r>
              <w:rPr>
                <w:rFonts w:hint="eastAsia" w:ascii="Times New Roman" w:hAnsi="Times New Roman" w:cs="Times New Roman"/>
                <w:kern w:val="0"/>
                <w:sz w:val="18"/>
                <w:szCs w:val="18"/>
              </w:rPr>
              <w:t>.预算内容与项目内容是否匹配；</w:t>
            </w:r>
            <w:r>
              <w:rPr>
                <w:rFonts w:ascii="Times New Roman" w:hAnsi="Times New Roman" w:cs="Times New Roman"/>
                <w:kern w:val="0"/>
                <w:sz w:val="18"/>
                <w:szCs w:val="18"/>
              </w:rPr>
              <w:t>2</w:t>
            </w:r>
            <w:r>
              <w:rPr>
                <w:rFonts w:hint="eastAsia" w:ascii="Times New Roman" w:hAnsi="Times New Roman" w:cs="Times New Roman"/>
                <w:kern w:val="0"/>
                <w:sz w:val="18"/>
                <w:szCs w:val="18"/>
              </w:rPr>
              <w:t>.预算确定的项目投资额或资金量是否与工作任务相匹配。一项不符合扣</w:t>
            </w:r>
            <w:r>
              <w:rPr>
                <w:rFonts w:ascii="Times New Roman" w:hAnsi="Times New Roman" w:cs="Times New Roman"/>
                <w:kern w:val="0"/>
                <w:sz w:val="18"/>
                <w:szCs w:val="18"/>
              </w:rPr>
              <w:t>2</w:t>
            </w:r>
            <w:r>
              <w:rPr>
                <w:rFonts w:hint="eastAsia" w:ascii="Times New Roman" w:hAnsi="Times New Roman" w:cs="Times New Roman"/>
                <w:kern w:val="0"/>
                <w:sz w:val="18"/>
                <w:szCs w:val="18"/>
              </w:rPr>
              <w:t>分。</w:t>
            </w:r>
          </w:p>
        </w:tc>
        <w:tc>
          <w:tcPr>
            <w:tcW w:w="720"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4</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　</w:t>
            </w:r>
          </w:p>
        </w:tc>
      </w:tr>
      <w:tr>
        <w:tblPrEx>
          <w:tblCellMar>
            <w:top w:w="0" w:type="dxa"/>
            <w:left w:w="108" w:type="dxa"/>
            <w:bottom w:w="0" w:type="dxa"/>
            <w:right w:w="108" w:type="dxa"/>
          </w:tblCellMar>
        </w:tblPrEx>
        <w:trPr>
          <w:trHeight w:val="737" w:hRule="atLeast"/>
        </w:trPr>
        <w:tc>
          <w:tcPr>
            <w:tcW w:w="57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Times New Roman" w:hAnsi="Times New Roman" w:cs="宋体"/>
                <w:b/>
                <w:bCs/>
                <w:color w:val="000000"/>
                <w:kern w:val="0"/>
                <w:sz w:val="18"/>
                <w:szCs w:val="18"/>
              </w:rPr>
            </w:pPr>
            <w:r>
              <w:rPr>
                <w:rFonts w:hint="eastAsia" w:ascii="Times New Roman" w:hAnsi="Times New Roman" w:cs="宋体"/>
                <w:b/>
                <w:bCs/>
                <w:color w:val="000000"/>
                <w:kern w:val="0"/>
                <w:sz w:val="18"/>
                <w:szCs w:val="18"/>
              </w:rPr>
              <w:t>过程指标（</w:t>
            </w:r>
            <w:r>
              <w:rPr>
                <w:rFonts w:ascii="Times New Roman" w:hAnsi="Times New Roman" w:cs="Times New Roman"/>
                <w:b/>
                <w:bCs/>
                <w:color w:val="000000"/>
                <w:kern w:val="0"/>
                <w:sz w:val="18"/>
                <w:szCs w:val="18"/>
              </w:rPr>
              <w:t>20</w:t>
            </w:r>
            <w:r>
              <w:rPr>
                <w:rFonts w:hint="eastAsia" w:ascii="Times New Roman" w:hAnsi="Times New Roman" w:cs="宋体"/>
                <w:b/>
                <w:bCs/>
                <w:color w:val="000000"/>
                <w:kern w:val="0"/>
                <w:sz w:val="18"/>
                <w:szCs w:val="18"/>
              </w:rPr>
              <w:t>分）</w:t>
            </w:r>
          </w:p>
        </w:tc>
        <w:tc>
          <w:tcPr>
            <w:tcW w:w="9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资金管理（</w:t>
            </w:r>
            <w:r>
              <w:rPr>
                <w:rFonts w:ascii="Times New Roman" w:hAnsi="Times New Roman" w:cs="Times New Roman"/>
                <w:color w:val="000000"/>
                <w:kern w:val="0"/>
                <w:sz w:val="18"/>
                <w:szCs w:val="18"/>
              </w:rPr>
              <w:t>10</w:t>
            </w:r>
            <w:r>
              <w:rPr>
                <w:rFonts w:hint="eastAsia" w:ascii="Times New Roman" w:hAnsi="Times New Roman" w:cs="宋体"/>
                <w:color w:val="000000"/>
                <w:kern w:val="0"/>
                <w:sz w:val="18"/>
                <w:szCs w:val="18"/>
              </w:rPr>
              <w:t>分）</w:t>
            </w:r>
          </w:p>
        </w:tc>
        <w:tc>
          <w:tcPr>
            <w:tcW w:w="2117"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预算执行率（</w:t>
            </w: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kern w:val="0"/>
                <w:sz w:val="18"/>
                <w:szCs w:val="18"/>
              </w:rPr>
            </w:pPr>
            <w:r>
              <w:rPr>
                <w:rFonts w:hint="eastAsia" w:ascii="Times New Roman" w:hAnsi="Times New Roman" w:cs="Times New Roman"/>
                <w:kern w:val="0"/>
                <w:sz w:val="18"/>
                <w:szCs w:val="18"/>
              </w:rPr>
              <w:t>（实际支出资金/实际到位资金）*</w:t>
            </w:r>
            <w:r>
              <w:rPr>
                <w:rFonts w:ascii="Times New Roman" w:hAnsi="Times New Roman" w:cs="Times New Roman"/>
                <w:kern w:val="0"/>
                <w:sz w:val="18"/>
                <w:szCs w:val="18"/>
              </w:rPr>
              <w:t>100</w:t>
            </w:r>
            <w:r>
              <w:rPr>
                <w:rFonts w:hint="eastAsia" w:ascii="Times New Roman" w:hAnsi="Times New Roman" w:cs="Times New Roman"/>
                <w:kern w:val="0"/>
                <w:sz w:val="18"/>
                <w:szCs w:val="18"/>
              </w:rPr>
              <w:t>%*满分。</w:t>
            </w:r>
          </w:p>
        </w:tc>
        <w:tc>
          <w:tcPr>
            <w:tcW w:w="720"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4</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91</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98.21</w:t>
            </w:r>
            <w:r>
              <w:rPr>
                <w:rFonts w:hint="eastAsia" w:ascii="Times New Roman" w:hAnsi="Times New Roman" w:cs="宋体"/>
                <w:color w:val="000000"/>
                <w:kern w:val="0"/>
                <w:sz w:val="18"/>
                <w:szCs w:val="18"/>
              </w:rPr>
              <w:t>%</w:t>
            </w:r>
          </w:p>
        </w:tc>
      </w:tr>
      <w:tr>
        <w:tblPrEx>
          <w:tblCellMar>
            <w:top w:w="0" w:type="dxa"/>
            <w:left w:w="108" w:type="dxa"/>
            <w:bottom w:w="0" w:type="dxa"/>
            <w:right w:w="108" w:type="dxa"/>
          </w:tblCellMar>
        </w:tblPrEx>
        <w:trPr>
          <w:trHeight w:val="1806"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color w:val="000000"/>
                <w:kern w:val="0"/>
                <w:sz w:val="18"/>
                <w:szCs w:val="18"/>
              </w:rPr>
            </w:pPr>
          </w:p>
        </w:tc>
        <w:tc>
          <w:tcPr>
            <w:tcW w:w="2117"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资金使用合规性（</w:t>
            </w: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kern w:val="0"/>
                <w:sz w:val="18"/>
                <w:szCs w:val="18"/>
              </w:rPr>
            </w:pPr>
            <w:r>
              <w:rPr>
                <w:rFonts w:ascii="Times New Roman" w:hAnsi="Times New Roman" w:cs="Times New Roman"/>
                <w:kern w:val="0"/>
                <w:sz w:val="18"/>
                <w:szCs w:val="18"/>
              </w:rPr>
              <w:t>1</w:t>
            </w:r>
            <w:r>
              <w:rPr>
                <w:rFonts w:hint="eastAsia" w:ascii="Times New Roman" w:hAnsi="Times New Roman" w:cs="Times New Roman"/>
                <w:kern w:val="0"/>
                <w:sz w:val="18"/>
                <w:szCs w:val="18"/>
              </w:rPr>
              <w:t>.是否符合国家财经法规和财务管理制度以及有关专项资金管理办法的规定；</w:t>
            </w:r>
            <w:r>
              <w:rPr>
                <w:rFonts w:ascii="Times New Roman" w:hAnsi="Times New Roman" w:cs="Times New Roman"/>
                <w:kern w:val="0"/>
                <w:sz w:val="18"/>
                <w:szCs w:val="18"/>
              </w:rPr>
              <w:t>2</w:t>
            </w:r>
            <w:r>
              <w:rPr>
                <w:rFonts w:hint="eastAsia" w:ascii="Times New Roman" w:hAnsi="Times New Roman" w:cs="Times New Roman"/>
                <w:kern w:val="0"/>
                <w:sz w:val="18"/>
                <w:szCs w:val="18"/>
              </w:rPr>
              <w:t>.资金的拨付是否有完整的审批程序和手续；</w:t>
            </w:r>
            <w:r>
              <w:rPr>
                <w:rFonts w:ascii="Times New Roman" w:hAnsi="Times New Roman" w:cs="Times New Roman"/>
                <w:kern w:val="0"/>
                <w:sz w:val="18"/>
                <w:szCs w:val="18"/>
              </w:rPr>
              <w:t>3</w:t>
            </w:r>
            <w:r>
              <w:rPr>
                <w:rFonts w:hint="eastAsia" w:ascii="Times New Roman" w:hAnsi="Times New Roman" w:cs="Times New Roman"/>
                <w:kern w:val="0"/>
                <w:sz w:val="18"/>
                <w:szCs w:val="18"/>
              </w:rPr>
              <w:t>.符合项目预算批复或合同规定的用途；</w:t>
            </w:r>
            <w:r>
              <w:rPr>
                <w:rFonts w:ascii="Times New Roman" w:hAnsi="Times New Roman" w:cs="Times New Roman"/>
                <w:kern w:val="0"/>
                <w:sz w:val="18"/>
                <w:szCs w:val="18"/>
              </w:rPr>
              <w:t>4</w:t>
            </w:r>
            <w:r>
              <w:rPr>
                <w:rFonts w:hint="eastAsia" w:ascii="Times New Roman" w:hAnsi="Times New Roman" w:cs="Times New Roman"/>
                <w:kern w:val="0"/>
                <w:sz w:val="18"/>
                <w:szCs w:val="18"/>
              </w:rPr>
              <w:t>.是否存在截留、挤占、挪用、虚列支出、资金沉淀等情况。发现存在一项不符合扣</w:t>
            </w:r>
            <w:r>
              <w:rPr>
                <w:rFonts w:ascii="Times New Roman" w:hAnsi="Times New Roman" w:cs="Times New Roman"/>
                <w:kern w:val="0"/>
                <w:sz w:val="18"/>
                <w:szCs w:val="18"/>
              </w:rPr>
              <w:t>1</w:t>
            </w:r>
            <w:r>
              <w:rPr>
                <w:rFonts w:hint="eastAsia" w:ascii="Times New Roman" w:hAnsi="Times New Roman" w:cs="Times New Roman"/>
                <w:kern w:val="0"/>
                <w:sz w:val="18"/>
                <w:szCs w:val="18"/>
              </w:rPr>
              <w:t>.</w:t>
            </w:r>
            <w:r>
              <w:rPr>
                <w:rFonts w:ascii="Times New Roman" w:hAnsi="Times New Roman" w:cs="Times New Roman"/>
                <w:kern w:val="0"/>
                <w:sz w:val="18"/>
                <w:szCs w:val="18"/>
              </w:rPr>
              <w:t>25</w:t>
            </w:r>
            <w:r>
              <w:rPr>
                <w:rFonts w:hint="eastAsia" w:ascii="Times New Roman" w:hAnsi="Times New Roman" w:cs="Times New Roman"/>
                <w:kern w:val="0"/>
                <w:sz w:val="18"/>
                <w:szCs w:val="18"/>
              </w:rPr>
              <w:t>分。</w:t>
            </w:r>
          </w:p>
        </w:tc>
        <w:tc>
          <w:tcPr>
            <w:tcW w:w="720"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　</w:t>
            </w:r>
          </w:p>
        </w:tc>
      </w:tr>
      <w:tr>
        <w:tblPrEx>
          <w:tblCellMar>
            <w:top w:w="0" w:type="dxa"/>
            <w:left w:w="108" w:type="dxa"/>
            <w:bottom w:w="0" w:type="dxa"/>
            <w:right w:w="108" w:type="dxa"/>
          </w:tblCellMar>
        </w:tblPrEx>
        <w:trPr>
          <w:trHeight w:val="1022"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组织实施（</w:t>
            </w:r>
            <w:r>
              <w:rPr>
                <w:rFonts w:ascii="Times New Roman" w:hAnsi="Times New Roman" w:cs="Times New Roman"/>
                <w:color w:val="000000"/>
                <w:kern w:val="0"/>
                <w:sz w:val="18"/>
                <w:szCs w:val="18"/>
              </w:rPr>
              <w:t>10</w:t>
            </w:r>
            <w:r>
              <w:rPr>
                <w:rFonts w:hint="eastAsia" w:ascii="Times New Roman" w:hAnsi="Times New Roman" w:cs="宋体"/>
                <w:color w:val="000000"/>
                <w:kern w:val="0"/>
                <w:sz w:val="18"/>
                <w:szCs w:val="18"/>
              </w:rPr>
              <w:t>分）</w:t>
            </w:r>
          </w:p>
        </w:tc>
        <w:tc>
          <w:tcPr>
            <w:tcW w:w="2117"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管理制度健全性（</w:t>
            </w: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kern w:val="0"/>
                <w:sz w:val="18"/>
                <w:szCs w:val="18"/>
              </w:rPr>
            </w:pPr>
            <w:r>
              <w:rPr>
                <w:rFonts w:ascii="Times New Roman" w:hAnsi="Times New Roman" w:cs="Times New Roman"/>
                <w:kern w:val="0"/>
                <w:sz w:val="18"/>
                <w:szCs w:val="18"/>
              </w:rPr>
              <w:t>1</w:t>
            </w:r>
            <w:r>
              <w:rPr>
                <w:rFonts w:hint="eastAsia" w:ascii="Times New Roman" w:hAnsi="Times New Roman" w:cs="Times New Roman"/>
                <w:kern w:val="0"/>
                <w:sz w:val="18"/>
                <w:szCs w:val="18"/>
              </w:rPr>
              <w:t>.是否已制定或具有相应的管理办法、财务和业务管理制度；</w:t>
            </w:r>
            <w:r>
              <w:rPr>
                <w:rFonts w:ascii="Times New Roman" w:hAnsi="Times New Roman" w:cs="Times New Roman"/>
                <w:kern w:val="0"/>
                <w:sz w:val="18"/>
                <w:szCs w:val="18"/>
              </w:rPr>
              <w:t>2</w:t>
            </w:r>
            <w:r>
              <w:rPr>
                <w:rFonts w:hint="eastAsia" w:ascii="Times New Roman" w:hAnsi="Times New Roman" w:cs="Times New Roman"/>
                <w:kern w:val="0"/>
                <w:sz w:val="18"/>
                <w:szCs w:val="18"/>
              </w:rPr>
              <w:t>.管理办法、财务和业务管理制度是否合法、合规、完善。一项不符合扣</w:t>
            </w:r>
            <w:r>
              <w:rPr>
                <w:rFonts w:ascii="Times New Roman" w:hAnsi="Times New Roman" w:cs="Times New Roman"/>
                <w:kern w:val="0"/>
                <w:sz w:val="18"/>
                <w:szCs w:val="18"/>
              </w:rPr>
              <w:t>2</w:t>
            </w:r>
            <w:r>
              <w:rPr>
                <w:rFonts w:hint="eastAsia" w:ascii="Times New Roman" w:hAnsi="Times New Roman" w:cs="Times New Roman"/>
                <w:kern w:val="0"/>
                <w:sz w:val="18"/>
                <w:szCs w:val="18"/>
              </w:rPr>
              <w:t>.</w:t>
            </w:r>
            <w:r>
              <w:rPr>
                <w:rFonts w:ascii="Times New Roman" w:hAnsi="Times New Roman" w:cs="Times New Roman"/>
                <w:kern w:val="0"/>
                <w:sz w:val="18"/>
                <w:szCs w:val="18"/>
              </w:rPr>
              <w:t>5</w:t>
            </w:r>
            <w:r>
              <w:rPr>
                <w:rFonts w:hint="eastAsia" w:ascii="Times New Roman" w:hAnsi="Times New Roman" w:cs="Times New Roman"/>
                <w:kern w:val="0"/>
                <w:sz w:val="18"/>
                <w:szCs w:val="18"/>
              </w:rPr>
              <w:t>分。</w:t>
            </w:r>
          </w:p>
        </w:tc>
        <w:tc>
          <w:tcPr>
            <w:tcW w:w="720"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　</w:t>
            </w:r>
          </w:p>
        </w:tc>
      </w:tr>
      <w:tr>
        <w:tblPrEx>
          <w:tblCellMar>
            <w:top w:w="0" w:type="dxa"/>
            <w:left w:w="108" w:type="dxa"/>
            <w:bottom w:w="0" w:type="dxa"/>
            <w:right w:w="108" w:type="dxa"/>
          </w:tblCellMar>
        </w:tblPrEx>
        <w:trPr>
          <w:trHeight w:val="370" w:hRule="atLeast"/>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color w:val="000000"/>
                <w:kern w:val="0"/>
                <w:sz w:val="18"/>
                <w:szCs w:val="18"/>
              </w:rPr>
            </w:pPr>
          </w:p>
        </w:tc>
        <w:tc>
          <w:tcPr>
            <w:tcW w:w="2117"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制度执行有效性（</w:t>
            </w: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tcPr>
          <w:p>
            <w:pPr>
              <w:widowControl/>
              <w:spacing w:line="240" w:lineRule="auto"/>
              <w:jc w:val="left"/>
              <w:rPr>
                <w:rFonts w:ascii="Times New Roman" w:hAnsi="Times New Roman" w:cs="Times New Roman"/>
                <w:kern w:val="0"/>
                <w:sz w:val="18"/>
                <w:szCs w:val="18"/>
              </w:rPr>
            </w:pPr>
            <w:r>
              <w:rPr>
                <w:rFonts w:ascii="Times New Roman" w:hAnsi="Times New Roman" w:cs="Times New Roman"/>
                <w:kern w:val="0"/>
                <w:sz w:val="18"/>
                <w:szCs w:val="18"/>
              </w:rPr>
              <w:t>1</w:t>
            </w:r>
            <w:r>
              <w:rPr>
                <w:rFonts w:hint="eastAsia" w:ascii="Times New Roman" w:hAnsi="Times New Roman" w:cs="Times New Roman"/>
                <w:kern w:val="0"/>
                <w:sz w:val="18"/>
                <w:szCs w:val="18"/>
              </w:rPr>
              <w:t>.是否遵循相关法律法规和业务管理规定；</w:t>
            </w:r>
            <w:r>
              <w:rPr>
                <w:rFonts w:ascii="Times New Roman" w:hAnsi="Times New Roman" w:cs="Times New Roman"/>
                <w:kern w:val="0"/>
                <w:sz w:val="18"/>
                <w:szCs w:val="18"/>
              </w:rPr>
              <w:t>2</w:t>
            </w:r>
            <w:r>
              <w:rPr>
                <w:rFonts w:hint="eastAsia" w:ascii="Times New Roman" w:hAnsi="Times New Roman" w:cs="Times New Roman"/>
                <w:kern w:val="0"/>
                <w:sz w:val="18"/>
                <w:szCs w:val="18"/>
              </w:rPr>
              <w:t>.项目调整及支出调整手续是否完备；</w:t>
            </w:r>
            <w:r>
              <w:rPr>
                <w:rFonts w:ascii="Times New Roman" w:hAnsi="Times New Roman" w:cs="Times New Roman"/>
                <w:kern w:val="0"/>
                <w:sz w:val="18"/>
                <w:szCs w:val="18"/>
              </w:rPr>
              <w:t>3</w:t>
            </w:r>
            <w:r>
              <w:rPr>
                <w:rFonts w:hint="eastAsia" w:ascii="Times New Roman" w:hAnsi="Times New Roman" w:cs="Times New Roman"/>
                <w:kern w:val="0"/>
                <w:sz w:val="18"/>
                <w:szCs w:val="18"/>
              </w:rPr>
              <w:t>.项目合同书、验收报告、技术鉴定等资料是否齐全并及时归档；</w:t>
            </w:r>
            <w:r>
              <w:rPr>
                <w:rFonts w:ascii="Times New Roman" w:hAnsi="Times New Roman" w:cs="Times New Roman"/>
                <w:kern w:val="0"/>
                <w:sz w:val="18"/>
                <w:szCs w:val="18"/>
              </w:rPr>
              <w:t>4</w:t>
            </w:r>
            <w:r>
              <w:rPr>
                <w:rFonts w:hint="eastAsia" w:ascii="Times New Roman" w:hAnsi="Times New Roman" w:cs="Times New Roman"/>
                <w:kern w:val="0"/>
                <w:sz w:val="18"/>
                <w:szCs w:val="18"/>
              </w:rPr>
              <w:t>.项目实施的人员条件、场地设备、信息支撑等是否落实到位。一项不符合扣</w:t>
            </w:r>
            <w:r>
              <w:rPr>
                <w:rFonts w:ascii="Times New Roman" w:hAnsi="Times New Roman" w:cs="Times New Roman"/>
                <w:kern w:val="0"/>
                <w:sz w:val="18"/>
                <w:szCs w:val="18"/>
              </w:rPr>
              <w:t>1</w:t>
            </w:r>
            <w:r>
              <w:rPr>
                <w:rFonts w:hint="eastAsia" w:ascii="Times New Roman" w:hAnsi="Times New Roman" w:cs="Times New Roman"/>
                <w:kern w:val="0"/>
                <w:sz w:val="18"/>
                <w:szCs w:val="18"/>
              </w:rPr>
              <w:t>.</w:t>
            </w:r>
            <w:r>
              <w:rPr>
                <w:rFonts w:ascii="Times New Roman" w:hAnsi="Times New Roman" w:cs="Times New Roman"/>
                <w:kern w:val="0"/>
                <w:sz w:val="18"/>
                <w:szCs w:val="18"/>
              </w:rPr>
              <w:t>25</w:t>
            </w:r>
            <w:r>
              <w:rPr>
                <w:rFonts w:hint="eastAsia" w:ascii="Times New Roman" w:hAnsi="Times New Roman" w:cs="Times New Roman"/>
                <w:kern w:val="0"/>
                <w:sz w:val="18"/>
                <w:szCs w:val="18"/>
              </w:rPr>
              <w:t>分。</w:t>
            </w:r>
          </w:p>
        </w:tc>
        <w:tc>
          <w:tcPr>
            <w:tcW w:w="720"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　</w:t>
            </w:r>
          </w:p>
        </w:tc>
      </w:tr>
      <w:tr>
        <w:tblPrEx>
          <w:tblCellMar>
            <w:top w:w="0" w:type="dxa"/>
            <w:left w:w="108" w:type="dxa"/>
            <w:bottom w:w="0" w:type="dxa"/>
            <w:right w:w="108" w:type="dxa"/>
          </w:tblCellMar>
        </w:tblPrEx>
        <w:trPr>
          <w:trHeight w:val="737" w:hRule="atLeast"/>
        </w:trPr>
        <w:tc>
          <w:tcPr>
            <w:tcW w:w="5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b/>
                <w:bCs/>
                <w:color w:val="000000"/>
                <w:kern w:val="0"/>
                <w:sz w:val="18"/>
                <w:szCs w:val="18"/>
              </w:rPr>
            </w:pPr>
            <w:r>
              <w:rPr>
                <w:rFonts w:hint="eastAsia" w:ascii="Times New Roman" w:hAnsi="Times New Roman" w:cs="宋体"/>
                <w:b/>
                <w:bCs/>
                <w:color w:val="000000"/>
                <w:kern w:val="0"/>
                <w:sz w:val="18"/>
                <w:szCs w:val="18"/>
              </w:rPr>
              <w:t>产出指标（</w:t>
            </w:r>
            <w:r>
              <w:rPr>
                <w:rFonts w:ascii="Times New Roman" w:hAnsi="Times New Roman" w:cs="Times New Roman"/>
                <w:b/>
                <w:bCs/>
                <w:color w:val="000000"/>
                <w:kern w:val="0"/>
                <w:sz w:val="18"/>
                <w:szCs w:val="18"/>
              </w:rPr>
              <w:t>40</w:t>
            </w:r>
            <w:r>
              <w:rPr>
                <w:rFonts w:hint="eastAsia" w:ascii="Times New Roman" w:hAnsi="Times New Roman" w:cs="宋体"/>
                <w:b/>
                <w:bCs/>
                <w:color w:val="000000"/>
                <w:kern w:val="0"/>
                <w:sz w:val="18"/>
                <w:szCs w:val="18"/>
              </w:rPr>
              <w:t>分）</w:t>
            </w:r>
          </w:p>
        </w:tc>
        <w:tc>
          <w:tcPr>
            <w:tcW w:w="957"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数量指标（</w:t>
            </w:r>
            <w:r>
              <w:rPr>
                <w:rFonts w:ascii="Times New Roman" w:hAnsi="Times New Roman" w:cs="Times New Roman"/>
                <w:color w:val="000000"/>
                <w:kern w:val="0"/>
                <w:sz w:val="18"/>
                <w:szCs w:val="18"/>
              </w:rPr>
              <w:t>17</w:t>
            </w:r>
            <w:r>
              <w:rPr>
                <w:rFonts w:hint="eastAsia" w:ascii="Times New Roman" w:hAnsi="Times New Roman" w:cs="宋体"/>
                <w:color w:val="000000"/>
                <w:kern w:val="0"/>
                <w:sz w:val="18"/>
                <w:szCs w:val="18"/>
              </w:rPr>
              <w:t>分）</w:t>
            </w: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低保对象参保率（</w:t>
            </w: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kern w:val="0"/>
                <w:sz w:val="18"/>
                <w:szCs w:val="18"/>
              </w:rPr>
            </w:pPr>
            <w:r>
              <w:rPr>
                <w:rFonts w:hint="eastAsia" w:ascii="Times New Roman" w:hAnsi="Times New Roman" w:cs="Times New Roman"/>
                <w:kern w:val="0"/>
                <w:sz w:val="18"/>
                <w:szCs w:val="18"/>
              </w:rPr>
              <w:t>若低保对象参保率为</w:t>
            </w:r>
            <w:r>
              <w:rPr>
                <w:rFonts w:ascii="Times New Roman" w:hAnsi="Times New Roman" w:cs="Times New Roman"/>
                <w:kern w:val="0"/>
                <w:sz w:val="18"/>
                <w:szCs w:val="18"/>
              </w:rPr>
              <w:t>100%</w:t>
            </w:r>
            <w:r>
              <w:rPr>
                <w:rFonts w:hint="eastAsia" w:ascii="Times New Roman" w:hAnsi="Times New Roman" w:cs="Times New Roman"/>
                <w:kern w:val="0"/>
                <w:sz w:val="18"/>
                <w:szCs w:val="18"/>
              </w:rPr>
              <w:t>，得满分；每降低</w:t>
            </w:r>
            <w:r>
              <w:rPr>
                <w:rFonts w:ascii="Times New Roman" w:hAnsi="Times New Roman" w:cs="Times New Roman"/>
                <w:kern w:val="0"/>
                <w:sz w:val="18"/>
                <w:szCs w:val="18"/>
              </w:rPr>
              <w:t>2%</w:t>
            </w:r>
            <w:r>
              <w:rPr>
                <w:rFonts w:hint="eastAsia" w:ascii="Times New Roman" w:hAnsi="Times New Roman" w:cs="Times New Roman"/>
                <w:kern w:val="0"/>
                <w:sz w:val="18"/>
                <w:szCs w:val="18"/>
              </w:rPr>
              <w:t>，扣一分，扣完为止。</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　</w:t>
            </w:r>
          </w:p>
        </w:tc>
      </w:tr>
      <w:tr>
        <w:tblPrEx>
          <w:tblCellMar>
            <w:top w:w="0" w:type="dxa"/>
            <w:left w:w="108" w:type="dxa"/>
            <w:bottom w:w="0" w:type="dxa"/>
            <w:right w:w="108" w:type="dxa"/>
          </w:tblCellMar>
        </w:tblPrEx>
        <w:trPr>
          <w:trHeight w:val="737" w:hRule="atLeast"/>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spacing w:line="240" w:lineRule="auto"/>
              <w:jc w:val="left"/>
              <w:rPr>
                <w:rFonts w:ascii="Times New Roman" w:hAnsi="Times New Roman" w:cs="宋体"/>
                <w:color w:val="000000"/>
                <w:kern w:val="0"/>
                <w:sz w:val="18"/>
                <w:szCs w:val="18"/>
              </w:rPr>
            </w:pP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实施临时救助率（</w:t>
            </w: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kern w:val="0"/>
                <w:sz w:val="18"/>
                <w:szCs w:val="18"/>
              </w:rPr>
            </w:pPr>
            <w:r>
              <w:rPr>
                <w:rFonts w:hint="eastAsia" w:ascii="Times New Roman" w:hAnsi="Times New Roman" w:cs="宋体"/>
                <w:color w:val="000000"/>
                <w:kern w:val="0"/>
                <w:sz w:val="18"/>
                <w:szCs w:val="18"/>
              </w:rPr>
              <w:t>若实施临时救助率</w:t>
            </w:r>
            <w:r>
              <w:rPr>
                <w:rFonts w:hint="eastAsia" w:ascii="Times New Roman" w:hAnsi="Times New Roman" w:cs="Times New Roman"/>
                <w:kern w:val="0"/>
                <w:sz w:val="18"/>
                <w:szCs w:val="18"/>
              </w:rPr>
              <w:t>为</w:t>
            </w:r>
            <w:r>
              <w:rPr>
                <w:rFonts w:ascii="Times New Roman" w:hAnsi="Times New Roman" w:cs="Times New Roman"/>
                <w:kern w:val="0"/>
                <w:sz w:val="18"/>
                <w:szCs w:val="18"/>
              </w:rPr>
              <w:t>100%</w:t>
            </w:r>
            <w:r>
              <w:rPr>
                <w:rFonts w:hint="eastAsia" w:ascii="Times New Roman" w:hAnsi="Times New Roman" w:cs="Times New Roman"/>
                <w:kern w:val="0"/>
                <w:sz w:val="18"/>
                <w:szCs w:val="18"/>
              </w:rPr>
              <w:t>，得满分；每降低</w:t>
            </w:r>
            <w:r>
              <w:rPr>
                <w:rFonts w:ascii="Times New Roman" w:hAnsi="Times New Roman" w:cs="Times New Roman"/>
                <w:kern w:val="0"/>
                <w:sz w:val="18"/>
                <w:szCs w:val="18"/>
              </w:rPr>
              <w:t>2%</w:t>
            </w:r>
            <w:r>
              <w:rPr>
                <w:rFonts w:hint="eastAsia" w:ascii="Times New Roman" w:hAnsi="Times New Roman" w:cs="Times New Roman"/>
                <w:kern w:val="0"/>
                <w:sz w:val="18"/>
                <w:szCs w:val="18"/>
              </w:rPr>
              <w:t>，扣一分，扣完为止。</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Times New Roman"/>
                <w:color w:val="000000"/>
                <w:kern w:val="0"/>
                <w:sz w:val="18"/>
                <w:szCs w:val="18"/>
              </w:rPr>
            </w:pPr>
          </w:p>
        </w:tc>
      </w:tr>
      <w:tr>
        <w:tblPrEx>
          <w:tblCellMar>
            <w:top w:w="0" w:type="dxa"/>
            <w:left w:w="108" w:type="dxa"/>
            <w:bottom w:w="0" w:type="dxa"/>
            <w:right w:w="108" w:type="dxa"/>
          </w:tblCellMar>
        </w:tblPrEx>
        <w:trPr>
          <w:trHeight w:val="737" w:hRule="atLeast"/>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spacing w:line="240" w:lineRule="auto"/>
              <w:jc w:val="left"/>
              <w:rPr>
                <w:rFonts w:ascii="Times New Roman" w:hAnsi="Times New Roman" w:cs="宋体"/>
                <w:color w:val="000000"/>
                <w:kern w:val="0"/>
                <w:sz w:val="18"/>
                <w:szCs w:val="18"/>
              </w:rPr>
            </w:pP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救助宣传渠道数（</w:t>
            </w: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kern w:val="0"/>
                <w:sz w:val="18"/>
                <w:szCs w:val="18"/>
              </w:rPr>
            </w:pPr>
            <w:r>
              <w:rPr>
                <w:rFonts w:hint="eastAsia" w:ascii="Times New Roman" w:hAnsi="Times New Roman" w:cs="Times New Roman"/>
                <w:kern w:val="0"/>
                <w:sz w:val="18"/>
                <w:szCs w:val="18"/>
              </w:rPr>
              <w:t>若救助宣传渠道数达</w:t>
            </w:r>
            <w:r>
              <w:rPr>
                <w:rFonts w:ascii="Times New Roman" w:hAnsi="Times New Roman" w:cs="Times New Roman"/>
                <w:kern w:val="0"/>
                <w:sz w:val="18"/>
                <w:szCs w:val="18"/>
              </w:rPr>
              <w:t>3</w:t>
            </w:r>
            <w:r>
              <w:rPr>
                <w:rFonts w:hint="eastAsia" w:ascii="Times New Roman" w:hAnsi="Times New Roman" w:cs="Times New Roman"/>
                <w:kern w:val="0"/>
                <w:sz w:val="18"/>
                <w:szCs w:val="18"/>
              </w:rPr>
              <w:t>种以上，得满分；每少一种方式，扣</w:t>
            </w:r>
            <w:r>
              <w:rPr>
                <w:rFonts w:ascii="Times New Roman" w:hAnsi="Times New Roman" w:cs="Times New Roman"/>
                <w:kern w:val="0"/>
                <w:sz w:val="18"/>
                <w:szCs w:val="18"/>
              </w:rPr>
              <w:t>1</w:t>
            </w:r>
            <w:r>
              <w:rPr>
                <w:rFonts w:hint="eastAsia" w:ascii="Times New Roman" w:hAnsi="Times New Roman" w:cs="Times New Roman"/>
                <w:kern w:val="0"/>
                <w:sz w:val="18"/>
                <w:szCs w:val="18"/>
              </w:rPr>
              <w:t>分，扣完为止。</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Times New Roman"/>
                <w:color w:val="000000"/>
                <w:kern w:val="0"/>
                <w:sz w:val="18"/>
                <w:szCs w:val="18"/>
              </w:rPr>
            </w:pPr>
          </w:p>
        </w:tc>
      </w:tr>
      <w:tr>
        <w:tblPrEx>
          <w:tblCellMar>
            <w:top w:w="0" w:type="dxa"/>
            <w:left w:w="108" w:type="dxa"/>
            <w:bottom w:w="0" w:type="dxa"/>
            <w:right w:w="108" w:type="dxa"/>
          </w:tblCellMar>
        </w:tblPrEx>
        <w:trPr>
          <w:trHeight w:val="737" w:hRule="atLeast"/>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spacing w:line="240" w:lineRule="auto"/>
              <w:jc w:val="left"/>
              <w:rPr>
                <w:rFonts w:ascii="Times New Roman" w:hAnsi="Times New Roman" w:cs="宋体"/>
                <w:color w:val="000000"/>
                <w:kern w:val="0"/>
                <w:sz w:val="18"/>
                <w:szCs w:val="18"/>
              </w:rPr>
            </w:pP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救助渠道数（</w:t>
            </w:r>
            <w:r>
              <w:rPr>
                <w:rFonts w:ascii="Times New Roman" w:hAnsi="Times New Roman" w:cs="Times New Roman"/>
                <w:color w:val="000000"/>
                <w:kern w:val="0"/>
                <w:sz w:val="18"/>
                <w:szCs w:val="18"/>
              </w:rPr>
              <w:t>4</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Times New Roman"/>
                <w:kern w:val="0"/>
                <w:sz w:val="18"/>
                <w:szCs w:val="18"/>
              </w:rPr>
              <w:t>若救助渠道数达</w:t>
            </w:r>
            <w:r>
              <w:rPr>
                <w:rFonts w:ascii="Times New Roman" w:hAnsi="Times New Roman" w:cs="Times New Roman"/>
                <w:kern w:val="0"/>
                <w:sz w:val="18"/>
                <w:szCs w:val="18"/>
              </w:rPr>
              <w:t>3</w:t>
            </w:r>
            <w:r>
              <w:rPr>
                <w:rFonts w:hint="eastAsia" w:ascii="Times New Roman" w:hAnsi="Times New Roman" w:cs="Times New Roman"/>
                <w:kern w:val="0"/>
                <w:sz w:val="18"/>
                <w:szCs w:val="18"/>
              </w:rPr>
              <w:t>种以上，得满分；每少一种方式，扣</w:t>
            </w:r>
            <w:r>
              <w:rPr>
                <w:rFonts w:ascii="Times New Roman" w:hAnsi="Times New Roman" w:cs="Times New Roman"/>
                <w:kern w:val="0"/>
                <w:sz w:val="18"/>
                <w:szCs w:val="18"/>
              </w:rPr>
              <w:t>1</w:t>
            </w:r>
            <w:r>
              <w:rPr>
                <w:rFonts w:hint="eastAsia" w:ascii="Times New Roman" w:hAnsi="Times New Roman" w:cs="Times New Roman"/>
                <w:kern w:val="0"/>
                <w:sz w:val="18"/>
                <w:szCs w:val="18"/>
              </w:rPr>
              <w:t>分，扣完为止。</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渠道目前为进行补助</w:t>
            </w:r>
          </w:p>
        </w:tc>
      </w:tr>
      <w:tr>
        <w:tblPrEx>
          <w:tblCellMar>
            <w:top w:w="0" w:type="dxa"/>
            <w:left w:w="108" w:type="dxa"/>
            <w:bottom w:w="0" w:type="dxa"/>
            <w:right w:w="108" w:type="dxa"/>
          </w:tblCellMar>
        </w:tblPrEx>
        <w:trPr>
          <w:trHeight w:val="737" w:hRule="atLeast"/>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spacing w:line="240" w:lineRule="auto"/>
              <w:jc w:val="left"/>
              <w:rPr>
                <w:rFonts w:ascii="Times New Roman" w:hAnsi="Times New Roman" w:cs="宋体"/>
                <w:color w:val="000000"/>
                <w:kern w:val="0"/>
                <w:sz w:val="18"/>
                <w:szCs w:val="18"/>
              </w:rPr>
            </w:pP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救助工作业务培训（</w:t>
            </w:r>
            <w:r>
              <w:rPr>
                <w:rFonts w:ascii="Times New Roman" w:hAnsi="Times New Roman" w:cs="Times New Roman"/>
                <w:color w:val="000000"/>
                <w:kern w:val="0"/>
                <w:sz w:val="18"/>
                <w:szCs w:val="18"/>
              </w:rPr>
              <w:t>4</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若培训次数大于每年</w:t>
            </w: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次且参与培训人数占救助工作基层人员的</w:t>
            </w:r>
            <w:r>
              <w:rPr>
                <w:rFonts w:ascii="Times New Roman" w:hAnsi="Times New Roman" w:cs="Times New Roman"/>
                <w:color w:val="000000"/>
                <w:kern w:val="0"/>
                <w:sz w:val="18"/>
                <w:szCs w:val="18"/>
              </w:rPr>
              <w:t>10</w:t>
            </w:r>
            <w:r>
              <w:rPr>
                <w:rFonts w:ascii="Times New Roman" w:hAnsi="Times New Roman" w:cs="宋体"/>
                <w:color w:val="000000"/>
                <w:kern w:val="0"/>
                <w:sz w:val="18"/>
                <w:szCs w:val="18"/>
              </w:rPr>
              <w:t>%</w:t>
            </w:r>
            <w:r>
              <w:rPr>
                <w:rFonts w:hint="eastAsia" w:ascii="Times New Roman" w:hAnsi="Times New Roman" w:cs="宋体"/>
                <w:color w:val="000000"/>
                <w:kern w:val="0"/>
                <w:sz w:val="18"/>
                <w:szCs w:val="18"/>
              </w:rPr>
              <w:t>，得满分；否则依据开展次数及参与人数按一定比例相应扣分。</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开展次数较少</w:t>
            </w:r>
          </w:p>
        </w:tc>
      </w:tr>
      <w:tr>
        <w:tblPrEx>
          <w:tblCellMar>
            <w:top w:w="0" w:type="dxa"/>
            <w:left w:w="108" w:type="dxa"/>
            <w:bottom w:w="0" w:type="dxa"/>
            <w:right w:w="108" w:type="dxa"/>
          </w:tblCellMar>
        </w:tblPrEx>
        <w:trPr>
          <w:trHeight w:val="737" w:hRule="atLeast"/>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restart"/>
            <w:tcBorders>
              <w:top w:val="nil"/>
              <w:left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kern w:val="0"/>
                <w:sz w:val="18"/>
                <w:szCs w:val="18"/>
              </w:rPr>
            </w:pPr>
            <w:r>
              <w:rPr>
                <w:rFonts w:hint="eastAsia" w:ascii="Times New Roman" w:hAnsi="Times New Roman" w:cs="宋体"/>
                <w:kern w:val="0"/>
                <w:sz w:val="18"/>
                <w:szCs w:val="18"/>
              </w:rPr>
              <w:t>质量指标（</w:t>
            </w:r>
            <w:r>
              <w:rPr>
                <w:rFonts w:ascii="Times New Roman" w:hAnsi="Times New Roman" w:cs="Times New Roman"/>
                <w:kern w:val="0"/>
                <w:sz w:val="18"/>
                <w:szCs w:val="18"/>
              </w:rPr>
              <w:t>17</w:t>
            </w:r>
            <w:r>
              <w:rPr>
                <w:rFonts w:hint="eastAsia" w:ascii="Times New Roman" w:hAnsi="Times New Roman" w:cs="宋体"/>
                <w:kern w:val="0"/>
                <w:sz w:val="18"/>
                <w:szCs w:val="18"/>
              </w:rPr>
              <w:t>分）</w:t>
            </w: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低保入户抽查率（</w:t>
            </w: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若低保入户抽查率高于</w:t>
            </w:r>
            <w:r>
              <w:rPr>
                <w:rFonts w:ascii="Times New Roman" w:hAnsi="Times New Roman" w:cs="Times New Roman"/>
                <w:color w:val="000000"/>
                <w:kern w:val="0"/>
                <w:sz w:val="18"/>
                <w:szCs w:val="18"/>
              </w:rPr>
              <w:t>3</w:t>
            </w:r>
            <w:r>
              <w:rPr>
                <w:rFonts w:ascii="Times New Roman" w:hAnsi="Times New Roman" w:cs="Times New Roman"/>
                <w:kern w:val="0"/>
                <w:sz w:val="18"/>
                <w:szCs w:val="18"/>
              </w:rPr>
              <w:t>5%</w:t>
            </w:r>
            <w:r>
              <w:rPr>
                <w:rFonts w:hint="eastAsia" w:ascii="Times New Roman" w:hAnsi="Times New Roman" w:cs="Times New Roman"/>
                <w:kern w:val="0"/>
                <w:sz w:val="18"/>
                <w:szCs w:val="18"/>
              </w:rPr>
              <w:t>，得满分；</w:t>
            </w:r>
            <w:r>
              <w:rPr>
                <w:rFonts w:ascii="Times New Roman" w:hAnsi="Times New Roman" w:cs="Times New Roman"/>
                <w:kern w:val="0"/>
                <w:sz w:val="18"/>
                <w:szCs w:val="18"/>
              </w:rPr>
              <w:t>30%-35%</w:t>
            </w:r>
            <w:r>
              <w:rPr>
                <w:rFonts w:hint="eastAsia" w:ascii="Times New Roman" w:hAnsi="Times New Roman" w:cs="Times New Roman"/>
                <w:kern w:val="0"/>
                <w:sz w:val="18"/>
                <w:szCs w:val="18"/>
              </w:rPr>
              <w:t>，得</w:t>
            </w:r>
            <w:r>
              <w:rPr>
                <w:rFonts w:ascii="Times New Roman" w:hAnsi="Times New Roman" w:cs="Times New Roman"/>
                <w:kern w:val="0"/>
                <w:sz w:val="18"/>
                <w:szCs w:val="18"/>
              </w:rPr>
              <w:t>2</w:t>
            </w:r>
            <w:r>
              <w:rPr>
                <w:rFonts w:hint="eastAsia" w:ascii="Times New Roman" w:hAnsi="Times New Roman" w:cs="Times New Roman"/>
                <w:kern w:val="0"/>
                <w:sz w:val="18"/>
                <w:szCs w:val="18"/>
              </w:rPr>
              <w:t>分；未达</w:t>
            </w:r>
            <w:r>
              <w:rPr>
                <w:rFonts w:ascii="Times New Roman" w:hAnsi="Times New Roman" w:cs="Times New Roman"/>
                <w:kern w:val="0"/>
                <w:sz w:val="18"/>
                <w:szCs w:val="18"/>
              </w:rPr>
              <w:t>30%</w:t>
            </w:r>
            <w:r>
              <w:rPr>
                <w:rFonts w:hint="eastAsia" w:ascii="Times New Roman" w:hAnsi="Times New Roman" w:cs="Times New Roman"/>
                <w:kern w:val="0"/>
                <w:sz w:val="18"/>
                <w:szCs w:val="18"/>
              </w:rPr>
              <w:t>，得</w:t>
            </w:r>
            <w:r>
              <w:rPr>
                <w:rFonts w:ascii="Times New Roman" w:hAnsi="Times New Roman" w:cs="Times New Roman"/>
                <w:kern w:val="0"/>
                <w:sz w:val="18"/>
                <w:szCs w:val="18"/>
              </w:rPr>
              <w:t>0</w:t>
            </w:r>
            <w:r>
              <w:rPr>
                <w:rFonts w:hint="eastAsia" w:ascii="Times New Roman" w:hAnsi="Times New Roman" w:cs="Times New Roman"/>
                <w:kern w:val="0"/>
                <w:sz w:val="18"/>
                <w:szCs w:val="18"/>
              </w:rPr>
              <w:t>分。</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Times New Roman" w:hAnsi="Times New Roman" w:cs="宋体"/>
                <w:color w:val="000000"/>
                <w:kern w:val="0"/>
                <w:sz w:val="18"/>
                <w:szCs w:val="18"/>
              </w:rPr>
            </w:pPr>
          </w:p>
        </w:tc>
      </w:tr>
      <w:tr>
        <w:tblPrEx>
          <w:tblCellMar>
            <w:top w:w="0" w:type="dxa"/>
            <w:left w:w="108" w:type="dxa"/>
            <w:bottom w:w="0" w:type="dxa"/>
            <w:right w:w="108" w:type="dxa"/>
          </w:tblCellMar>
        </w:tblPrEx>
        <w:trPr>
          <w:trHeight w:val="737" w:hRule="atLeast"/>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continue"/>
            <w:tcBorders>
              <w:left w:val="single" w:color="auto" w:sz="4" w:space="0"/>
              <w:right w:val="single" w:color="auto" w:sz="4" w:space="0"/>
            </w:tcBorders>
            <w:vAlign w:val="center"/>
          </w:tcPr>
          <w:p>
            <w:pPr>
              <w:widowControl/>
              <w:spacing w:line="240" w:lineRule="auto"/>
              <w:jc w:val="left"/>
              <w:rPr>
                <w:rFonts w:ascii="Times New Roman" w:hAnsi="Times New Roman" w:cs="宋体"/>
                <w:color w:val="000000"/>
                <w:kern w:val="0"/>
                <w:sz w:val="18"/>
                <w:szCs w:val="18"/>
              </w:rPr>
            </w:pP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补贴对象准确性（</w:t>
            </w: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若补贴对象准确性高于</w:t>
            </w:r>
            <w:r>
              <w:rPr>
                <w:rFonts w:ascii="Times New Roman" w:hAnsi="Times New Roman" w:cs="Times New Roman"/>
                <w:color w:val="000000"/>
                <w:kern w:val="0"/>
                <w:sz w:val="18"/>
                <w:szCs w:val="18"/>
              </w:rPr>
              <w:t>95</w:t>
            </w:r>
            <w:r>
              <w:rPr>
                <w:rFonts w:ascii="Times New Roman" w:hAnsi="Times New Roman" w:cs="Times New Roman"/>
                <w:kern w:val="0"/>
                <w:sz w:val="18"/>
                <w:szCs w:val="18"/>
              </w:rPr>
              <w:t>%</w:t>
            </w:r>
            <w:r>
              <w:rPr>
                <w:rFonts w:hint="eastAsia" w:ascii="Times New Roman" w:hAnsi="Times New Roman" w:cs="Times New Roman"/>
                <w:kern w:val="0"/>
                <w:sz w:val="18"/>
                <w:szCs w:val="18"/>
              </w:rPr>
              <w:t>，得满分；每降低</w:t>
            </w:r>
            <w:r>
              <w:rPr>
                <w:rFonts w:ascii="Times New Roman" w:hAnsi="Times New Roman" w:cs="Times New Roman"/>
                <w:kern w:val="0"/>
                <w:sz w:val="18"/>
                <w:szCs w:val="18"/>
              </w:rPr>
              <w:t>2%</w:t>
            </w:r>
            <w:r>
              <w:rPr>
                <w:rFonts w:hint="eastAsia" w:ascii="Times New Roman" w:hAnsi="Times New Roman" w:cs="Times New Roman"/>
                <w:kern w:val="0"/>
                <w:sz w:val="18"/>
                <w:szCs w:val="18"/>
              </w:rPr>
              <w:t>，扣一分，扣完为止。</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p>
        </w:tc>
      </w:tr>
      <w:tr>
        <w:tblPrEx>
          <w:tblCellMar>
            <w:top w:w="0" w:type="dxa"/>
            <w:left w:w="108" w:type="dxa"/>
            <w:bottom w:w="0" w:type="dxa"/>
            <w:right w:w="108" w:type="dxa"/>
          </w:tblCellMar>
        </w:tblPrEx>
        <w:trPr>
          <w:trHeight w:val="737" w:hRule="atLeast"/>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continue"/>
            <w:tcBorders>
              <w:left w:val="single" w:color="auto" w:sz="4" w:space="0"/>
              <w:right w:val="single" w:color="auto" w:sz="4" w:space="0"/>
            </w:tcBorders>
            <w:vAlign w:val="center"/>
          </w:tcPr>
          <w:p>
            <w:pPr>
              <w:widowControl/>
              <w:spacing w:line="240" w:lineRule="auto"/>
              <w:jc w:val="left"/>
              <w:rPr>
                <w:rFonts w:ascii="Times New Roman" w:hAnsi="Times New Roman" w:cs="宋体"/>
                <w:color w:val="000000"/>
                <w:kern w:val="0"/>
                <w:sz w:val="18"/>
                <w:szCs w:val="18"/>
              </w:rPr>
            </w:pP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临时救助水平（</w:t>
            </w: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若临时救助水平高于上年度，得满分；每同比降低</w:t>
            </w:r>
            <w:r>
              <w:rPr>
                <w:rFonts w:ascii="Times New Roman" w:hAnsi="Times New Roman" w:cs="Times New Roman"/>
                <w:color w:val="000000"/>
                <w:kern w:val="0"/>
                <w:sz w:val="18"/>
                <w:szCs w:val="18"/>
              </w:rPr>
              <w:t>2</w:t>
            </w:r>
            <w:r>
              <w:rPr>
                <w:rFonts w:ascii="Times New Roman" w:hAnsi="Times New Roman" w:cs="宋体"/>
                <w:color w:val="000000"/>
                <w:kern w:val="0"/>
                <w:sz w:val="18"/>
                <w:szCs w:val="18"/>
              </w:rPr>
              <w:t>%</w:t>
            </w:r>
            <w:r>
              <w:rPr>
                <w:rFonts w:hint="eastAsia" w:ascii="Times New Roman" w:hAnsi="Times New Roman" w:cs="宋体"/>
                <w:color w:val="000000"/>
                <w:kern w:val="0"/>
                <w:sz w:val="18"/>
                <w:szCs w:val="18"/>
              </w:rPr>
              <w:t>，扣一分，扣完为止。</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　</w:t>
            </w:r>
          </w:p>
        </w:tc>
      </w:tr>
      <w:tr>
        <w:tblPrEx>
          <w:tblCellMar>
            <w:top w:w="0" w:type="dxa"/>
            <w:left w:w="108" w:type="dxa"/>
            <w:bottom w:w="0" w:type="dxa"/>
            <w:right w:w="108" w:type="dxa"/>
          </w:tblCellMar>
        </w:tblPrEx>
        <w:trPr>
          <w:trHeight w:val="676" w:hRule="atLeast"/>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continue"/>
            <w:tcBorders>
              <w:left w:val="single" w:color="auto" w:sz="4" w:space="0"/>
              <w:bottom w:val="single" w:color="000000" w:sz="4" w:space="0"/>
              <w:right w:val="single" w:color="auto" w:sz="4" w:space="0"/>
            </w:tcBorders>
            <w:vAlign w:val="center"/>
          </w:tcPr>
          <w:p>
            <w:pPr>
              <w:widowControl/>
              <w:spacing w:line="240" w:lineRule="auto"/>
              <w:jc w:val="left"/>
              <w:rPr>
                <w:rFonts w:ascii="Times New Roman" w:hAnsi="Times New Roman" w:cs="宋体"/>
                <w:color w:val="000000"/>
                <w:kern w:val="0"/>
                <w:sz w:val="18"/>
                <w:szCs w:val="18"/>
              </w:rPr>
            </w:pP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救助家庭经济状况核对机制（</w:t>
            </w: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若通过救助家庭经济状况核对机制进行核对，得满分；否则，不得分。</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p>
        </w:tc>
      </w:tr>
      <w:tr>
        <w:tblPrEx>
          <w:tblCellMar>
            <w:top w:w="0" w:type="dxa"/>
            <w:left w:w="108" w:type="dxa"/>
            <w:bottom w:w="0" w:type="dxa"/>
            <w:right w:w="108" w:type="dxa"/>
          </w:tblCellMar>
        </w:tblPrEx>
        <w:trPr>
          <w:trHeight w:val="737" w:hRule="atLeast"/>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continue"/>
            <w:tcBorders>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color w:val="000000"/>
                <w:kern w:val="0"/>
                <w:sz w:val="18"/>
                <w:szCs w:val="18"/>
              </w:rPr>
            </w:pP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信息共享程度（</w:t>
            </w: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若有同其他部门建立信息共享机制，得满分；仅在民政局内部建立信息共享机制，得</w:t>
            </w:r>
            <w:r>
              <w:rPr>
                <w:rFonts w:ascii="Times New Roman" w:hAnsi="Times New Roman" w:cs="Times New Roman"/>
                <w:color w:val="000000"/>
                <w:kern w:val="0"/>
                <w:sz w:val="18"/>
                <w:szCs w:val="18"/>
              </w:rPr>
              <w:t>2</w:t>
            </w:r>
            <w:r>
              <w:rPr>
                <w:rFonts w:hint="eastAsia" w:ascii="Times New Roman" w:hAnsi="Times New Roman" w:cs="宋体"/>
                <w:color w:val="000000"/>
                <w:kern w:val="0"/>
                <w:sz w:val="18"/>
                <w:szCs w:val="18"/>
              </w:rPr>
              <w:t>分；均为建立信息共享机制，得</w:t>
            </w:r>
            <w:r>
              <w:rPr>
                <w:rFonts w:ascii="Times New Roman" w:hAnsi="Times New Roman" w:cs="Times New Roman"/>
                <w:color w:val="000000"/>
                <w:kern w:val="0"/>
                <w:sz w:val="18"/>
                <w:szCs w:val="18"/>
              </w:rPr>
              <w:t>0</w:t>
            </w:r>
            <w:r>
              <w:rPr>
                <w:rFonts w:hint="eastAsia" w:ascii="Times New Roman" w:hAnsi="Times New Roman" w:cs="宋体"/>
                <w:color w:val="000000"/>
                <w:kern w:val="0"/>
                <w:sz w:val="18"/>
                <w:szCs w:val="18"/>
              </w:rPr>
              <w:t>分。</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缺少部门间信息共享</w:t>
            </w:r>
          </w:p>
        </w:tc>
      </w:tr>
      <w:tr>
        <w:tblPrEx>
          <w:tblCellMar>
            <w:top w:w="0" w:type="dxa"/>
            <w:left w:w="108" w:type="dxa"/>
            <w:bottom w:w="0" w:type="dxa"/>
            <w:right w:w="108" w:type="dxa"/>
          </w:tblCellMar>
        </w:tblPrEx>
        <w:trPr>
          <w:trHeight w:val="737" w:hRule="atLeast"/>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restart"/>
            <w:tcBorders>
              <w:top w:val="single" w:color="auto" w:sz="4" w:space="0"/>
              <w:left w:val="nil"/>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时效指标（</w:t>
            </w:r>
            <w:r>
              <w:rPr>
                <w:rFonts w:ascii="Times New Roman" w:hAnsi="Times New Roman" w:cs="Times New Roman"/>
                <w:color w:val="000000"/>
                <w:kern w:val="0"/>
                <w:sz w:val="18"/>
                <w:szCs w:val="18"/>
              </w:rPr>
              <w:t>6</w:t>
            </w:r>
            <w:r>
              <w:rPr>
                <w:rFonts w:hint="eastAsia" w:ascii="Times New Roman" w:hAnsi="Times New Roman" w:cs="宋体"/>
                <w:color w:val="000000"/>
                <w:kern w:val="0"/>
                <w:sz w:val="18"/>
                <w:szCs w:val="18"/>
              </w:rPr>
              <w:t>分）</w:t>
            </w: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kern w:val="0"/>
                <w:sz w:val="18"/>
                <w:szCs w:val="18"/>
              </w:rPr>
              <w:t>补贴按时发放率（</w:t>
            </w:r>
            <w:r>
              <w:rPr>
                <w:rFonts w:ascii="Times New Roman" w:hAnsi="Times New Roman" w:cs="Times New Roman"/>
                <w:kern w:val="0"/>
                <w:sz w:val="18"/>
                <w:szCs w:val="18"/>
              </w:rPr>
              <w:t>3</w:t>
            </w:r>
            <w:r>
              <w:rPr>
                <w:rFonts w:hint="eastAsia" w:ascii="Times New Roman" w:hAnsi="Times New Roman" w:cs="宋体"/>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若补贴按时发放，则得满分；反之，不得分。</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p>
        </w:tc>
      </w:tr>
      <w:tr>
        <w:tblPrEx>
          <w:tblCellMar>
            <w:top w:w="0" w:type="dxa"/>
            <w:left w:w="108" w:type="dxa"/>
            <w:bottom w:w="0" w:type="dxa"/>
            <w:right w:w="108" w:type="dxa"/>
          </w:tblCellMar>
        </w:tblPrEx>
        <w:trPr>
          <w:trHeight w:val="737" w:hRule="atLeast"/>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救助情况录入系统及时性（</w:t>
            </w: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若当日录入，得满分；</w:t>
            </w:r>
            <w:r>
              <w:rPr>
                <w:rFonts w:hint="eastAsia" w:ascii="Times New Roman" w:hAnsi="Times New Roman" w:cs="Times New Roman"/>
                <w:color w:val="000000"/>
                <w:kern w:val="0"/>
                <w:sz w:val="18"/>
                <w:szCs w:val="18"/>
              </w:rPr>
              <w:t>一周内录入</w:t>
            </w:r>
            <w:r>
              <w:rPr>
                <w:rFonts w:hint="eastAsia" w:ascii="Times New Roman" w:hAnsi="Times New Roman" w:cs="宋体"/>
                <w:color w:val="000000"/>
                <w:kern w:val="0"/>
                <w:sz w:val="18"/>
                <w:szCs w:val="18"/>
              </w:rPr>
              <w:t>，得</w:t>
            </w:r>
            <w:r>
              <w:rPr>
                <w:rFonts w:ascii="Times New Roman" w:hAnsi="Times New Roman" w:cs="Times New Roman"/>
                <w:color w:val="000000"/>
                <w:kern w:val="0"/>
                <w:sz w:val="18"/>
                <w:szCs w:val="18"/>
              </w:rPr>
              <w:t>2</w:t>
            </w:r>
            <w:r>
              <w:rPr>
                <w:rFonts w:hint="eastAsia" w:ascii="Times New Roman" w:hAnsi="Times New Roman" w:cs="宋体"/>
                <w:color w:val="000000"/>
                <w:kern w:val="0"/>
                <w:sz w:val="18"/>
                <w:szCs w:val="18"/>
              </w:rPr>
              <w:t>分；</w:t>
            </w:r>
            <w:r>
              <w:rPr>
                <w:rFonts w:hint="eastAsia" w:ascii="Times New Roman" w:hAnsi="Times New Roman" w:cs="Times New Roman"/>
                <w:color w:val="000000"/>
                <w:kern w:val="0"/>
                <w:sz w:val="18"/>
                <w:szCs w:val="18"/>
              </w:rPr>
              <w:t>当月录入，得1分</w:t>
            </w:r>
            <w:r>
              <w:rPr>
                <w:rFonts w:hint="eastAsia" w:ascii="Times New Roman" w:hAnsi="Times New Roman" w:cs="宋体"/>
                <w:color w:val="000000"/>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p>
        </w:tc>
      </w:tr>
      <w:tr>
        <w:tblPrEx>
          <w:tblCellMar>
            <w:top w:w="0" w:type="dxa"/>
            <w:left w:w="108" w:type="dxa"/>
            <w:bottom w:w="0" w:type="dxa"/>
            <w:right w:w="108" w:type="dxa"/>
          </w:tblCellMar>
        </w:tblPrEx>
        <w:trPr>
          <w:trHeight w:val="796" w:hRule="atLeast"/>
        </w:trPr>
        <w:tc>
          <w:tcPr>
            <w:tcW w:w="5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b/>
                <w:bCs/>
                <w:color w:val="000000"/>
                <w:kern w:val="0"/>
                <w:sz w:val="18"/>
                <w:szCs w:val="18"/>
              </w:rPr>
            </w:pPr>
            <w:r>
              <w:rPr>
                <w:rFonts w:hint="eastAsia" w:ascii="Times New Roman" w:hAnsi="Times New Roman" w:cs="宋体"/>
                <w:b/>
                <w:bCs/>
                <w:color w:val="000000"/>
                <w:kern w:val="0"/>
                <w:sz w:val="18"/>
                <w:szCs w:val="18"/>
              </w:rPr>
              <w:t>效益指标（</w:t>
            </w:r>
            <w:r>
              <w:rPr>
                <w:rFonts w:ascii="Times New Roman" w:hAnsi="Times New Roman" w:cs="Times New Roman"/>
                <w:b/>
                <w:bCs/>
                <w:color w:val="000000"/>
                <w:kern w:val="0"/>
                <w:sz w:val="18"/>
                <w:szCs w:val="18"/>
              </w:rPr>
              <w:t>20</w:t>
            </w:r>
            <w:r>
              <w:rPr>
                <w:rFonts w:hint="eastAsia" w:ascii="Times New Roman" w:hAnsi="Times New Roman" w:cs="宋体"/>
                <w:b/>
                <w:bCs/>
                <w:color w:val="000000"/>
                <w:kern w:val="0"/>
                <w:sz w:val="18"/>
                <w:szCs w:val="18"/>
              </w:rPr>
              <w:t>分）</w:t>
            </w:r>
          </w:p>
        </w:tc>
        <w:tc>
          <w:tcPr>
            <w:tcW w:w="9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社会效益（</w:t>
            </w:r>
            <w:r>
              <w:rPr>
                <w:rFonts w:ascii="Times New Roman" w:hAnsi="Times New Roman" w:cs="Times New Roman"/>
                <w:color w:val="000000"/>
                <w:kern w:val="0"/>
                <w:sz w:val="18"/>
                <w:szCs w:val="18"/>
              </w:rPr>
              <w:t>10</w:t>
            </w:r>
            <w:r>
              <w:rPr>
                <w:rFonts w:hint="eastAsia" w:ascii="Times New Roman" w:hAnsi="Times New Roman" w:cs="宋体"/>
                <w:color w:val="000000"/>
                <w:kern w:val="0"/>
                <w:sz w:val="18"/>
                <w:szCs w:val="18"/>
              </w:rPr>
              <w:t>分）</w:t>
            </w: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政策知晓率（</w:t>
            </w: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反映群众对困难群众救助补助专项政策的了解程度。</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　</w:t>
            </w:r>
          </w:p>
        </w:tc>
      </w:tr>
      <w:tr>
        <w:tblPrEx>
          <w:tblCellMar>
            <w:top w:w="0" w:type="dxa"/>
            <w:left w:w="108" w:type="dxa"/>
            <w:bottom w:w="0" w:type="dxa"/>
            <w:right w:w="108" w:type="dxa"/>
          </w:tblCellMar>
        </w:tblPrEx>
        <w:trPr>
          <w:trHeight w:val="696" w:hRule="atLeast"/>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color w:val="000000"/>
                <w:kern w:val="0"/>
                <w:sz w:val="18"/>
                <w:szCs w:val="18"/>
              </w:rPr>
            </w:pP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olor w:val="000000"/>
                <w:sz w:val="18"/>
                <w:szCs w:val="18"/>
              </w:rPr>
              <w:t>政策认同感（</w:t>
            </w:r>
            <w:r>
              <w:rPr>
                <w:rFonts w:ascii="Times New Roman" w:hAnsi="Times New Roman" w:cs="Times New Roman"/>
                <w:color w:val="000000"/>
                <w:sz w:val="18"/>
                <w:szCs w:val="18"/>
              </w:rPr>
              <w:t>5</w:t>
            </w:r>
            <w:r>
              <w:rPr>
                <w:rFonts w:hint="eastAsia" w:ascii="Times New Roman" w:hAnsi="Times New Roman"/>
                <w:color w:val="00000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反映群众对困难群众救助补助专项政策的认可程度。</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　</w:t>
            </w:r>
          </w:p>
        </w:tc>
      </w:tr>
      <w:tr>
        <w:tblPrEx>
          <w:tblCellMar>
            <w:top w:w="0" w:type="dxa"/>
            <w:left w:w="108" w:type="dxa"/>
            <w:bottom w:w="0" w:type="dxa"/>
            <w:right w:w="108" w:type="dxa"/>
          </w:tblCellMar>
        </w:tblPrEx>
        <w:trPr>
          <w:trHeight w:val="737" w:hRule="atLeast"/>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可持续性（</w:t>
            </w: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分）</w:t>
            </w: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救助机制完善性（</w:t>
            </w: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主动识别和动态管理机制完善，得满分；基本完善，得</w:t>
            </w:r>
            <w:r>
              <w:rPr>
                <w:rFonts w:ascii="Times New Roman" w:hAnsi="Times New Roman" w:cs="Times New Roman"/>
                <w:color w:val="000000"/>
                <w:kern w:val="0"/>
                <w:sz w:val="18"/>
                <w:szCs w:val="18"/>
              </w:rPr>
              <w:t>4</w:t>
            </w:r>
            <w:r>
              <w:rPr>
                <w:rFonts w:hint="eastAsia" w:ascii="Times New Roman" w:hAnsi="Times New Roman" w:cs="宋体"/>
                <w:color w:val="000000"/>
                <w:kern w:val="0"/>
                <w:sz w:val="18"/>
                <w:szCs w:val="18"/>
              </w:rPr>
              <w:t>分；较为完善，得</w:t>
            </w:r>
            <w:r>
              <w:rPr>
                <w:rFonts w:ascii="Times New Roman" w:hAnsi="Times New Roman" w:cs="Times New Roman"/>
                <w:color w:val="000000"/>
                <w:kern w:val="0"/>
                <w:sz w:val="18"/>
                <w:szCs w:val="18"/>
              </w:rPr>
              <w:t>3</w:t>
            </w:r>
            <w:r>
              <w:rPr>
                <w:rFonts w:hint="eastAsia" w:ascii="Times New Roman" w:hAnsi="Times New Roman" w:cs="宋体"/>
                <w:color w:val="000000"/>
                <w:kern w:val="0"/>
                <w:sz w:val="18"/>
                <w:szCs w:val="18"/>
              </w:rPr>
              <w:t>分；一般，得</w:t>
            </w:r>
            <w:r>
              <w:rPr>
                <w:rFonts w:ascii="Times New Roman" w:hAnsi="Times New Roman" w:cs="Times New Roman"/>
                <w:color w:val="000000"/>
                <w:kern w:val="0"/>
                <w:sz w:val="18"/>
                <w:szCs w:val="18"/>
              </w:rPr>
              <w:t>2</w:t>
            </w:r>
            <w:r>
              <w:rPr>
                <w:rFonts w:hint="eastAsia" w:ascii="Times New Roman" w:hAnsi="Times New Roman" w:cs="宋体"/>
                <w:color w:val="000000"/>
                <w:kern w:val="0"/>
                <w:sz w:val="18"/>
                <w:szCs w:val="18"/>
              </w:rPr>
              <w:t>分；未建立主动识别和进行动态监测得</w:t>
            </w:r>
            <w:r>
              <w:rPr>
                <w:rFonts w:ascii="Times New Roman" w:hAnsi="Times New Roman" w:cs="Times New Roman"/>
                <w:color w:val="000000"/>
                <w:kern w:val="0"/>
                <w:sz w:val="18"/>
                <w:szCs w:val="18"/>
              </w:rPr>
              <w:t>0</w:t>
            </w:r>
            <w:r>
              <w:rPr>
                <w:rFonts w:hint="eastAsia" w:ascii="Times New Roman" w:hAnsi="Times New Roman" w:cs="宋体"/>
                <w:color w:val="000000"/>
                <w:kern w:val="0"/>
                <w:sz w:val="18"/>
                <w:szCs w:val="18"/>
              </w:rPr>
              <w:t>分。</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ascii="Times New Roman" w:hAnsi="Times New Roman" w:cs="Times New Roman"/>
                <w:color w:val="000000"/>
                <w:kern w:val="0"/>
                <w:sz w:val="18"/>
                <w:szCs w:val="18"/>
              </w:rPr>
              <w:t>2</w:t>
            </w:r>
            <w:r>
              <w:rPr>
                <w:rFonts w:hint="eastAsia" w:ascii="Times New Roman" w:hAnsi="Times New Roman" w:cs="宋体"/>
                <w:color w:val="000000"/>
                <w:kern w:val="0"/>
                <w:sz w:val="18"/>
                <w:szCs w:val="18"/>
              </w:rPr>
              <w:t>.</w:t>
            </w:r>
            <w:r>
              <w:rPr>
                <w:rFonts w:ascii="Times New Roman" w:hAnsi="Times New Roman" w:cs="Times New Roman"/>
                <w:color w:val="000000"/>
                <w:kern w:val="0"/>
                <w:sz w:val="18"/>
                <w:szCs w:val="18"/>
              </w:rPr>
              <w:t>00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动态管理机制不完善</w:t>
            </w:r>
          </w:p>
        </w:tc>
      </w:tr>
      <w:tr>
        <w:tblPrEx>
          <w:tblCellMar>
            <w:top w:w="0" w:type="dxa"/>
            <w:left w:w="108" w:type="dxa"/>
            <w:bottom w:w="0" w:type="dxa"/>
            <w:right w:w="108" w:type="dxa"/>
          </w:tblCellMar>
        </w:tblPrEx>
        <w:trPr>
          <w:trHeight w:val="737" w:hRule="atLeast"/>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Times New Roman" w:hAnsi="Times New Roman" w:cs="宋体"/>
                <w:b/>
                <w:bCs/>
                <w:color w:val="000000"/>
                <w:kern w:val="0"/>
                <w:sz w:val="18"/>
                <w:szCs w:val="18"/>
              </w:rPr>
            </w:pPr>
          </w:p>
        </w:tc>
        <w:tc>
          <w:tcPr>
            <w:tcW w:w="95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满意度（</w:t>
            </w: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分）</w:t>
            </w:r>
          </w:p>
        </w:tc>
        <w:tc>
          <w:tcPr>
            <w:tcW w:w="211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服务对象满意度（</w:t>
            </w:r>
            <w:r>
              <w:rPr>
                <w:rFonts w:ascii="Times New Roman" w:hAnsi="Times New Roman" w:cs="Times New Roman"/>
                <w:color w:val="000000"/>
                <w:kern w:val="0"/>
                <w:sz w:val="18"/>
                <w:szCs w:val="18"/>
              </w:rPr>
              <w:t>5</w:t>
            </w:r>
            <w:r>
              <w:rPr>
                <w:rFonts w:hint="eastAsia" w:ascii="Times New Roman" w:hAnsi="Times New Roman" w:cs="宋体"/>
                <w:color w:val="000000"/>
                <w:kern w:val="0"/>
                <w:sz w:val="18"/>
                <w:szCs w:val="18"/>
              </w:rPr>
              <w:t>分）</w:t>
            </w:r>
          </w:p>
        </w:tc>
        <w:tc>
          <w:tcPr>
            <w:tcW w:w="3394"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（对专项工作满意的服务对象数/调查人数）*</w:t>
            </w:r>
            <w:r>
              <w:rPr>
                <w:rFonts w:ascii="Times New Roman" w:hAnsi="Times New Roman" w:cs="Times New Roman"/>
                <w:color w:val="000000"/>
                <w:kern w:val="0"/>
                <w:sz w:val="18"/>
                <w:szCs w:val="18"/>
              </w:rPr>
              <w:t>100</w:t>
            </w:r>
            <w:r>
              <w:rPr>
                <w:rFonts w:hint="eastAsia" w:ascii="Times New Roman" w:hAnsi="Times New Roman" w:cs="宋体"/>
                <w:color w:val="000000"/>
                <w:kern w:val="0"/>
                <w:sz w:val="18"/>
                <w:szCs w:val="18"/>
              </w:rPr>
              <w:t>%*满分。</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4.90</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9</w:t>
            </w:r>
            <w:r>
              <w:rPr>
                <w:rFonts w:ascii="Times New Roman" w:hAnsi="Times New Roman" w:cs="宋体"/>
                <w:color w:val="000000"/>
                <w:kern w:val="0"/>
                <w:sz w:val="18"/>
                <w:szCs w:val="18"/>
              </w:rPr>
              <w:t>8%</w:t>
            </w:r>
            <w:r>
              <w:rPr>
                <w:rFonts w:hint="eastAsia" w:ascii="Times New Roman" w:hAnsi="Times New Roman" w:cs="宋体"/>
                <w:color w:val="000000"/>
                <w:kern w:val="0"/>
                <w:sz w:val="18"/>
                <w:szCs w:val="18"/>
              </w:rPr>
              <w:t>　</w:t>
            </w:r>
          </w:p>
        </w:tc>
      </w:tr>
      <w:tr>
        <w:tblPrEx>
          <w:tblCellMar>
            <w:top w:w="0" w:type="dxa"/>
            <w:left w:w="108" w:type="dxa"/>
            <w:bottom w:w="0" w:type="dxa"/>
            <w:right w:w="108" w:type="dxa"/>
          </w:tblCellMar>
        </w:tblPrEx>
        <w:trPr>
          <w:trHeight w:val="624" w:hRule="atLeast"/>
        </w:trPr>
        <w:tc>
          <w:tcPr>
            <w:tcW w:w="7046"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总分</w:t>
            </w:r>
          </w:p>
        </w:tc>
        <w:tc>
          <w:tcPr>
            <w:tcW w:w="72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Times New Roman" w:hAnsi="Times New Roman" w:cs="宋体"/>
                <w:color w:val="000000"/>
                <w:kern w:val="0"/>
                <w:sz w:val="18"/>
                <w:szCs w:val="18"/>
              </w:rPr>
            </w:pPr>
            <w:r>
              <w:rPr>
                <w:rFonts w:ascii="Times New Roman" w:hAnsi="Times New Roman" w:cs="Times New Roman"/>
                <w:color w:val="000000"/>
                <w:kern w:val="0"/>
                <w:sz w:val="18"/>
                <w:szCs w:val="18"/>
              </w:rPr>
              <w:t>88.81</w:t>
            </w:r>
          </w:p>
        </w:tc>
        <w:tc>
          <w:tcPr>
            <w:tcW w:w="756" w:type="dxa"/>
            <w:tcBorders>
              <w:top w:val="nil"/>
              <w:left w:val="nil"/>
              <w:bottom w:val="single" w:color="auto" w:sz="4" w:space="0"/>
              <w:right w:val="single" w:color="auto" w:sz="4" w:space="0"/>
            </w:tcBorders>
            <w:shd w:val="clear" w:color="auto" w:fill="auto"/>
            <w:noWrap/>
            <w:vAlign w:val="center"/>
          </w:tcPr>
          <w:p>
            <w:pPr>
              <w:widowControl/>
              <w:spacing w:line="240" w:lineRule="auto"/>
              <w:jc w:val="left"/>
              <w:rPr>
                <w:rFonts w:ascii="Times New Roman" w:hAnsi="Times New Roman" w:cs="宋体"/>
                <w:color w:val="000000"/>
                <w:kern w:val="0"/>
                <w:sz w:val="18"/>
                <w:szCs w:val="18"/>
              </w:rPr>
            </w:pPr>
            <w:r>
              <w:rPr>
                <w:rFonts w:hint="eastAsia" w:ascii="Times New Roman" w:hAnsi="Times New Roman" w:cs="宋体"/>
                <w:color w:val="000000"/>
                <w:kern w:val="0"/>
                <w:sz w:val="18"/>
                <w:szCs w:val="18"/>
              </w:rPr>
              <w:t>　</w:t>
            </w:r>
          </w:p>
        </w:tc>
      </w:tr>
    </w:tbl>
    <w:p>
      <w:pPr>
        <w:rPr>
          <w:rFonts w:ascii="Times New Roman" w:hAnsi="Times New Roman"/>
          <w:szCs w:val="28"/>
        </w:rPr>
      </w:pPr>
    </w:p>
    <w:sectPr>
      <w:footerReference r:id="rId7"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光楷体一_CNKI">
    <w:panose1 w:val="02000500000000000000"/>
    <w:charset w:val="86"/>
    <w:family w:val="auto"/>
    <w:pitch w:val="default"/>
    <w:sig w:usb0="8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9535233"/>
    </w:sdtPr>
    <w:sdtContent>
      <w:p>
        <w:pPr>
          <w:pStyle w:val="7"/>
          <w:jc w:val="center"/>
        </w:pPr>
        <w:r>
          <w:fldChar w:fldCharType="begin"/>
        </w:r>
        <w:r>
          <w:instrText xml:space="preserve">PAGE   \* MERGEFORMAT</w:instrText>
        </w:r>
        <w:r>
          <w:fldChar w:fldCharType="separate"/>
        </w:r>
        <w:r>
          <w:rPr>
            <w:lang w:val="zh-CN"/>
          </w:rPr>
          <w:t>2</w:t>
        </w:r>
        <w:r>
          <w:fldChar w:fldCharType="end"/>
        </w:r>
      </w:p>
    </w:sdtContent>
  </w:sdt>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BBC67D"/>
    <w:multiLevelType w:val="singleLevel"/>
    <w:tmpl w:val="37BBC67D"/>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hNGJiMWVmZTg4ZjFhYWZhYWFiMzBkODkwYWRkZmUifQ=="/>
  </w:docVars>
  <w:rsids>
    <w:rsidRoot w:val="00AD0053"/>
    <w:rsid w:val="00004139"/>
    <w:rsid w:val="00036EC3"/>
    <w:rsid w:val="00052B27"/>
    <w:rsid w:val="000873D4"/>
    <w:rsid w:val="000A1BB6"/>
    <w:rsid w:val="000B48D0"/>
    <w:rsid w:val="000B7DE5"/>
    <w:rsid w:val="000C1589"/>
    <w:rsid w:val="000C1D6F"/>
    <w:rsid w:val="000C24C1"/>
    <w:rsid w:val="000D5C18"/>
    <w:rsid w:val="000E0780"/>
    <w:rsid w:val="000E091A"/>
    <w:rsid w:val="000E33E8"/>
    <w:rsid w:val="000E4AAD"/>
    <w:rsid w:val="000F3E45"/>
    <w:rsid w:val="000F4489"/>
    <w:rsid w:val="000F68A0"/>
    <w:rsid w:val="0010413E"/>
    <w:rsid w:val="001044E9"/>
    <w:rsid w:val="001110A7"/>
    <w:rsid w:val="00111A61"/>
    <w:rsid w:val="00130057"/>
    <w:rsid w:val="00146DF9"/>
    <w:rsid w:val="00152E56"/>
    <w:rsid w:val="00161632"/>
    <w:rsid w:val="001746DE"/>
    <w:rsid w:val="00175361"/>
    <w:rsid w:val="0017591D"/>
    <w:rsid w:val="001857CD"/>
    <w:rsid w:val="001A4831"/>
    <w:rsid w:val="001B3BAA"/>
    <w:rsid w:val="001B7C91"/>
    <w:rsid w:val="001C742A"/>
    <w:rsid w:val="001E1475"/>
    <w:rsid w:val="001F39AC"/>
    <w:rsid w:val="00205D2F"/>
    <w:rsid w:val="002146AD"/>
    <w:rsid w:val="002157C9"/>
    <w:rsid w:val="0021615C"/>
    <w:rsid w:val="002235C3"/>
    <w:rsid w:val="00245399"/>
    <w:rsid w:val="0024597C"/>
    <w:rsid w:val="00251847"/>
    <w:rsid w:val="00255238"/>
    <w:rsid w:val="0025560C"/>
    <w:rsid w:val="00256038"/>
    <w:rsid w:val="0025759B"/>
    <w:rsid w:val="002B0CA0"/>
    <w:rsid w:val="002D3B42"/>
    <w:rsid w:val="002E0F67"/>
    <w:rsid w:val="002E14B7"/>
    <w:rsid w:val="002E1FA3"/>
    <w:rsid w:val="002F2860"/>
    <w:rsid w:val="002F3FA2"/>
    <w:rsid w:val="0030225E"/>
    <w:rsid w:val="00315901"/>
    <w:rsid w:val="00315F34"/>
    <w:rsid w:val="00321B05"/>
    <w:rsid w:val="0034075E"/>
    <w:rsid w:val="00346013"/>
    <w:rsid w:val="0034771D"/>
    <w:rsid w:val="003729C5"/>
    <w:rsid w:val="0037421C"/>
    <w:rsid w:val="00382C93"/>
    <w:rsid w:val="00387E32"/>
    <w:rsid w:val="00393E65"/>
    <w:rsid w:val="0039595C"/>
    <w:rsid w:val="0039740C"/>
    <w:rsid w:val="003A007D"/>
    <w:rsid w:val="003A67E0"/>
    <w:rsid w:val="003B2B25"/>
    <w:rsid w:val="003B2C23"/>
    <w:rsid w:val="003B519F"/>
    <w:rsid w:val="003C1F4A"/>
    <w:rsid w:val="003D35AC"/>
    <w:rsid w:val="003E1C84"/>
    <w:rsid w:val="003F1DA0"/>
    <w:rsid w:val="003F6001"/>
    <w:rsid w:val="00401AB1"/>
    <w:rsid w:val="00402BF1"/>
    <w:rsid w:val="00406602"/>
    <w:rsid w:val="0041339F"/>
    <w:rsid w:val="00413998"/>
    <w:rsid w:val="00427B62"/>
    <w:rsid w:val="004339AA"/>
    <w:rsid w:val="00433F66"/>
    <w:rsid w:val="00442A9D"/>
    <w:rsid w:val="004513C7"/>
    <w:rsid w:val="00461DA8"/>
    <w:rsid w:val="004805E6"/>
    <w:rsid w:val="00486746"/>
    <w:rsid w:val="00497C89"/>
    <w:rsid w:val="004A065A"/>
    <w:rsid w:val="004A07BE"/>
    <w:rsid w:val="004A46ED"/>
    <w:rsid w:val="004A5517"/>
    <w:rsid w:val="004B0500"/>
    <w:rsid w:val="004C33F1"/>
    <w:rsid w:val="004C5E38"/>
    <w:rsid w:val="004D6F52"/>
    <w:rsid w:val="004D7470"/>
    <w:rsid w:val="004F08F4"/>
    <w:rsid w:val="005120B8"/>
    <w:rsid w:val="00533267"/>
    <w:rsid w:val="00533338"/>
    <w:rsid w:val="00553EB4"/>
    <w:rsid w:val="00556308"/>
    <w:rsid w:val="005626D3"/>
    <w:rsid w:val="00562F74"/>
    <w:rsid w:val="00564175"/>
    <w:rsid w:val="00565A28"/>
    <w:rsid w:val="0057045B"/>
    <w:rsid w:val="005810A2"/>
    <w:rsid w:val="00583B5B"/>
    <w:rsid w:val="00587B0B"/>
    <w:rsid w:val="005A184F"/>
    <w:rsid w:val="005A4BD0"/>
    <w:rsid w:val="005A50C2"/>
    <w:rsid w:val="005C303E"/>
    <w:rsid w:val="005D2FA8"/>
    <w:rsid w:val="00604346"/>
    <w:rsid w:val="006057BB"/>
    <w:rsid w:val="00606B79"/>
    <w:rsid w:val="00611101"/>
    <w:rsid w:val="006231C4"/>
    <w:rsid w:val="00624385"/>
    <w:rsid w:val="00624F76"/>
    <w:rsid w:val="00626CCA"/>
    <w:rsid w:val="00632E25"/>
    <w:rsid w:val="006352C2"/>
    <w:rsid w:val="00637123"/>
    <w:rsid w:val="00641CED"/>
    <w:rsid w:val="00647C29"/>
    <w:rsid w:val="0065324D"/>
    <w:rsid w:val="00653897"/>
    <w:rsid w:val="006817B5"/>
    <w:rsid w:val="00685AAB"/>
    <w:rsid w:val="00686820"/>
    <w:rsid w:val="006A1EDB"/>
    <w:rsid w:val="006B16BB"/>
    <w:rsid w:val="006B1A4E"/>
    <w:rsid w:val="006B28B2"/>
    <w:rsid w:val="006C24BA"/>
    <w:rsid w:val="006E73A7"/>
    <w:rsid w:val="006E7611"/>
    <w:rsid w:val="006F0A3D"/>
    <w:rsid w:val="006F1894"/>
    <w:rsid w:val="006F2201"/>
    <w:rsid w:val="006F3493"/>
    <w:rsid w:val="00701A66"/>
    <w:rsid w:val="00703A0F"/>
    <w:rsid w:val="007051C3"/>
    <w:rsid w:val="00707DA0"/>
    <w:rsid w:val="00711382"/>
    <w:rsid w:val="00743EE4"/>
    <w:rsid w:val="00750193"/>
    <w:rsid w:val="007638A3"/>
    <w:rsid w:val="00764307"/>
    <w:rsid w:val="007661C4"/>
    <w:rsid w:val="00767BC1"/>
    <w:rsid w:val="00781C63"/>
    <w:rsid w:val="007822FC"/>
    <w:rsid w:val="00783AA4"/>
    <w:rsid w:val="00783F5A"/>
    <w:rsid w:val="007A016E"/>
    <w:rsid w:val="007A7259"/>
    <w:rsid w:val="007A7CBC"/>
    <w:rsid w:val="007B0B7D"/>
    <w:rsid w:val="007D1DE2"/>
    <w:rsid w:val="007D5A87"/>
    <w:rsid w:val="007F3E3A"/>
    <w:rsid w:val="00805AA7"/>
    <w:rsid w:val="00810096"/>
    <w:rsid w:val="008226D9"/>
    <w:rsid w:val="00833A1C"/>
    <w:rsid w:val="0084458A"/>
    <w:rsid w:val="00844926"/>
    <w:rsid w:val="00846D53"/>
    <w:rsid w:val="00853313"/>
    <w:rsid w:val="00854F8F"/>
    <w:rsid w:val="00860636"/>
    <w:rsid w:val="00866F48"/>
    <w:rsid w:val="0086736D"/>
    <w:rsid w:val="008679E5"/>
    <w:rsid w:val="00874049"/>
    <w:rsid w:val="008772DE"/>
    <w:rsid w:val="00877792"/>
    <w:rsid w:val="008864DF"/>
    <w:rsid w:val="008904D6"/>
    <w:rsid w:val="0089118C"/>
    <w:rsid w:val="008D67C1"/>
    <w:rsid w:val="00906C55"/>
    <w:rsid w:val="009168B3"/>
    <w:rsid w:val="00921A2C"/>
    <w:rsid w:val="0092599C"/>
    <w:rsid w:val="0094641B"/>
    <w:rsid w:val="00951AAE"/>
    <w:rsid w:val="009534BE"/>
    <w:rsid w:val="00957E89"/>
    <w:rsid w:val="00962A8A"/>
    <w:rsid w:val="00963DBD"/>
    <w:rsid w:val="009710EF"/>
    <w:rsid w:val="009808B2"/>
    <w:rsid w:val="00980F3C"/>
    <w:rsid w:val="00981DCA"/>
    <w:rsid w:val="00982695"/>
    <w:rsid w:val="00983304"/>
    <w:rsid w:val="00991F65"/>
    <w:rsid w:val="009B1FF5"/>
    <w:rsid w:val="009C28DB"/>
    <w:rsid w:val="009C5B0C"/>
    <w:rsid w:val="009E0EA0"/>
    <w:rsid w:val="00A054A4"/>
    <w:rsid w:val="00A07611"/>
    <w:rsid w:val="00A17E9D"/>
    <w:rsid w:val="00A20FCD"/>
    <w:rsid w:val="00A27029"/>
    <w:rsid w:val="00A3602F"/>
    <w:rsid w:val="00A44C13"/>
    <w:rsid w:val="00A47F59"/>
    <w:rsid w:val="00A534ED"/>
    <w:rsid w:val="00A56A3B"/>
    <w:rsid w:val="00A57BD3"/>
    <w:rsid w:val="00A62741"/>
    <w:rsid w:val="00A66A9B"/>
    <w:rsid w:val="00A70382"/>
    <w:rsid w:val="00A8058F"/>
    <w:rsid w:val="00AA1783"/>
    <w:rsid w:val="00AA4490"/>
    <w:rsid w:val="00AA680C"/>
    <w:rsid w:val="00AB33C7"/>
    <w:rsid w:val="00AB47B0"/>
    <w:rsid w:val="00AC285C"/>
    <w:rsid w:val="00AC5C38"/>
    <w:rsid w:val="00AC784C"/>
    <w:rsid w:val="00AD0053"/>
    <w:rsid w:val="00AD1985"/>
    <w:rsid w:val="00AD4C05"/>
    <w:rsid w:val="00AD7841"/>
    <w:rsid w:val="00AE6800"/>
    <w:rsid w:val="00B10016"/>
    <w:rsid w:val="00B10528"/>
    <w:rsid w:val="00B24B16"/>
    <w:rsid w:val="00B413A4"/>
    <w:rsid w:val="00B43847"/>
    <w:rsid w:val="00B46926"/>
    <w:rsid w:val="00B60328"/>
    <w:rsid w:val="00B70559"/>
    <w:rsid w:val="00B71FB2"/>
    <w:rsid w:val="00B83F0A"/>
    <w:rsid w:val="00B85D74"/>
    <w:rsid w:val="00B86E58"/>
    <w:rsid w:val="00B94E45"/>
    <w:rsid w:val="00BA1E83"/>
    <w:rsid w:val="00BA25B6"/>
    <w:rsid w:val="00BA563A"/>
    <w:rsid w:val="00BB3B2E"/>
    <w:rsid w:val="00BC3190"/>
    <w:rsid w:val="00BD2C6E"/>
    <w:rsid w:val="00BE156D"/>
    <w:rsid w:val="00C038A4"/>
    <w:rsid w:val="00C12FB2"/>
    <w:rsid w:val="00C16C34"/>
    <w:rsid w:val="00C20D04"/>
    <w:rsid w:val="00C30279"/>
    <w:rsid w:val="00C3410B"/>
    <w:rsid w:val="00C41963"/>
    <w:rsid w:val="00C464ED"/>
    <w:rsid w:val="00C6772F"/>
    <w:rsid w:val="00C738B2"/>
    <w:rsid w:val="00C74147"/>
    <w:rsid w:val="00C7584B"/>
    <w:rsid w:val="00C75A19"/>
    <w:rsid w:val="00C76EDD"/>
    <w:rsid w:val="00C77A3B"/>
    <w:rsid w:val="00C8225A"/>
    <w:rsid w:val="00C87056"/>
    <w:rsid w:val="00C91296"/>
    <w:rsid w:val="00C945FA"/>
    <w:rsid w:val="00CA098C"/>
    <w:rsid w:val="00CA3064"/>
    <w:rsid w:val="00CA5D51"/>
    <w:rsid w:val="00CA7AEA"/>
    <w:rsid w:val="00CB0B4A"/>
    <w:rsid w:val="00CB26FE"/>
    <w:rsid w:val="00CB3231"/>
    <w:rsid w:val="00CB61B0"/>
    <w:rsid w:val="00CC7FEF"/>
    <w:rsid w:val="00CD55E0"/>
    <w:rsid w:val="00CE6FA9"/>
    <w:rsid w:val="00D15518"/>
    <w:rsid w:val="00D16DEC"/>
    <w:rsid w:val="00D173B5"/>
    <w:rsid w:val="00D17E44"/>
    <w:rsid w:val="00D2215D"/>
    <w:rsid w:val="00D22479"/>
    <w:rsid w:val="00D24EBF"/>
    <w:rsid w:val="00D338C5"/>
    <w:rsid w:val="00D60706"/>
    <w:rsid w:val="00D62705"/>
    <w:rsid w:val="00D73544"/>
    <w:rsid w:val="00D754E4"/>
    <w:rsid w:val="00D85F13"/>
    <w:rsid w:val="00D904CC"/>
    <w:rsid w:val="00D96770"/>
    <w:rsid w:val="00DA0F42"/>
    <w:rsid w:val="00DA3C68"/>
    <w:rsid w:val="00DA3DB8"/>
    <w:rsid w:val="00DB1C77"/>
    <w:rsid w:val="00DB28F2"/>
    <w:rsid w:val="00DC6EE4"/>
    <w:rsid w:val="00DD51E0"/>
    <w:rsid w:val="00DD7370"/>
    <w:rsid w:val="00DD74DC"/>
    <w:rsid w:val="00DE3E69"/>
    <w:rsid w:val="00DF0599"/>
    <w:rsid w:val="00DF0608"/>
    <w:rsid w:val="00E2716B"/>
    <w:rsid w:val="00E40EDF"/>
    <w:rsid w:val="00E429F3"/>
    <w:rsid w:val="00E50E7A"/>
    <w:rsid w:val="00E51A92"/>
    <w:rsid w:val="00E51DDF"/>
    <w:rsid w:val="00E63A8F"/>
    <w:rsid w:val="00E67321"/>
    <w:rsid w:val="00E7581E"/>
    <w:rsid w:val="00E776D5"/>
    <w:rsid w:val="00E812C7"/>
    <w:rsid w:val="00E827F6"/>
    <w:rsid w:val="00E871CB"/>
    <w:rsid w:val="00EA03C3"/>
    <w:rsid w:val="00EB0AD0"/>
    <w:rsid w:val="00EC3016"/>
    <w:rsid w:val="00EC6D42"/>
    <w:rsid w:val="00EC79C3"/>
    <w:rsid w:val="00ED074F"/>
    <w:rsid w:val="00ED2BCA"/>
    <w:rsid w:val="00ED52B4"/>
    <w:rsid w:val="00EE0DEE"/>
    <w:rsid w:val="00EE1536"/>
    <w:rsid w:val="00EE2BE4"/>
    <w:rsid w:val="00EF11BC"/>
    <w:rsid w:val="00EF3F9E"/>
    <w:rsid w:val="00EF5232"/>
    <w:rsid w:val="00EF7089"/>
    <w:rsid w:val="00F02A0E"/>
    <w:rsid w:val="00F112C1"/>
    <w:rsid w:val="00F26650"/>
    <w:rsid w:val="00F27E7A"/>
    <w:rsid w:val="00F27FF9"/>
    <w:rsid w:val="00F35B26"/>
    <w:rsid w:val="00F4072A"/>
    <w:rsid w:val="00F40DBA"/>
    <w:rsid w:val="00F4414A"/>
    <w:rsid w:val="00F45C21"/>
    <w:rsid w:val="00F526EE"/>
    <w:rsid w:val="00F54484"/>
    <w:rsid w:val="00F61466"/>
    <w:rsid w:val="00F81CE3"/>
    <w:rsid w:val="00F8383F"/>
    <w:rsid w:val="00F853D4"/>
    <w:rsid w:val="00F90BA3"/>
    <w:rsid w:val="00F920B2"/>
    <w:rsid w:val="00F93DEA"/>
    <w:rsid w:val="00F963C9"/>
    <w:rsid w:val="00FA57CF"/>
    <w:rsid w:val="00FB0739"/>
    <w:rsid w:val="00FD7E4E"/>
    <w:rsid w:val="00FE2945"/>
    <w:rsid w:val="00FF5D60"/>
    <w:rsid w:val="00FF6567"/>
    <w:rsid w:val="04BD65BA"/>
    <w:rsid w:val="138F436A"/>
    <w:rsid w:val="23542336"/>
    <w:rsid w:val="3030318F"/>
    <w:rsid w:val="3639025C"/>
    <w:rsid w:val="38330A55"/>
    <w:rsid w:val="3A121D7B"/>
    <w:rsid w:val="4E04238F"/>
    <w:rsid w:val="599975CF"/>
    <w:rsid w:val="5EF62283"/>
    <w:rsid w:val="7B424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eastAsia="仿宋" w:asciiTheme="minorHAnsi" w:hAnsiTheme="minorHAnsi" w:cstheme="minorBidi"/>
      <w:kern w:val="2"/>
      <w:sz w:val="28"/>
      <w:szCs w:val="24"/>
      <w:lang w:val="en-US" w:eastAsia="zh-CN" w:bidi="ar-SA"/>
    </w:rPr>
  </w:style>
  <w:style w:type="paragraph" w:styleId="2">
    <w:name w:val="heading 1"/>
    <w:basedOn w:val="1"/>
    <w:next w:val="1"/>
    <w:link w:val="23"/>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autoRedefine/>
    <w:semiHidden/>
    <w:unhideWhenUsed/>
    <w:uiPriority w:val="1"/>
  </w:style>
  <w:style w:type="table" w:default="1" w:styleId="13">
    <w:name w:val="Normal Table"/>
    <w:autoRedefine/>
    <w:semiHidden/>
    <w:unhideWhenUsed/>
    <w:uiPriority w:val="99"/>
    <w:tblPr>
      <w:tblCellMar>
        <w:top w:w="0" w:type="dxa"/>
        <w:left w:w="108" w:type="dxa"/>
        <w:bottom w:w="0" w:type="dxa"/>
        <w:right w:w="108" w:type="dxa"/>
      </w:tblCellMar>
    </w:tblPr>
  </w:style>
  <w:style w:type="paragraph" w:styleId="4">
    <w:name w:val="annotation text"/>
    <w:basedOn w:val="1"/>
    <w:link w:val="27"/>
    <w:autoRedefine/>
    <w:semiHidden/>
    <w:unhideWhenUsed/>
    <w:uiPriority w:val="99"/>
    <w:pPr>
      <w:jc w:val="left"/>
    </w:pPr>
  </w:style>
  <w:style w:type="paragraph" w:styleId="5">
    <w:name w:val="Body Text Indent"/>
    <w:basedOn w:val="1"/>
    <w:link w:val="22"/>
    <w:autoRedefine/>
    <w:qFormat/>
    <w:uiPriority w:val="0"/>
    <w:pPr>
      <w:spacing w:line="240" w:lineRule="auto"/>
      <w:ind w:left="810"/>
    </w:pPr>
    <w:rPr>
      <w:rFonts w:ascii="仿宋_GB2312" w:hAnsi="Times New Roman" w:eastAsia="仿宋_GB2312" w:cs="Times New Roman"/>
      <w:sz w:val="32"/>
    </w:rPr>
  </w:style>
  <w:style w:type="paragraph" w:styleId="6">
    <w:name w:val="toc 3"/>
    <w:basedOn w:val="1"/>
    <w:next w:val="1"/>
    <w:autoRedefine/>
    <w:unhideWhenUsed/>
    <w:qFormat/>
    <w:uiPriority w:val="39"/>
    <w:pPr>
      <w:ind w:left="840" w:leftChars="400"/>
    </w:pPr>
  </w:style>
  <w:style w:type="paragraph" w:styleId="7">
    <w:name w:val="footer"/>
    <w:basedOn w:val="1"/>
    <w:link w:val="19"/>
    <w:autoRedefine/>
    <w:unhideWhenUsed/>
    <w:qFormat/>
    <w:uiPriority w:val="99"/>
    <w:pPr>
      <w:tabs>
        <w:tab w:val="center" w:pos="4153"/>
        <w:tab w:val="right" w:pos="8306"/>
      </w:tabs>
      <w:snapToGrid w:val="0"/>
      <w:jc w:val="left"/>
    </w:pPr>
    <w:rPr>
      <w:sz w:val="18"/>
      <w:szCs w:val="18"/>
    </w:rPr>
  </w:style>
  <w:style w:type="paragraph" w:styleId="8">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uiPriority w:val="39"/>
  </w:style>
  <w:style w:type="paragraph" w:styleId="10">
    <w:name w:val="toc 2"/>
    <w:basedOn w:val="1"/>
    <w:next w:val="1"/>
    <w:autoRedefine/>
    <w:unhideWhenUsed/>
    <w:qFormat/>
    <w:uiPriority w:val="39"/>
    <w:pPr>
      <w:ind w:left="420" w:leftChars="200"/>
    </w:pPr>
  </w:style>
  <w:style w:type="paragraph" w:styleId="11">
    <w:name w:val="Normal (Web)"/>
    <w:basedOn w:val="1"/>
    <w:autoRedefine/>
    <w:unhideWhenUsed/>
    <w:qFormat/>
    <w:uiPriority w:val="99"/>
    <w:pPr>
      <w:widowControl/>
      <w:spacing w:before="100" w:beforeAutospacing="1" w:after="100" w:afterAutospacing="1" w:line="240" w:lineRule="auto"/>
      <w:jc w:val="left"/>
    </w:pPr>
    <w:rPr>
      <w:rFonts w:ascii="宋体" w:hAnsi="宋体" w:cs="宋体"/>
      <w:kern w:val="0"/>
      <w:sz w:val="24"/>
    </w:rPr>
  </w:style>
  <w:style w:type="paragraph" w:styleId="12">
    <w:name w:val="annotation subject"/>
    <w:basedOn w:val="4"/>
    <w:next w:val="4"/>
    <w:link w:val="28"/>
    <w:autoRedefine/>
    <w:semiHidden/>
    <w:unhideWhenUsed/>
    <w:qFormat/>
    <w:uiPriority w:val="99"/>
    <w:rPr>
      <w:b/>
      <w:bCs/>
    </w:rPr>
  </w:style>
  <w:style w:type="character" w:styleId="15">
    <w:name w:val="Strong"/>
    <w:basedOn w:val="14"/>
    <w:autoRedefine/>
    <w:qFormat/>
    <w:uiPriority w:val="22"/>
    <w:rPr>
      <w:b/>
      <w:bCs/>
    </w:rPr>
  </w:style>
  <w:style w:type="character" w:styleId="16">
    <w:name w:val="Hyperlink"/>
    <w:basedOn w:val="14"/>
    <w:autoRedefine/>
    <w:unhideWhenUsed/>
    <w:qFormat/>
    <w:uiPriority w:val="99"/>
    <w:rPr>
      <w:color w:val="0563C1" w:themeColor="hyperlink"/>
      <w:u w:val="single"/>
      <w14:textFill>
        <w14:solidFill>
          <w14:schemeClr w14:val="hlink"/>
        </w14:solidFill>
      </w14:textFill>
    </w:rPr>
  </w:style>
  <w:style w:type="character" w:styleId="17">
    <w:name w:val="annotation reference"/>
    <w:basedOn w:val="14"/>
    <w:autoRedefine/>
    <w:semiHidden/>
    <w:unhideWhenUsed/>
    <w:uiPriority w:val="99"/>
    <w:rPr>
      <w:sz w:val="21"/>
      <w:szCs w:val="21"/>
    </w:rPr>
  </w:style>
  <w:style w:type="character" w:customStyle="1" w:styleId="18">
    <w:name w:val="页眉 字符"/>
    <w:basedOn w:val="14"/>
    <w:link w:val="8"/>
    <w:autoRedefine/>
    <w:qFormat/>
    <w:uiPriority w:val="99"/>
    <w:rPr>
      <w:sz w:val="18"/>
      <w:szCs w:val="18"/>
    </w:rPr>
  </w:style>
  <w:style w:type="character" w:customStyle="1" w:styleId="19">
    <w:name w:val="页脚 字符"/>
    <w:basedOn w:val="14"/>
    <w:link w:val="7"/>
    <w:autoRedefine/>
    <w:qFormat/>
    <w:uiPriority w:val="99"/>
    <w:rPr>
      <w:sz w:val="18"/>
      <w:szCs w:val="18"/>
    </w:rPr>
  </w:style>
  <w:style w:type="character" w:customStyle="1" w:styleId="20">
    <w:name w:val="NormalCharacter"/>
    <w:autoRedefine/>
    <w:semiHidden/>
    <w:qFormat/>
    <w:uiPriority w:val="0"/>
  </w:style>
  <w:style w:type="paragraph" w:styleId="21">
    <w:name w:val="List Paragraph"/>
    <w:basedOn w:val="1"/>
    <w:autoRedefine/>
    <w:qFormat/>
    <w:uiPriority w:val="34"/>
    <w:pPr>
      <w:ind w:firstLine="420" w:firstLineChars="200"/>
    </w:pPr>
  </w:style>
  <w:style w:type="character" w:customStyle="1" w:styleId="22">
    <w:name w:val="正文文本缩进 字符"/>
    <w:basedOn w:val="14"/>
    <w:link w:val="5"/>
    <w:autoRedefine/>
    <w:qFormat/>
    <w:uiPriority w:val="0"/>
    <w:rPr>
      <w:rFonts w:ascii="仿宋_GB2312" w:hAnsi="Times New Roman" w:eastAsia="仿宋_GB2312" w:cs="Times New Roman"/>
      <w:sz w:val="32"/>
      <w:szCs w:val="24"/>
    </w:rPr>
  </w:style>
  <w:style w:type="character" w:customStyle="1" w:styleId="23">
    <w:name w:val="标题 1 字符"/>
    <w:basedOn w:val="14"/>
    <w:link w:val="2"/>
    <w:autoRedefine/>
    <w:qFormat/>
    <w:uiPriority w:val="9"/>
    <w:rPr>
      <w:rFonts w:eastAsia="宋体"/>
      <w:b/>
      <w:bCs/>
      <w:kern w:val="44"/>
      <w:sz w:val="44"/>
      <w:szCs w:val="44"/>
    </w:rPr>
  </w:style>
  <w:style w:type="paragraph" w:customStyle="1" w:styleId="24">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25">
    <w:name w:val="修订1"/>
    <w:autoRedefine/>
    <w:hidden/>
    <w:unhideWhenUsed/>
    <w:qFormat/>
    <w:uiPriority w:val="99"/>
    <w:rPr>
      <w:rFonts w:eastAsia="宋体" w:asciiTheme="minorHAnsi" w:hAnsiTheme="minorHAnsi" w:cstheme="minorBidi"/>
      <w:kern w:val="2"/>
      <w:sz w:val="28"/>
      <w:szCs w:val="24"/>
      <w:lang w:val="en-US" w:eastAsia="zh-CN" w:bidi="ar-SA"/>
    </w:rPr>
  </w:style>
  <w:style w:type="character" w:customStyle="1" w:styleId="26">
    <w:name w:val="标题 2 字符"/>
    <w:basedOn w:val="14"/>
    <w:link w:val="3"/>
    <w:autoRedefine/>
    <w:qFormat/>
    <w:uiPriority w:val="9"/>
    <w:rPr>
      <w:rFonts w:asciiTheme="majorHAnsi" w:hAnsiTheme="majorHAnsi" w:eastAsiaTheme="majorEastAsia" w:cstheme="majorBidi"/>
      <w:b/>
      <w:bCs/>
      <w:kern w:val="2"/>
      <w:sz w:val="32"/>
      <w:szCs w:val="32"/>
    </w:rPr>
  </w:style>
  <w:style w:type="character" w:customStyle="1" w:styleId="27">
    <w:name w:val="批注文字 字符"/>
    <w:basedOn w:val="14"/>
    <w:link w:val="4"/>
    <w:autoRedefine/>
    <w:semiHidden/>
    <w:qFormat/>
    <w:uiPriority w:val="99"/>
    <w:rPr>
      <w:rFonts w:eastAsia="仿宋"/>
      <w:kern w:val="2"/>
      <w:sz w:val="28"/>
      <w:szCs w:val="24"/>
    </w:rPr>
  </w:style>
  <w:style w:type="character" w:customStyle="1" w:styleId="28">
    <w:name w:val="批注主题 字符"/>
    <w:basedOn w:val="27"/>
    <w:link w:val="12"/>
    <w:autoRedefine/>
    <w:semiHidden/>
    <w:uiPriority w:val="99"/>
    <w:rPr>
      <w:rFonts w:eastAsia="仿宋"/>
      <w:b/>
      <w:bCs/>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GI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8B635-0C58-4B4F-B670-D60595BDB78C}">
  <ds:schemaRefs/>
</ds:datastoreItem>
</file>

<file path=docProps/app.xml><?xml version="1.0" encoding="utf-8"?>
<Properties xmlns="http://schemas.openxmlformats.org/officeDocument/2006/extended-properties" xmlns:vt="http://schemas.openxmlformats.org/officeDocument/2006/docPropsVTypes">
  <Template>Normal</Template>
  <Pages>1</Pages>
  <Words>2927</Words>
  <Characters>16688</Characters>
  <Lines>139</Lines>
  <Paragraphs>39</Paragraphs>
  <TotalTime>2094</TotalTime>
  <ScaleCrop>false</ScaleCrop>
  <LinksUpToDate>false</LinksUpToDate>
  <CharactersWithSpaces>19576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2023-12-01T03:07:00Z</dcterms:created>
  <dc:creator>苏 晓</dc:creator>
  <cp:lastModifiedBy>七十八</cp:lastModifiedBy>
  <dcterms:modified xsi:type="dcterms:W3CDTF">2024-02-07T14:20:34Z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7E691149E7CE467E91D05687A23BBD42_13</vt:lpwstr>
  </property>
</Properties>
</file>