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Times New Roman" w:hAnsi="Times New Roman" w:cs="Times New Roman"/>
          <w:sz w:val="21"/>
        </w:rPr>
      </w:pPr>
      <w:bookmarkStart w:id="0" w:name="_Hlk123500218"/>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eastAsia="仿宋" w:cs="Times New Roman"/>
          <w:sz w:val="21"/>
        </w:rPr>
      </w:pPr>
    </w:p>
    <w:p>
      <w:pPr>
        <w:spacing w:line="240" w:lineRule="auto"/>
        <w:rPr>
          <w:rFonts w:ascii="Times New Roman" w:hAnsi="Times New Roman" w:eastAsia="仿宋" w:cs="Times New Roman"/>
          <w:sz w:val="21"/>
        </w:rPr>
      </w:pPr>
    </w:p>
    <w:p>
      <w:pPr>
        <w:jc w:val="center"/>
        <w:outlineLvl w:val="0"/>
        <w:rPr>
          <w:rFonts w:ascii="Times New Roman" w:hAnsi="Times New Roman" w:eastAsia="仿宋" w:cs="Times New Roman"/>
          <w:b/>
          <w:bCs/>
          <w:sz w:val="44"/>
          <w:szCs w:val="44"/>
        </w:rPr>
      </w:pPr>
      <w:bookmarkStart w:id="1" w:name="_Toc14894"/>
      <w:bookmarkStart w:id="2" w:name="_Toc708"/>
      <w:bookmarkStart w:id="3" w:name="_Toc20342"/>
      <w:r>
        <w:rPr>
          <w:rFonts w:hint="eastAsia" w:ascii="仿宋" w:hAnsi="仿宋" w:eastAsia="仿宋" w:cs="Times New Roman"/>
          <w:b/>
          <w:bCs/>
          <w:sz w:val="44"/>
          <w:szCs w:val="44"/>
        </w:rPr>
        <w:t>福建省惠安县</w:t>
      </w:r>
      <w:r>
        <w:rPr>
          <w:rFonts w:ascii="Times New Roman" w:hAnsi="Times New Roman" w:eastAsia="仿宋" w:cs="Times New Roman"/>
          <w:b/>
          <w:bCs/>
          <w:sz w:val="44"/>
          <w:szCs w:val="44"/>
        </w:rPr>
        <w:t>202</w:t>
      </w:r>
      <w:r>
        <w:rPr>
          <w:rFonts w:hint="eastAsia" w:ascii="Times New Roman" w:hAnsi="Times New Roman" w:eastAsia="仿宋" w:cs="Times New Roman"/>
          <w:b/>
          <w:bCs/>
          <w:sz w:val="44"/>
          <w:szCs w:val="44"/>
        </w:rPr>
        <w:t>1-</w:t>
      </w:r>
      <w:r>
        <w:rPr>
          <w:rFonts w:ascii="Times New Roman" w:hAnsi="Times New Roman" w:eastAsia="仿宋" w:cs="Times New Roman"/>
          <w:b/>
          <w:bCs/>
          <w:sz w:val="44"/>
          <w:szCs w:val="44"/>
        </w:rPr>
        <w:t>202</w:t>
      </w:r>
      <w:r>
        <w:rPr>
          <w:rFonts w:hint="eastAsia" w:ascii="Times New Roman" w:hAnsi="Times New Roman" w:eastAsia="仿宋" w:cs="Times New Roman"/>
          <w:b/>
          <w:bCs/>
          <w:sz w:val="44"/>
          <w:szCs w:val="44"/>
        </w:rPr>
        <w:t>2</w:t>
      </w:r>
      <w:r>
        <w:rPr>
          <w:rFonts w:ascii="Times New Roman" w:hAnsi="Times New Roman" w:eastAsia="仿宋" w:cs="Times New Roman"/>
          <w:b/>
          <w:bCs/>
          <w:sz w:val="44"/>
          <w:szCs w:val="44"/>
        </w:rPr>
        <w:t>年</w:t>
      </w:r>
      <w:r>
        <w:rPr>
          <w:rFonts w:hint="eastAsia" w:ascii="Times New Roman" w:hAnsi="Times New Roman" w:eastAsia="仿宋" w:cs="Times New Roman"/>
          <w:b/>
          <w:bCs/>
          <w:sz w:val="44"/>
          <w:szCs w:val="44"/>
        </w:rPr>
        <w:t>度</w:t>
      </w:r>
      <w:bookmarkEnd w:id="1"/>
      <w:bookmarkEnd w:id="2"/>
      <w:bookmarkEnd w:id="3"/>
    </w:p>
    <w:p>
      <w:pPr>
        <w:jc w:val="center"/>
        <w:outlineLvl w:val="0"/>
        <w:rPr>
          <w:rFonts w:ascii="Times New Roman" w:hAnsi="Times New Roman" w:eastAsia="仿宋" w:cs="Times New Roman"/>
          <w:b/>
          <w:bCs/>
          <w:sz w:val="44"/>
          <w:szCs w:val="44"/>
        </w:rPr>
      </w:pPr>
      <w:bookmarkStart w:id="4" w:name="_Toc9282"/>
      <w:bookmarkStart w:id="5" w:name="_Toc17334"/>
      <w:bookmarkStart w:id="6" w:name="_Toc22609"/>
      <w:r>
        <w:rPr>
          <w:rFonts w:hint="eastAsia" w:ascii="Times New Roman" w:hAnsi="Times New Roman" w:eastAsia="仿宋" w:cs="Times New Roman"/>
          <w:b/>
          <w:bCs/>
          <w:sz w:val="44"/>
          <w:szCs w:val="44"/>
        </w:rPr>
        <w:t>机关事业养老保险专项资金</w:t>
      </w:r>
      <w:bookmarkEnd w:id="4"/>
      <w:bookmarkEnd w:id="5"/>
      <w:bookmarkEnd w:id="6"/>
    </w:p>
    <w:p>
      <w:pPr>
        <w:jc w:val="center"/>
        <w:rPr>
          <w:rFonts w:ascii="Times New Roman" w:hAnsi="Times New Roman" w:eastAsia="仿宋" w:cs="Times New Roman"/>
          <w:b/>
          <w:bCs/>
          <w:sz w:val="44"/>
          <w:szCs w:val="44"/>
        </w:rPr>
      </w:pPr>
      <w:r>
        <w:rPr>
          <w:rFonts w:hint="eastAsia" w:ascii="Times New Roman" w:hAnsi="Times New Roman" w:eastAsia="仿宋" w:cs="Times New Roman"/>
          <w:b/>
          <w:bCs/>
          <w:sz w:val="44"/>
          <w:szCs w:val="44"/>
          <w:lang w:val="en-US" w:eastAsia="zh-CN"/>
        </w:rPr>
        <w:t>重点</w:t>
      </w:r>
      <w:r>
        <w:rPr>
          <w:rFonts w:ascii="Times New Roman" w:hAnsi="Times New Roman" w:eastAsia="仿宋" w:cs="Times New Roman"/>
          <w:b/>
          <w:bCs/>
          <w:sz w:val="44"/>
          <w:szCs w:val="44"/>
        </w:rPr>
        <w:t>绩效评价报告</w:t>
      </w: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rPr>
          <w:rFonts w:ascii="Times New Roman" w:hAnsi="Times New Roman" w:cs="Times New Roman"/>
          <w:sz w:val="21"/>
        </w:rPr>
      </w:pPr>
    </w:p>
    <w:p>
      <w:pPr>
        <w:spacing w:line="240" w:lineRule="auto"/>
        <w:jc w:val="center"/>
        <w:rPr>
          <w:rFonts w:hint="default" w:ascii="仿宋" w:hAnsi="仿宋" w:eastAsia="仿宋" w:cs="楷体"/>
          <w:bCs/>
          <w:sz w:val="32"/>
          <w:szCs w:val="32"/>
          <w:lang w:val="en-US" w:eastAsia="zh-CN"/>
        </w:rPr>
      </w:pPr>
      <w:r>
        <w:rPr>
          <w:rFonts w:hint="eastAsia" w:ascii="仿宋" w:hAnsi="仿宋" w:eastAsia="仿宋" w:cs="楷体"/>
          <w:bCs/>
          <w:sz w:val="32"/>
          <w:szCs w:val="32"/>
          <w:lang w:val="en-US" w:eastAsia="zh-CN"/>
        </w:rPr>
        <w:t>福州市韦兰信息科技有限公司</w:t>
      </w:r>
    </w:p>
    <w:p>
      <w:pPr>
        <w:spacing w:line="240" w:lineRule="auto"/>
        <w:jc w:val="center"/>
        <w:rPr>
          <w:rFonts w:hint="eastAsia" w:ascii="仿宋" w:hAnsi="仿宋" w:eastAsia="仿宋" w:cs="楷体"/>
          <w:bCs/>
          <w:sz w:val="32"/>
          <w:szCs w:val="32"/>
        </w:rPr>
      </w:pPr>
      <w:r>
        <w:rPr>
          <w:rFonts w:hint="eastAsia" w:ascii="仿宋" w:hAnsi="仿宋" w:eastAsia="仿宋" w:cs="楷体"/>
          <w:bCs/>
          <w:sz w:val="32"/>
          <w:szCs w:val="32"/>
        </w:rPr>
        <w:t>2023年11月</w:t>
      </w:r>
    </w:p>
    <w:p>
      <w:pPr>
        <w:adjustRightInd w:val="0"/>
        <w:snapToGrid w:val="0"/>
        <w:rPr>
          <w:rFonts w:ascii="Times New Roman" w:hAnsi="Times New Roman" w:cs="Times New Roman"/>
          <w:sz w:val="24"/>
        </w:rPr>
      </w:pPr>
    </w:p>
    <w:p>
      <w:pPr>
        <w:adjustRightInd w:val="0"/>
        <w:snapToGrid w:val="0"/>
        <w:rPr>
          <w:rFonts w:ascii="Times New Roman" w:hAnsi="Times New Roman" w:cs="Times New Roman"/>
          <w:sz w:val="24"/>
        </w:rPr>
      </w:pPr>
    </w:p>
    <w:p>
      <w:pPr>
        <w:adjustRightInd w:val="0"/>
        <w:snapToGrid w:val="0"/>
        <w:rPr>
          <w:rFonts w:ascii="Times New Roman" w:hAnsi="Times New Roman" w:cs="Times New Roman"/>
          <w:sz w:val="24"/>
        </w:rPr>
      </w:pPr>
    </w:p>
    <w:p>
      <w:pPr>
        <w:adjustRightInd w:val="0"/>
        <w:snapToGrid w:val="0"/>
        <w:rPr>
          <w:rFonts w:ascii="Times New Roman" w:hAnsi="Times New Roman" w:cs="Times New Roman"/>
          <w:sz w:val="24"/>
        </w:rPr>
      </w:pPr>
    </w:p>
    <w:p>
      <w:pPr>
        <w:adjustRightInd w:val="0"/>
        <w:snapToGrid w:val="0"/>
        <w:rPr>
          <w:rFonts w:ascii="Times New Roman" w:hAnsi="Times New Roman" w:cs="Times New Roman"/>
          <w:sz w:val="24"/>
        </w:rPr>
      </w:pPr>
    </w:p>
    <w:p>
      <w:pPr>
        <w:adjustRightInd w:val="0"/>
        <w:snapToGrid w:val="0"/>
        <w:rPr>
          <w:rFonts w:ascii="Times New Roman" w:hAnsi="Times New Roman" w:cs="Times New Roman"/>
          <w:sz w:val="24"/>
        </w:rPr>
        <w:sectPr>
          <w:headerReference r:id="rId5" w:type="default"/>
          <w:footerReference r:id="rId6" w:type="default"/>
          <w:pgSz w:w="11906" w:h="16838"/>
          <w:pgMar w:top="1440" w:right="1800" w:bottom="1440" w:left="1800" w:header="851" w:footer="992" w:gutter="0"/>
          <w:pgNumType w:fmt="upperRoman" w:start="1"/>
          <w:cols w:space="425" w:num="1"/>
          <w:docGrid w:type="lines" w:linePitch="312" w:charSpace="0"/>
        </w:sectPr>
      </w:pPr>
      <w:r>
        <w:rPr>
          <w:rFonts w:ascii="Times New Roman" w:hAnsi="Times New Roman" w:cs="Times New Roman"/>
          <w:sz w:val="24"/>
        </w:rPr>
        <w:br w:type="page"/>
      </w:r>
    </w:p>
    <w:p>
      <w:pPr>
        <w:adjustRightInd w:val="0"/>
        <w:snapToGrid w:val="0"/>
        <w:rPr>
          <w:rFonts w:ascii="宋体" w:hAnsi="宋体" w:cs="Times New Roman"/>
          <w:sz w:val="20"/>
          <w:szCs w:val="20"/>
        </w:rPr>
        <w:sectPr>
          <w:pgSz w:w="11906" w:h="16838"/>
          <w:pgMar w:top="1440" w:right="1800" w:bottom="1440" w:left="1800" w:header="851" w:footer="992" w:gutter="0"/>
          <w:pgNumType w:fmt="upperRoman" w:start="1"/>
          <w:cols w:space="425" w:num="1"/>
          <w:docGrid w:type="lines" w:linePitch="312" w:charSpace="0"/>
        </w:sectPr>
      </w:pPr>
    </w:p>
    <w:p>
      <w:pPr>
        <w:adjustRightInd w:val="0"/>
        <w:snapToGrid w:val="0"/>
        <w:rPr>
          <w:rFonts w:ascii="宋体" w:hAnsi="宋体" w:cs="Times New Roman"/>
          <w:b/>
          <w:sz w:val="36"/>
          <w:szCs w:val="36"/>
        </w:rPr>
      </w:pPr>
      <w:r>
        <w:rPr>
          <w:rFonts w:ascii="宋体" w:hAnsi="宋体" w:cs="Times New Roman"/>
          <w:sz w:val="20"/>
          <w:szCs w:val="20"/>
        </w:rPr>
        <w:t xml:space="preserve">                                                 </w:t>
      </w:r>
      <w:r>
        <w:rPr>
          <w:rFonts w:hint="eastAsia" w:ascii="宋体" w:hAnsi="宋体" w:cs="Times New Roman"/>
          <w:sz w:val="20"/>
          <w:szCs w:val="20"/>
        </w:rPr>
        <w:t xml:space="preserve">  </w:t>
      </w:r>
    </w:p>
    <w:p>
      <w:pPr>
        <w:adjustRightInd w:val="0"/>
        <w:snapToGrid w:val="0"/>
        <w:jc w:val="left"/>
        <w:rPr>
          <w:rFonts w:ascii="宋体" w:hAnsi="宋体" w:cs="宋体"/>
          <w:sz w:val="24"/>
        </w:rPr>
      </w:pPr>
      <w:r>
        <w:rPr>
          <w:rFonts w:ascii="宋体" w:hAnsi="宋体" w:cs="宋体"/>
          <w:sz w:val="24"/>
        </w:rPr>
        <w:drawing>
          <wp:inline distT="0" distB="0" distL="114300" distR="114300">
            <wp:extent cx="38100" cy="76200"/>
            <wp:effectExtent l="0" t="0" r="0" b="0"/>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9"/>
                    <a:stretch>
                      <a:fillRect/>
                    </a:stretch>
                  </pic:blipFill>
                  <pic:spPr>
                    <a:xfrm>
                      <a:off x="0" y="0"/>
                      <a:ext cx="38100" cy="76200"/>
                    </a:xfrm>
                    <a:prstGeom prst="rect">
                      <a:avLst/>
                    </a:prstGeom>
                    <a:noFill/>
                    <a:ln w="9525">
                      <a:noFill/>
                    </a:ln>
                  </pic:spPr>
                </pic:pic>
              </a:graphicData>
            </a:graphic>
          </wp:inline>
        </w:drawing>
      </w:r>
      <w:r>
        <w:rPr>
          <w:rFonts w:ascii="宋体" w:hAnsi="宋体" w:cs="宋体"/>
          <w:sz w:val="24"/>
        </w:rPr>
        <w:drawing>
          <wp:inline distT="0" distB="0" distL="114300" distR="114300">
            <wp:extent cx="38100" cy="76200"/>
            <wp:effectExtent l="0" t="0" r="0" b="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9"/>
                    <a:stretch>
                      <a:fillRect/>
                    </a:stretch>
                  </pic:blipFill>
                  <pic:spPr>
                    <a:xfrm>
                      <a:off x="0" y="0"/>
                      <a:ext cx="38100" cy="76200"/>
                    </a:xfrm>
                    <a:prstGeom prst="rect">
                      <a:avLst/>
                    </a:prstGeom>
                    <a:noFill/>
                    <a:ln w="9525">
                      <a:noFill/>
                    </a:ln>
                  </pic:spPr>
                </pic:pic>
              </a:graphicData>
            </a:graphic>
          </wp:inline>
        </w:drawing>
      </w:r>
    </w:p>
    <w:p>
      <w:pPr>
        <w:adjustRightInd w:val="0"/>
        <w:snapToGrid w:val="0"/>
        <w:jc w:val="left"/>
        <w:rPr>
          <w:rFonts w:ascii="宋体" w:hAnsi="宋体" w:cs="宋体"/>
          <w:sz w:val="24"/>
        </w:rPr>
      </w:pPr>
    </w:p>
    <w:p>
      <w:pPr>
        <w:adjustRightInd w:val="0"/>
        <w:snapToGrid w:val="0"/>
        <w:jc w:val="left"/>
        <w:rPr>
          <w:rFonts w:ascii="宋体" w:hAnsi="宋体" w:cs="宋体"/>
          <w:sz w:val="24"/>
        </w:rPr>
      </w:pPr>
    </w:p>
    <w:p>
      <w:pPr>
        <w:adjustRightInd w:val="0"/>
        <w:snapToGrid w:val="0"/>
        <w:ind w:firstLine="1400" w:firstLineChars="500"/>
        <w:jc w:val="left"/>
        <w:rPr>
          <w:rFonts w:hint="eastAsia" w:ascii="仿宋" w:hAnsi="仿宋" w:eastAsia="仿宋" w:cs="华光楷体一_CNKI"/>
          <w:bCs/>
          <w:color w:val="000000" w:themeColor="text1"/>
          <w:szCs w:val="28"/>
          <w:lang w:eastAsia="zh-CN"/>
          <w14:textFill>
            <w14:solidFill>
              <w14:schemeClr w14:val="tx1"/>
            </w14:solidFill>
          </w14:textFill>
        </w:rPr>
      </w:pPr>
      <w:r>
        <w:rPr>
          <w:rFonts w:hint="eastAsia" w:ascii="仿宋" w:hAnsi="仿宋" w:eastAsia="仿宋" w:cs="华光楷体一_CNKI"/>
          <w:bCs/>
          <w:color w:val="000000" w:themeColor="text1"/>
          <w:szCs w:val="28"/>
          <w:lang w:eastAsia="zh-CN"/>
          <w14:textFill>
            <w14:solidFill>
              <w14:schemeClr w14:val="tx1"/>
            </w14:solidFill>
          </w14:textFill>
        </w:rPr>
        <w:drawing>
          <wp:inline distT="0" distB="0" distL="114300" distR="114300">
            <wp:extent cx="922020" cy="854710"/>
            <wp:effectExtent l="0" t="0" r="5080" b="8890"/>
            <wp:docPr id="3" name="图片 3" descr="1701352455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01352455002"/>
                    <pic:cNvPicPr>
                      <a:picLocks noChangeAspect="1"/>
                    </pic:cNvPicPr>
                  </pic:nvPicPr>
                  <pic:blipFill>
                    <a:blip r:embed="rId10"/>
                    <a:stretch>
                      <a:fillRect/>
                    </a:stretch>
                  </pic:blipFill>
                  <pic:spPr>
                    <a:xfrm>
                      <a:off x="0" y="0"/>
                      <a:ext cx="922020" cy="854710"/>
                    </a:xfrm>
                    <a:prstGeom prst="rect">
                      <a:avLst/>
                    </a:prstGeom>
                  </pic:spPr>
                </pic:pic>
              </a:graphicData>
            </a:graphic>
          </wp:inline>
        </w:drawing>
      </w:r>
      <w:r>
        <w:rPr>
          <w:rFonts w:hint="eastAsia" w:ascii="仿宋" w:hAnsi="仿宋" w:eastAsia="仿宋" w:cs="华光楷体一_CNKI"/>
          <w:bCs/>
          <w:color w:val="000000" w:themeColor="text1"/>
          <w:szCs w:val="28"/>
          <w:lang w:eastAsia="zh-CN"/>
          <w14:textFill>
            <w14:solidFill>
              <w14:schemeClr w14:val="tx1"/>
            </w14:solidFill>
          </w14:textFill>
        </w:rPr>
        <w:drawing>
          <wp:inline distT="0" distB="0" distL="114300" distR="114300">
            <wp:extent cx="3230880" cy="377190"/>
            <wp:effectExtent l="0" t="0" r="7620" b="3810"/>
            <wp:docPr id="4" name="图片 4" descr="1701352479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01352479443"/>
                    <pic:cNvPicPr>
                      <a:picLocks noChangeAspect="1"/>
                    </pic:cNvPicPr>
                  </pic:nvPicPr>
                  <pic:blipFill>
                    <a:blip r:embed="rId11"/>
                    <a:stretch>
                      <a:fillRect/>
                    </a:stretch>
                  </pic:blipFill>
                  <pic:spPr>
                    <a:xfrm>
                      <a:off x="0" y="0"/>
                      <a:ext cx="3230880" cy="377190"/>
                    </a:xfrm>
                    <a:prstGeom prst="rect">
                      <a:avLst/>
                    </a:prstGeom>
                  </pic:spPr>
                </pic:pic>
              </a:graphicData>
            </a:graphic>
          </wp:inline>
        </w:drawing>
      </w:r>
    </w:p>
    <w:p>
      <w:pPr>
        <w:adjustRightInd w:val="0"/>
        <w:snapToGrid w:val="0"/>
        <w:ind w:firstLine="1400" w:firstLineChars="500"/>
        <w:jc w:val="left"/>
        <w:rPr>
          <w:rFonts w:ascii="仿宋" w:hAnsi="仿宋" w:eastAsia="仿宋" w:cs="华光楷体一_CNKI"/>
          <w:bCs/>
          <w:color w:val="000000" w:themeColor="text1"/>
          <w:szCs w:val="28"/>
          <w14:textFill>
            <w14:solidFill>
              <w14:schemeClr w14:val="tx1"/>
            </w14:solidFill>
          </w14:textFill>
        </w:rPr>
      </w:pPr>
    </w:p>
    <w:p>
      <w:pPr>
        <w:adjustRightInd w:val="0"/>
        <w:snapToGrid w:val="0"/>
        <w:ind w:firstLine="1400" w:firstLineChars="500"/>
        <w:jc w:val="left"/>
        <w:rPr>
          <w:rFonts w:ascii="仿宋" w:hAnsi="仿宋" w:eastAsia="仿宋" w:cs="华光楷体一_CNKI"/>
          <w:bCs/>
          <w:szCs w:val="28"/>
        </w:rPr>
      </w:pPr>
    </w:p>
    <w:p>
      <w:pPr>
        <w:adjustRightInd w:val="0"/>
        <w:snapToGrid w:val="0"/>
        <w:jc w:val="left"/>
        <w:rPr>
          <w:rFonts w:ascii="华光楷体一_CNKI" w:hAnsi="华光楷体一_CNKI" w:eastAsia="华光楷体一_CNKI" w:cs="华光楷体一_CNKI"/>
          <w:bCs/>
          <w:szCs w:val="28"/>
        </w:rPr>
      </w:pPr>
    </w:p>
    <w:p>
      <w:pPr>
        <w:adjustRightInd w:val="0"/>
        <w:snapToGrid w:val="0"/>
        <w:ind w:firstLine="1400" w:firstLineChars="500"/>
        <w:jc w:val="left"/>
        <w:rPr>
          <w:rFonts w:ascii="华光楷体一_CNKI" w:hAnsi="华光楷体一_CNKI" w:eastAsia="华光楷体一_CNKI" w:cs="华光楷体一_CNKI"/>
          <w:bCs/>
          <w:szCs w:val="28"/>
        </w:rPr>
      </w:pPr>
    </w:p>
    <w:p>
      <w:pPr>
        <w:adjustRightInd w:val="0"/>
        <w:snapToGrid w:val="0"/>
        <w:ind w:firstLine="1400" w:firstLineChars="500"/>
        <w:jc w:val="left"/>
        <w:rPr>
          <w:rFonts w:ascii="华光楷体一_CNKI" w:hAnsi="华光楷体一_CNKI" w:eastAsia="华光楷体一_CNKI" w:cs="华光楷体一_CNKI"/>
          <w:bCs/>
          <w:szCs w:val="28"/>
        </w:rPr>
      </w:pPr>
    </w:p>
    <w:p>
      <w:pPr>
        <w:adjustRightInd w:val="0"/>
        <w:snapToGrid w:val="0"/>
        <w:ind w:firstLine="1400" w:firstLineChars="500"/>
        <w:jc w:val="left"/>
        <w:rPr>
          <w:rFonts w:ascii="华光楷体一_CNKI" w:hAnsi="华光楷体一_CNKI" w:eastAsia="华光楷体一_CNKI" w:cs="华光楷体一_CNKI"/>
          <w:bCs/>
          <w:szCs w:val="28"/>
        </w:rPr>
      </w:pPr>
    </w:p>
    <w:p>
      <w:pPr>
        <w:adjustRightInd w:val="0"/>
        <w:snapToGrid w:val="0"/>
        <w:ind w:firstLine="1400" w:firstLineChars="500"/>
        <w:jc w:val="left"/>
        <w:rPr>
          <w:rFonts w:ascii="华光楷体一_CNKI" w:hAnsi="华光楷体一_CNKI" w:eastAsia="华光楷体一_CNKI" w:cs="华光楷体一_CNKI"/>
          <w:bCs/>
          <w:szCs w:val="28"/>
        </w:rPr>
      </w:pPr>
    </w:p>
    <w:p>
      <w:pPr>
        <w:adjustRightInd w:val="0"/>
        <w:snapToGrid w:val="0"/>
        <w:ind w:firstLine="1400" w:firstLineChars="500"/>
        <w:jc w:val="left"/>
        <w:rPr>
          <w:rFonts w:ascii="Times New Roman" w:hAnsi="Times New Roman" w:eastAsia="仿宋" w:cs="华光楷体一_CNKI"/>
          <w:bCs/>
          <w:szCs w:val="28"/>
        </w:rPr>
      </w:pPr>
    </w:p>
    <w:p>
      <w:pPr>
        <w:adjustRightInd w:val="0"/>
        <w:snapToGrid w:val="0"/>
        <w:ind w:firstLine="1400" w:firstLineChars="500"/>
        <w:jc w:val="left"/>
        <w:rPr>
          <w:rFonts w:ascii="Times New Roman" w:hAnsi="Times New Roman" w:eastAsia="仿宋" w:cs="华光楷体一_CNKI"/>
          <w:bCs/>
          <w:szCs w:val="28"/>
        </w:rPr>
      </w:pPr>
    </w:p>
    <w:p>
      <w:pPr>
        <w:adjustRightInd w:val="0"/>
        <w:snapToGrid w:val="0"/>
        <w:ind w:firstLine="960" w:firstLineChars="400"/>
        <w:jc w:val="left"/>
        <w:rPr>
          <w:rFonts w:ascii="Times New Roman" w:hAnsi="Times New Roman" w:eastAsia="仿宋" w:cs="楷体"/>
          <w:bCs/>
          <w:sz w:val="24"/>
          <w:szCs w:val="24"/>
        </w:rPr>
      </w:pPr>
      <w:r>
        <w:rPr>
          <w:rFonts w:hint="eastAsia" w:ascii="Times New Roman" w:hAnsi="Times New Roman" w:eastAsia="仿宋" w:cs="楷体"/>
          <w:bCs/>
          <w:sz w:val="24"/>
          <w:szCs w:val="24"/>
        </w:rPr>
        <w:t xml:space="preserve">主评人签字：刘琨  </w:t>
      </w:r>
    </w:p>
    <w:p>
      <w:pPr>
        <w:adjustRightInd w:val="0"/>
        <w:snapToGrid w:val="0"/>
        <w:ind w:firstLine="1200" w:firstLineChars="500"/>
        <w:jc w:val="center"/>
        <w:rPr>
          <w:rFonts w:ascii="Times New Roman" w:hAnsi="Times New Roman" w:eastAsia="仿宋" w:cs="楷体"/>
          <w:bCs/>
          <w:sz w:val="24"/>
          <w:szCs w:val="24"/>
        </w:rPr>
      </w:pPr>
    </w:p>
    <w:p>
      <w:pPr>
        <w:adjustRightInd w:val="0"/>
        <w:snapToGrid w:val="0"/>
        <w:ind w:firstLine="960" w:firstLineChars="400"/>
        <w:jc w:val="left"/>
        <w:rPr>
          <w:rFonts w:ascii="Times New Roman" w:hAnsi="Times New Roman" w:eastAsia="仿宋" w:cs="Times New Roman"/>
          <w:b/>
          <w:szCs w:val="36"/>
        </w:rPr>
      </w:pPr>
      <w:r>
        <w:rPr>
          <w:rFonts w:hint="eastAsia" w:ascii="Times New Roman" w:hAnsi="Times New Roman" w:eastAsia="仿宋" w:cs="楷体"/>
          <w:bCs/>
          <w:sz w:val="24"/>
          <w:szCs w:val="24"/>
        </w:rPr>
        <w:t xml:space="preserve">组       </w:t>
      </w:r>
      <w:r>
        <w:rPr>
          <w:rFonts w:hint="eastAsia" w:ascii="Times New Roman" w:hAnsi="Times New Roman" w:eastAsia="仿宋" w:cs="楷体"/>
          <w:bCs/>
          <w:sz w:val="24"/>
          <w:szCs w:val="24"/>
          <w:lang w:val="en-US" w:eastAsia="zh-CN"/>
        </w:rPr>
        <w:t xml:space="preserve">     </w:t>
      </w:r>
      <w:r>
        <w:rPr>
          <w:rFonts w:hint="eastAsia" w:ascii="Times New Roman" w:hAnsi="Times New Roman" w:eastAsia="仿宋" w:cs="楷体"/>
          <w:bCs/>
          <w:sz w:val="24"/>
          <w:szCs w:val="24"/>
        </w:rPr>
        <w:t>员：潘键群</w:t>
      </w:r>
      <w:r>
        <w:rPr>
          <w:rFonts w:hint="eastAsia" w:ascii="Times New Roman" w:hAnsi="Times New Roman" w:eastAsia="仿宋" w:cs="楷体"/>
          <w:bCs/>
          <w:sz w:val="24"/>
          <w:szCs w:val="24"/>
          <w:lang w:val="en-US" w:eastAsia="zh-CN"/>
        </w:rPr>
        <w:t xml:space="preserve"> </w:t>
      </w:r>
      <w:r>
        <w:rPr>
          <w:rFonts w:ascii="Times New Roman" w:hAnsi="Times New Roman" w:eastAsia="仿宋" w:cs="楷体"/>
          <w:bCs/>
          <w:sz w:val="24"/>
          <w:szCs w:val="24"/>
        </w:rPr>
        <w:t xml:space="preserve">苏晓 </w:t>
      </w:r>
      <w:r>
        <w:rPr>
          <w:rFonts w:hint="eastAsia" w:ascii="Times New Roman" w:hAnsi="Times New Roman" w:eastAsia="仿宋" w:cs="楷体"/>
          <w:bCs/>
          <w:sz w:val="24"/>
          <w:szCs w:val="24"/>
        </w:rPr>
        <w:t>江萍 赖浏安 廖昕怡 朱瑛 李桐</w:t>
      </w:r>
      <w:r>
        <w:rPr>
          <w:rFonts w:hint="eastAsia" w:ascii="Times New Roman" w:hAnsi="Times New Roman" w:eastAsia="仿宋" w:cs="楷体"/>
          <w:bCs/>
          <w:szCs w:val="28"/>
        </w:rPr>
        <w:t xml:space="preserve"> </w:t>
      </w:r>
    </w:p>
    <w:p>
      <w:pPr>
        <w:adjustRightInd w:val="0"/>
        <w:snapToGrid w:val="0"/>
        <w:ind w:firstLine="1004" w:firstLineChars="500"/>
        <w:jc w:val="left"/>
        <w:rPr>
          <w:rFonts w:ascii="宋体" w:hAnsi="宋体" w:cs="Arial"/>
          <w:b/>
          <w:kern w:val="0"/>
          <w:sz w:val="20"/>
          <w:szCs w:val="20"/>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宋体" w:hAnsi="宋体" w:cs="Arial"/>
          <w:b/>
          <w:kern w:val="0"/>
          <w:sz w:val="20"/>
          <w:szCs w:val="20"/>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宋体" w:hAnsi="宋体" w:cs="Arial"/>
          <w:b/>
          <w:kern w:val="0"/>
          <w:sz w:val="20"/>
          <w:szCs w:val="20"/>
        </w:rPr>
      </w:pPr>
      <w:r>
        <w:rPr>
          <w:rFonts w:ascii="宋体" w:hAnsi="宋体" w:cs="宋体"/>
          <w:kern w:val="0"/>
          <w:sz w:val="20"/>
          <w:szCs w:val="20"/>
        </w:rPr>
        <w:t>　</w:t>
      </w:r>
    </w:p>
    <w:p>
      <w:pPr>
        <w:widowControl/>
        <w:adjustRightInd w:val="0"/>
        <w:snapToGrid w:val="0"/>
        <w:jc w:val="left"/>
        <w:rPr>
          <w:rFonts w:ascii="宋体" w:hAnsi="宋体" w:cs="宋体"/>
          <w:kern w:val="0"/>
          <w:sz w:val="20"/>
          <w:szCs w:val="20"/>
        </w:rPr>
      </w:pPr>
      <w:r>
        <w:rPr>
          <w:rFonts w:ascii="宋体" w:hAnsi="宋体" w:cs="宋体"/>
          <w:sz w:val="20"/>
          <w:szCs w:val="20"/>
        </w:rPr>
        <w:br w:type="page"/>
      </w:r>
    </w:p>
    <w:p>
      <w:pPr>
        <w:widowControl/>
        <w:tabs>
          <w:tab w:val="left" w:pos="615"/>
        </w:tabs>
        <w:adjustRightInd w:val="0"/>
        <w:snapToGrid w:val="0"/>
        <w:jc w:val="left"/>
        <w:rPr>
          <w:rFonts w:ascii="宋体" w:hAnsi="宋体" w:cs="宋体"/>
          <w:kern w:val="0"/>
          <w:sz w:val="20"/>
          <w:szCs w:val="20"/>
        </w:rPr>
      </w:pPr>
      <w:r>
        <w:rPr>
          <w:rFonts w:ascii="宋体" w:hAnsi="宋体" w:cs="宋体"/>
          <w:kern w:val="0"/>
          <w:sz w:val="20"/>
          <w:szCs w:val="20"/>
        </w:rPr>
        <w:tab/>
      </w:r>
    </w:p>
    <w:p>
      <w:pPr>
        <w:spacing w:line="240" w:lineRule="auto"/>
        <w:rPr>
          <w:rFonts w:ascii="Times New Roman" w:hAnsi="Times New Roman" w:cs="Times New Roman"/>
          <w:sz w:val="24"/>
        </w:rPr>
      </w:pPr>
    </w:p>
    <w:p>
      <w:pPr>
        <w:spacing w:line="240" w:lineRule="auto"/>
        <w:rPr>
          <w:rFonts w:ascii="Times New Roman" w:hAnsi="Times New Roman" w:cs="Times New Roman"/>
          <w:sz w:val="24"/>
        </w:rPr>
        <w:sectPr>
          <w:pgSz w:w="11906" w:h="16838"/>
          <w:pgMar w:top="1440" w:right="1800" w:bottom="1440" w:left="1800" w:header="851" w:footer="992" w:gutter="0"/>
          <w:pgNumType w:fmt="upperRoman" w:start="1"/>
          <w:cols w:space="425" w:num="1"/>
          <w:docGrid w:type="lines" w:linePitch="312" w:charSpace="0"/>
        </w:sectPr>
      </w:pPr>
      <w:r>
        <w:rPr>
          <w:rFonts w:ascii="Times New Roman" w:hAnsi="Times New Roman" w:cs="Times New Roman"/>
          <w:sz w:val="24"/>
        </w:rPr>
        <w:br w:type="page"/>
      </w:r>
      <w:bookmarkEnd w:id="0"/>
    </w:p>
    <w:sdt>
      <w:sdtPr>
        <w:rPr>
          <w:rStyle w:val="12"/>
          <w:rFonts w:hint="eastAsia" w:ascii="黑体" w:hAnsi="黑体" w:eastAsia="黑体" w:cs="黑体"/>
        </w:rPr>
        <w:id w:val="-1739864054"/>
        <w:docPartObj>
          <w:docPartGallery w:val="Table of Contents"/>
          <w:docPartUnique/>
        </w:docPartObj>
      </w:sdtPr>
      <w:sdtEndPr>
        <w:rPr>
          <w:rStyle w:val="11"/>
          <w:rFonts w:hint="eastAsia" w:ascii="黑体" w:hAnsi="黑体" w:eastAsia="黑体" w:cs="黑体"/>
          <w:b/>
          <w:bCs/>
          <w:color w:val="auto"/>
          <w:u w:val="none"/>
          <w:lang w:val="zh-CN"/>
        </w:rPr>
      </w:sdtEndPr>
      <w:sdtContent>
        <w:p>
          <w:pPr>
            <w:jc w:val="center"/>
            <w:rPr>
              <w:rFonts w:ascii="Times New Roman" w:hAnsi="Times New Roman" w:eastAsia="仿宋" w:cs="仿宋"/>
              <w:b/>
              <w:bCs/>
              <w:sz w:val="36"/>
              <w:szCs w:val="36"/>
            </w:rPr>
          </w:pPr>
          <w:bookmarkStart w:id="7" w:name="_Toc2016465260"/>
          <w:r>
            <w:rPr>
              <w:rFonts w:hint="eastAsia" w:ascii="Times New Roman" w:hAnsi="Times New Roman" w:eastAsia="仿宋" w:cs="仿宋"/>
              <w:b/>
              <w:bCs/>
              <w:sz w:val="36"/>
              <w:szCs w:val="36"/>
            </w:rPr>
            <w:t>目录</w:t>
          </w:r>
        </w:p>
        <w:p>
          <w:pPr>
            <w:pStyle w:val="7"/>
            <w:tabs>
              <w:tab w:val="right" w:leader="dot" w:pos="8306"/>
            </w:tabs>
            <w:rPr>
              <w:rFonts w:ascii="Times New Roman" w:hAnsi="Times New Roman" w:eastAsia="仿宋" w:cs="仿宋"/>
            </w:rPr>
          </w:pPr>
          <w:r>
            <w:rPr>
              <w:rFonts w:hint="eastAsia" w:ascii="Times New Roman" w:hAnsi="Times New Roman" w:eastAsia="仿宋" w:cs="仿宋"/>
            </w:rPr>
            <w:fldChar w:fldCharType="begin"/>
          </w:r>
          <w:r>
            <w:rPr>
              <w:rFonts w:hint="eastAsia" w:ascii="Times New Roman" w:hAnsi="Times New Roman" w:eastAsia="仿宋" w:cs="仿宋"/>
            </w:rPr>
            <w:instrText xml:space="preserve"> TOC \o "1-3" \h \z \u </w:instrText>
          </w:r>
          <w:r>
            <w:rPr>
              <w:rFonts w:hint="eastAsia" w:ascii="Times New Roman" w:hAnsi="Times New Roman" w:eastAsia="仿宋" w:cs="仿宋"/>
            </w:rPr>
            <w:fldChar w:fldCharType="separate"/>
          </w:r>
          <w:r>
            <w:fldChar w:fldCharType="begin"/>
          </w:r>
          <w:r>
            <w:instrText xml:space="preserve"> HYPERLINK \l "_Toc7432" </w:instrText>
          </w:r>
          <w:r>
            <w:fldChar w:fldCharType="separate"/>
          </w:r>
          <w:r>
            <w:rPr>
              <w:rFonts w:hint="eastAsia" w:ascii="Times New Roman" w:hAnsi="Times New Roman" w:eastAsia="仿宋" w:cs="仿宋"/>
              <w:szCs w:val="36"/>
            </w:rPr>
            <w:t>第一部分 专项资金基本概况</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_Toc7432 \h </w:instrText>
          </w:r>
          <w:r>
            <w:rPr>
              <w:rFonts w:hint="eastAsia" w:ascii="Times New Roman" w:hAnsi="Times New Roman" w:eastAsia="仿宋" w:cs="仿宋"/>
            </w:rPr>
            <w:fldChar w:fldCharType="separate"/>
          </w:r>
          <w:r>
            <w:rPr>
              <w:rFonts w:ascii="Times New Roman" w:hAnsi="Times New Roman" w:eastAsia="仿宋" w:cs="仿宋"/>
            </w:rPr>
            <w:t>1</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"_Toc20233" </w:instrText>
          </w:r>
          <w:r>
            <w:fldChar w:fldCharType="separate"/>
          </w:r>
          <w:r>
            <w:rPr>
              <w:rFonts w:hint="eastAsia" w:ascii="Times New Roman" w:hAnsi="Times New Roman" w:eastAsia="仿宋" w:cs="仿宋"/>
              <w:szCs w:val="32"/>
            </w:rPr>
            <w:t>一、专项资金实施背景</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_Toc20233 \h </w:instrText>
          </w:r>
          <w:r>
            <w:rPr>
              <w:rFonts w:hint="eastAsia" w:ascii="Times New Roman" w:hAnsi="Times New Roman" w:eastAsia="仿宋" w:cs="仿宋"/>
            </w:rPr>
            <w:fldChar w:fldCharType="separate"/>
          </w:r>
          <w:r>
            <w:rPr>
              <w:rFonts w:ascii="Times New Roman" w:hAnsi="Times New Roman" w:eastAsia="仿宋" w:cs="仿宋"/>
            </w:rPr>
            <w:t>1</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"_Toc3509" </w:instrText>
          </w:r>
          <w:r>
            <w:fldChar w:fldCharType="separate"/>
          </w:r>
          <w:r>
            <w:rPr>
              <w:rFonts w:hint="eastAsia" w:ascii="Times New Roman" w:hAnsi="Times New Roman" w:eastAsia="仿宋" w:cs="仿宋"/>
              <w:szCs w:val="32"/>
            </w:rPr>
            <w:t>二、专项资金实施依据</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_Toc3509 \h </w:instrText>
          </w:r>
          <w:r>
            <w:rPr>
              <w:rFonts w:hint="eastAsia" w:ascii="Times New Roman" w:hAnsi="Times New Roman" w:eastAsia="仿宋" w:cs="仿宋"/>
            </w:rPr>
            <w:fldChar w:fldCharType="separate"/>
          </w:r>
          <w:r>
            <w:rPr>
              <w:rFonts w:ascii="Times New Roman" w:hAnsi="Times New Roman" w:eastAsia="仿宋" w:cs="仿宋"/>
            </w:rPr>
            <w:t>2</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"_Toc17689" </w:instrText>
          </w:r>
          <w:r>
            <w:fldChar w:fldCharType="separate"/>
          </w:r>
          <w:r>
            <w:rPr>
              <w:rFonts w:hint="eastAsia" w:ascii="Times New Roman" w:hAnsi="Times New Roman" w:eastAsia="仿宋" w:cs="仿宋"/>
              <w:szCs w:val="32"/>
            </w:rPr>
            <w:t>三、专项资金实施目标</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_Toc17689 \h </w:instrText>
          </w:r>
          <w:r>
            <w:rPr>
              <w:rFonts w:hint="eastAsia" w:ascii="Times New Roman" w:hAnsi="Times New Roman" w:eastAsia="仿宋" w:cs="仿宋"/>
            </w:rPr>
            <w:fldChar w:fldCharType="separate"/>
          </w:r>
          <w:r>
            <w:rPr>
              <w:rFonts w:ascii="Times New Roman" w:hAnsi="Times New Roman" w:eastAsia="仿宋" w:cs="仿宋"/>
            </w:rPr>
            <w:t>2</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"_Toc12390" </w:instrText>
          </w:r>
          <w:r>
            <w:fldChar w:fldCharType="separate"/>
          </w:r>
          <w:r>
            <w:rPr>
              <w:rFonts w:hint="eastAsia" w:ascii="Times New Roman" w:hAnsi="Times New Roman" w:eastAsia="仿宋" w:cs="仿宋"/>
              <w:szCs w:val="32"/>
            </w:rPr>
            <w:t>四、专项资金执行情况</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_Toc12390 \h </w:instrText>
          </w:r>
          <w:r>
            <w:rPr>
              <w:rFonts w:hint="eastAsia" w:ascii="Times New Roman" w:hAnsi="Times New Roman" w:eastAsia="仿宋" w:cs="仿宋"/>
            </w:rPr>
            <w:fldChar w:fldCharType="separate"/>
          </w:r>
          <w:r>
            <w:rPr>
              <w:rFonts w:ascii="Times New Roman" w:hAnsi="Times New Roman" w:eastAsia="仿宋" w:cs="仿宋"/>
            </w:rPr>
            <w:t>3</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"_Toc14082" </w:instrText>
          </w:r>
          <w:r>
            <w:fldChar w:fldCharType="separate"/>
          </w:r>
          <w:r>
            <w:rPr>
              <w:rFonts w:hint="eastAsia" w:ascii="Times New Roman" w:hAnsi="Times New Roman" w:eastAsia="仿宋" w:cs="仿宋"/>
              <w:szCs w:val="32"/>
            </w:rPr>
            <w:t>五、专项资金管理流程</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_Toc14082 \h </w:instrText>
          </w:r>
          <w:r>
            <w:rPr>
              <w:rFonts w:hint="eastAsia" w:ascii="Times New Roman" w:hAnsi="Times New Roman" w:eastAsia="仿宋" w:cs="仿宋"/>
            </w:rPr>
            <w:fldChar w:fldCharType="separate"/>
          </w:r>
          <w:r>
            <w:rPr>
              <w:rFonts w:ascii="Times New Roman" w:hAnsi="Times New Roman" w:eastAsia="仿宋" w:cs="仿宋"/>
            </w:rPr>
            <w:t>4</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7"/>
            <w:tabs>
              <w:tab w:val="right" w:leader="dot" w:pos="8306"/>
            </w:tabs>
            <w:rPr>
              <w:rFonts w:ascii="Times New Roman" w:hAnsi="Times New Roman" w:eastAsia="仿宋" w:cs="仿宋"/>
            </w:rPr>
          </w:pPr>
          <w:r>
            <w:fldChar w:fldCharType="begin"/>
          </w:r>
          <w:r>
            <w:instrText xml:space="preserve"> HYPERLINK \l "_Toc4828" </w:instrText>
          </w:r>
          <w:r>
            <w:fldChar w:fldCharType="separate"/>
          </w:r>
          <w:r>
            <w:rPr>
              <w:rFonts w:hint="eastAsia" w:ascii="Times New Roman" w:hAnsi="Times New Roman" w:eastAsia="仿宋" w:cs="仿宋"/>
              <w:szCs w:val="36"/>
            </w:rPr>
            <w:t>第二部分 绩效评价工作开展情况</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_Toc4828 \h </w:instrText>
          </w:r>
          <w:r>
            <w:rPr>
              <w:rFonts w:hint="eastAsia" w:ascii="Times New Roman" w:hAnsi="Times New Roman" w:eastAsia="仿宋" w:cs="仿宋"/>
            </w:rPr>
            <w:fldChar w:fldCharType="separate"/>
          </w:r>
          <w:r>
            <w:rPr>
              <w:rFonts w:ascii="Times New Roman" w:hAnsi="Times New Roman" w:eastAsia="仿宋" w:cs="仿宋"/>
            </w:rPr>
            <w:t>6</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"_Toc5298" </w:instrText>
          </w:r>
          <w:r>
            <w:fldChar w:fldCharType="separate"/>
          </w:r>
          <w:r>
            <w:rPr>
              <w:rFonts w:hint="eastAsia" w:ascii="Times New Roman" w:hAnsi="Times New Roman" w:eastAsia="仿宋" w:cs="仿宋"/>
              <w:szCs w:val="32"/>
            </w:rPr>
            <w:t>一、评价工作组介绍</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_Toc5298 \h </w:instrText>
          </w:r>
          <w:r>
            <w:rPr>
              <w:rFonts w:hint="eastAsia" w:ascii="Times New Roman" w:hAnsi="Times New Roman" w:eastAsia="仿宋" w:cs="仿宋"/>
            </w:rPr>
            <w:fldChar w:fldCharType="separate"/>
          </w:r>
          <w:r>
            <w:rPr>
              <w:rFonts w:ascii="Times New Roman" w:hAnsi="Times New Roman" w:eastAsia="仿宋" w:cs="仿宋"/>
            </w:rPr>
            <w:t>6</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"_Toc25009" </w:instrText>
          </w:r>
          <w:r>
            <w:fldChar w:fldCharType="separate"/>
          </w:r>
          <w:r>
            <w:rPr>
              <w:rFonts w:hint="eastAsia" w:ascii="Times New Roman" w:hAnsi="Times New Roman" w:eastAsia="仿宋" w:cs="仿宋"/>
              <w:szCs w:val="32"/>
            </w:rPr>
            <w:t>二、评价目的</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_Toc25009 \h </w:instrText>
          </w:r>
          <w:r>
            <w:rPr>
              <w:rFonts w:hint="eastAsia" w:ascii="Times New Roman" w:hAnsi="Times New Roman" w:eastAsia="仿宋" w:cs="仿宋"/>
            </w:rPr>
            <w:fldChar w:fldCharType="separate"/>
          </w:r>
          <w:r>
            <w:rPr>
              <w:rFonts w:ascii="Times New Roman" w:hAnsi="Times New Roman" w:eastAsia="仿宋" w:cs="仿宋"/>
            </w:rPr>
            <w:t>6</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"_Toc2847" </w:instrText>
          </w:r>
          <w:r>
            <w:fldChar w:fldCharType="separate"/>
          </w:r>
          <w:r>
            <w:rPr>
              <w:rFonts w:hint="eastAsia" w:ascii="Times New Roman" w:hAnsi="Times New Roman" w:eastAsia="仿宋" w:cs="仿宋"/>
              <w:bCs/>
              <w:szCs w:val="28"/>
            </w:rPr>
            <w:t>（一）评价专项资金管理的规范性和合理性</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_Toc2847 \h </w:instrText>
          </w:r>
          <w:r>
            <w:rPr>
              <w:rFonts w:hint="eastAsia" w:ascii="Times New Roman" w:hAnsi="Times New Roman" w:eastAsia="仿宋" w:cs="仿宋"/>
            </w:rPr>
            <w:fldChar w:fldCharType="separate"/>
          </w:r>
          <w:r>
            <w:rPr>
              <w:rFonts w:ascii="Times New Roman" w:hAnsi="Times New Roman" w:eastAsia="仿宋" w:cs="仿宋"/>
            </w:rPr>
            <w:t>6</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"_Toc1474" </w:instrText>
          </w:r>
          <w:r>
            <w:fldChar w:fldCharType="separate"/>
          </w:r>
          <w:r>
            <w:rPr>
              <w:rFonts w:hint="eastAsia" w:ascii="Times New Roman" w:hAnsi="Times New Roman" w:eastAsia="仿宋" w:cs="仿宋"/>
              <w:bCs/>
              <w:szCs w:val="28"/>
            </w:rPr>
            <w:t>（二）评价专项资金的产出和效果</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_Toc1474 \h </w:instrText>
          </w:r>
          <w:r>
            <w:rPr>
              <w:rFonts w:hint="eastAsia" w:ascii="Times New Roman" w:hAnsi="Times New Roman" w:eastAsia="仿宋" w:cs="仿宋"/>
            </w:rPr>
            <w:fldChar w:fldCharType="separate"/>
          </w:r>
          <w:r>
            <w:rPr>
              <w:rFonts w:ascii="Times New Roman" w:hAnsi="Times New Roman" w:eastAsia="仿宋" w:cs="仿宋"/>
            </w:rPr>
            <w:t>6</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"_Toc30854" </w:instrText>
          </w:r>
          <w:r>
            <w:fldChar w:fldCharType="separate"/>
          </w:r>
          <w:r>
            <w:rPr>
              <w:rFonts w:hint="eastAsia" w:ascii="Times New Roman" w:hAnsi="Times New Roman" w:eastAsia="仿宋" w:cs="仿宋"/>
              <w:bCs/>
              <w:szCs w:val="28"/>
            </w:rPr>
            <w:t>（三）保障事业单位退休人员权益，提高服务水平</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_Toc30854 \h </w:instrText>
          </w:r>
          <w:r>
            <w:rPr>
              <w:rFonts w:hint="eastAsia" w:ascii="Times New Roman" w:hAnsi="Times New Roman" w:eastAsia="仿宋" w:cs="仿宋"/>
            </w:rPr>
            <w:fldChar w:fldCharType="separate"/>
          </w:r>
          <w:r>
            <w:rPr>
              <w:rFonts w:ascii="Times New Roman" w:hAnsi="Times New Roman" w:eastAsia="仿宋" w:cs="仿宋"/>
            </w:rPr>
            <w:t>7</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"_Toc25055" </w:instrText>
          </w:r>
          <w:r>
            <w:fldChar w:fldCharType="separate"/>
          </w:r>
          <w:r>
            <w:rPr>
              <w:rFonts w:hint="eastAsia" w:ascii="Times New Roman" w:hAnsi="Times New Roman" w:eastAsia="仿宋" w:cs="仿宋"/>
              <w:szCs w:val="32"/>
            </w:rPr>
            <w:t>三、评价对象</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_Toc25055 \h </w:instrText>
          </w:r>
          <w:r>
            <w:rPr>
              <w:rFonts w:hint="eastAsia" w:ascii="Times New Roman" w:hAnsi="Times New Roman" w:eastAsia="仿宋" w:cs="仿宋"/>
            </w:rPr>
            <w:fldChar w:fldCharType="separate"/>
          </w:r>
          <w:r>
            <w:rPr>
              <w:rFonts w:ascii="Times New Roman" w:hAnsi="Times New Roman" w:eastAsia="仿宋" w:cs="仿宋"/>
            </w:rPr>
            <w:t>7</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"_Toc25561" </w:instrText>
          </w:r>
          <w:r>
            <w:fldChar w:fldCharType="separate"/>
          </w:r>
          <w:r>
            <w:rPr>
              <w:rFonts w:hint="eastAsia" w:ascii="Times New Roman" w:hAnsi="Times New Roman" w:eastAsia="仿宋" w:cs="仿宋"/>
              <w:szCs w:val="32"/>
            </w:rPr>
            <w:t>四、评价范围</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_Toc25561 \h </w:instrText>
          </w:r>
          <w:r>
            <w:rPr>
              <w:rFonts w:hint="eastAsia" w:ascii="Times New Roman" w:hAnsi="Times New Roman" w:eastAsia="仿宋" w:cs="仿宋"/>
            </w:rPr>
            <w:fldChar w:fldCharType="separate"/>
          </w:r>
          <w:r>
            <w:rPr>
              <w:rFonts w:ascii="Times New Roman" w:hAnsi="Times New Roman" w:eastAsia="仿宋" w:cs="仿宋"/>
            </w:rPr>
            <w:t>7</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"_Toc23311" </w:instrText>
          </w:r>
          <w:r>
            <w:fldChar w:fldCharType="separate"/>
          </w:r>
          <w:r>
            <w:rPr>
              <w:rFonts w:hint="eastAsia" w:ascii="Times New Roman" w:hAnsi="Times New Roman" w:eastAsia="仿宋" w:cs="仿宋"/>
              <w:szCs w:val="32"/>
            </w:rPr>
            <w:t>五、评价原则</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_Toc23311 \h </w:instrText>
          </w:r>
          <w:r>
            <w:rPr>
              <w:rFonts w:hint="eastAsia" w:ascii="Times New Roman" w:hAnsi="Times New Roman" w:eastAsia="仿宋" w:cs="仿宋"/>
            </w:rPr>
            <w:fldChar w:fldCharType="separate"/>
          </w:r>
          <w:r>
            <w:rPr>
              <w:rFonts w:ascii="Times New Roman" w:hAnsi="Times New Roman" w:eastAsia="仿宋" w:cs="仿宋"/>
            </w:rPr>
            <w:t>7</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"_Toc6257" </w:instrText>
          </w:r>
          <w:r>
            <w:fldChar w:fldCharType="separate"/>
          </w:r>
          <w:r>
            <w:rPr>
              <w:rFonts w:hint="eastAsia" w:ascii="Times New Roman" w:hAnsi="Times New Roman" w:eastAsia="仿宋" w:cs="仿宋"/>
              <w:bCs/>
              <w:szCs w:val="28"/>
            </w:rPr>
            <w:t>（一）服务大局原则</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_Toc6257 \h </w:instrText>
          </w:r>
          <w:r>
            <w:rPr>
              <w:rFonts w:hint="eastAsia" w:ascii="Times New Roman" w:hAnsi="Times New Roman" w:eastAsia="仿宋" w:cs="仿宋"/>
            </w:rPr>
            <w:fldChar w:fldCharType="separate"/>
          </w:r>
          <w:r>
            <w:rPr>
              <w:rFonts w:ascii="Times New Roman" w:hAnsi="Times New Roman" w:eastAsia="仿宋" w:cs="仿宋"/>
            </w:rPr>
            <w:t>7</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"_Toc26606" </w:instrText>
          </w:r>
          <w:r>
            <w:fldChar w:fldCharType="separate"/>
          </w:r>
          <w:r>
            <w:rPr>
              <w:rFonts w:hint="eastAsia" w:ascii="Times New Roman" w:hAnsi="Times New Roman" w:eastAsia="仿宋" w:cs="仿宋"/>
              <w:bCs/>
              <w:szCs w:val="28"/>
            </w:rPr>
            <w:t>（二）科学规范原则</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_Toc26606 \h </w:instrText>
          </w:r>
          <w:r>
            <w:rPr>
              <w:rFonts w:hint="eastAsia" w:ascii="Times New Roman" w:hAnsi="Times New Roman" w:eastAsia="仿宋" w:cs="仿宋"/>
            </w:rPr>
            <w:fldChar w:fldCharType="separate"/>
          </w:r>
          <w:r>
            <w:rPr>
              <w:rFonts w:ascii="Times New Roman" w:hAnsi="Times New Roman" w:eastAsia="仿宋" w:cs="仿宋"/>
            </w:rPr>
            <w:t>7</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"_Toc20605" </w:instrText>
          </w:r>
          <w:r>
            <w:fldChar w:fldCharType="separate"/>
          </w:r>
          <w:r>
            <w:rPr>
              <w:rFonts w:hint="eastAsia" w:ascii="Times New Roman" w:hAnsi="Times New Roman" w:eastAsia="仿宋" w:cs="仿宋"/>
              <w:bCs/>
              <w:szCs w:val="28"/>
            </w:rPr>
            <w:t>（三）公正公开原则</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_Toc20605 \h </w:instrText>
          </w:r>
          <w:r>
            <w:rPr>
              <w:rFonts w:hint="eastAsia" w:ascii="Times New Roman" w:hAnsi="Times New Roman" w:eastAsia="仿宋" w:cs="仿宋"/>
            </w:rPr>
            <w:fldChar w:fldCharType="separate"/>
          </w:r>
          <w:r>
            <w:rPr>
              <w:rFonts w:ascii="Times New Roman" w:hAnsi="Times New Roman" w:eastAsia="仿宋" w:cs="仿宋"/>
            </w:rPr>
            <w:t>8</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"_Toc2025" </w:instrText>
          </w:r>
          <w:r>
            <w:fldChar w:fldCharType="separate"/>
          </w:r>
          <w:r>
            <w:rPr>
              <w:rFonts w:hint="eastAsia" w:ascii="Times New Roman" w:hAnsi="Times New Roman" w:eastAsia="仿宋" w:cs="仿宋"/>
              <w:bCs/>
              <w:szCs w:val="28"/>
            </w:rPr>
            <w:t>（四）问题导向原则</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_Toc2025 \h </w:instrText>
          </w:r>
          <w:r>
            <w:rPr>
              <w:rFonts w:hint="eastAsia" w:ascii="Times New Roman" w:hAnsi="Times New Roman" w:eastAsia="仿宋" w:cs="仿宋"/>
            </w:rPr>
            <w:fldChar w:fldCharType="separate"/>
          </w:r>
          <w:r>
            <w:rPr>
              <w:rFonts w:ascii="Times New Roman" w:hAnsi="Times New Roman" w:eastAsia="仿宋" w:cs="仿宋"/>
            </w:rPr>
            <w:t>8</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"_Toc27595" </w:instrText>
          </w:r>
          <w:r>
            <w:fldChar w:fldCharType="separate"/>
          </w:r>
          <w:r>
            <w:rPr>
              <w:rFonts w:hint="eastAsia" w:ascii="Times New Roman" w:hAnsi="Times New Roman" w:eastAsia="仿宋" w:cs="仿宋"/>
              <w:bCs/>
              <w:szCs w:val="28"/>
            </w:rPr>
            <w:t>（五）绩效相关原则</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_Toc27595 \h </w:instrText>
          </w:r>
          <w:r>
            <w:rPr>
              <w:rFonts w:hint="eastAsia" w:ascii="Times New Roman" w:hAnsi="Times New Roman" w:eastAsia="仿宋" w:cs="仿宋"/>
            </w:rPr>
            <w:fldChar w:fldCharType="separate"/>
          </w:r>
          <w:r>
            <w:rPr>
              <w:rFonts w:ascii="Times New Roman" w:hAnsi="Times New Roman" w:eastAsia="仿宋" w:cs="仿宋"/>
            </w:rPr>
            <w:t>8</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"_Toc18787" </w:instrText>
          </w:r>
          <w:r>
            <w:fldChar w:fldCharType="separate"/>
          </w:r>
          <w:r>
            <w:rPr>
              <w:rFonts w:hint="eastAsia" w:ascii="Times New Roman" w:hAnsi="Times New Roman" w:eastAsia="仿宋" w:cs="仿宋"/>
              <w:szCs w:val="32"/>
            </w:rPr>
            <w:t>六、评价指标体系</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_Toc18787 \h </w:instrText>
          </w:r>
          <w:r>
            <w:rPr>
              <w:rFonts w:hint="eastAsia" w:ascii="Times New Roman" w:hAnsi="Times New Roman" w:eastAsia="仿宋" w:cs="仿宋"/>
            </w:rPr>
            <w:fldChar w:fldCharType="separate"/>
          </w:r>
          <w:r>
            <w:rPr>
              <w:rFonts w:ascii="Times New Roman" w:hAnsi="Times New Roman" w:eastAsia="仿宋" w:cs="仿宋"/>
            </w:rPr>
            <w:t>8</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"_Toc24019" </w:instrText>
          </w:r>
          <w:r>
            <w:fldChar w:fldCharType="separate"/>
          </w:r>
          <w:r>
            <w:rPr>
              <w:rFonts w:hint="eastAsia" w:ascii="Times New Roman" w:hAnsi="Times New Roman" w:eastAsia="仿宋" w:cs="仿宋"/>
              <w:szCs w:val="32"/>
            </w:rPr>
            <w:t>七、评价方法</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_Toc24019 \h </w:instrText>
          </w:r>
          <w:r>
            <w:rPr>
              <w:rFonts w:hint="eastAsia" w:ascii="Times New Roman" w:hAnsi="Times New Roman" w:eastAsia="仿宋" w:cs="仿宋"/>
            </w:rPr>
            <w:fldChar w:fldCharType="separate"/>
          </w:r>
          <w:r>
            <w:rPr>
              <w:rFonts w:ascii="Times New Roman" w:hAnsi="Times New Roman" w:eastAsia="仿宋" w:cs="仿宋"/>
            </w:rPr>
            <w:t>10</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"_Toc32269" </w:instrText>
          </w:r>
          <w:r>
            <w:fldChar w:fldCharType="separate"/>
          </w:r>
          <w:r>
            <w:rPr>
              <w:rFonts w:hint="eastAsia" w:ascii="Times New Roman" w:hAnsi="Times New Roman" w:eastAsia="仿宋" w:cs="仿宋"/>
              <w:bCs/>
              <w:szCs w:val="28"/>
            </w:rPr>
            <w:t>（一）成效分析法</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_Toc32269 \h </w:instrText>
          </w:r>
          <w:r>
            <w:rPr>
              <w:rFonts w:hint="eastAsia" w:ascii="Times New Roman" w:hAnsi="Times New Roman" w:eastAsia="仿宋" w:cs="仿宋"/>
            </w:rPr>
            <w:fldChar w:fldCharType="separate"/>
          </w:r>
          <w:r>
            <w:rPr>
              <w:rFonts w:ascii="Times New Roman" w:hAnsi="Times New Roman" w:eastAsia="仿宋" w:cs="仿宋"/>
            </w:rPr>
            <w:t>10</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"_Toc5426" </w:instrText>
          </w:r>
          <w:r>
            <w:fldChar w:fldCharType="separate"/>
          </w:r>
          <w:r>
            <w:rPr>
              <w:rFonts w:hint="eastAsia" w:ascii="Times New Roman" w:hAnsi="Times New Roman" w:eastAsia="仿宋" w:cs="仿宋"/>
              <w:bCs/>
              <w:szCs w:val="28"/>
            </w:rPr>
            <w:t>（二）案卷研究法</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_Toc5426 \h </w:instrText>
          </w:r>
          <w:r>
            <w:rPr>
              <w:rFonts w:hint="eastAsia" w:ascii="Times New Roman" w:hAnsi="Times New Roman" w:eastAsia="仿宋" w:cs="仿宋"/>
            </w:rPr>
            <w:fldChar w:fldCharType="separate"/>
          </w:r>
          <w:r>
            <w:rPr>
              <w:rFonts w:ascii="Times New Roman" w:hAnsi="Times New Roman" w:eastAsia="仿宋" w:cs="仿宋"/>
            </w:rPr>
            <w:t>10</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"_Toc30454" </w:instrText>
          </w:r>
          <w:r>
            <w:fldChar w:fldCharType="separate"/>
          </w:r>
          <w:r>
            <w:rPr>
              <w:rFonts w:hint="eastAsia" w:ascii="Times New Roman" w:hAnsi="Times New Roman" w:eastAsia="仿宋" w:cs="仿宋"/>
              <w:bCs/>
              <w:szCs w:val="28"/>
            </w:rPr>
            <w:t>（三）因素分析法</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_Toc30454 \h </w:instrText>
          </w:r>
          <w:r>
            <w:rPr>
              <w:rFonts w:hint="eastAsia" w:ascii="Times New Roman" w:hAnsi="Times New Roman" w:eastAsia="仿宋" w:cs="仿宋"/>
            </w:rPr>
            <w:fldChar w:fldCharType="separate"/>
          </w:r>
          <w:r>
            <w:rPr>
              <w:rFonts w:ascii="Times New Roman" w:hAnsi="Times New Roman" w:eastAsia="仿宋" w:cs="仿宋"/>
            </w:rPr>
            <w:t>10</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"_Toc28670" </w:instrText>
          </w:r>
          <w:r>
            <w:fldChar w:fldCharType="separate"/>
          </w:r>
          <w:r>
            <w:rPr>
              <w:rFonts w:hint="eastAsia" w:ascii="Times New Roman" w:hAnsi="Times New Roman" w:eastAsia="仿宋" w:cs="仿宋"/>
              <w:bCs/>
              <w:szCs w:val="28"/>
            </w:rPr>
            <w:t>（四）公众评判法</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_Toc28670 \h </w:instrText>
          </w:r>
          <w:r>
            <w:rPr>
              <w:rFonts w:hint="eastAsia" w:ascii="Times New Roman" w:hAnsi="Times New Roman" w:eastAsia="仿宋" w:cs="仿宋"/>
            </w:rPr>
            <w:fldChar w:fldCharType="separate"/>
          </w:r>
          <w:r>
            <w:rPr>
              <w:rFonts w:ascii="Times New Roman" w:hAnsi="Times New Roman" w:eastAsia="仿宋" w:cs="仿宋"/>
            </w:rPr>
            <w:t>10</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"_Toc11806" </w:instrText>
          </w:r>
          <w:r>
            <w:fldChar w:fldCharType="separate"/>
          </w:r>
          <w:r>
            <w:rPr>
              <w:rFonts w:hint="eastAsia" w:ascii="Times New Roman" w:hAnsi="Times New Roman" w:eastAsia="仿宋" w:cs="仿宋"/>
              <w:szCs w:val="32"/>
            </w:rPr>
            <w:t>八、评价标准</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_Toc11806 \h </w:instrText>
          </w:r>
          <w:r>
            <w:rPr>
              <w:rFonts w:hint="eastAsia" w:ascii="Times New Roman" w:hAnsi="Times New Roman" w:eastAsia="仿宋" w:cs="仿宋"/>
            </w:rPr>
            <w:fldChar w:fldCharType="separate"/>
          </w:r>
          <w:r>
            <w:rPr>
              <w:rFonts w:ascii="Times New Roman" w:hAnsi="Times New Roman" w:eastAsia="仿宋" w:cs="仿宋"/>
            </w:rPr>
            <w:t>11</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"_Toc11146" </w:instrText>
          </w:r>
          <w:r>
            <w:fldChar w:fldCharType="separate"/>
          </w:r>
          <w:r>
            <w:rPr>
              <w:rFonts w:hint="eastAsia" w:ascii="Times New Roman" w:hAnsi="Times New Roman" w:eastAsia="仿宋" w:cs="仿宋"/>
              <w:bCs/>
              <w:szCs w:val="28"/>
            </w:rPr>
            <w:t>（一）评价标准</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_Toc11146 \h </w:instrText>
          </w:r>
          <w:r>
            <w:rPr>
              <w:rFonts w:hint="eastAsia" w:ascii="Times New Roman" w:hAnsi="Times New Roman" w:eastAsia="仿宋" w:cs="仿宋"/>
            </w:rPr>
            <w:fldChar w:fldCharType="separate"/>
          </w:r>
          <w:r>
            <w:rPr>
              <w:rFonts w:ascii="Times New Roman" w:hAnsi="Times New Roman" w:eastAsia="仿宋" w:cs="仿宋"/>
            </w:rPr>
            <w:t>11</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"_Toc12684" </w:instrText>
          </w:r>
          <w:r>
            <w:fldChar w:fldCharType="separate"/>
          </w:r>
          <w:r>
            <w:rPr>
              <w:rFonts w:hint="eastAsia" w:ascii="Times New Roman" w:hAnsi="Times New Roman" w:eastAsia="仿宋" w:cs="仿宋"/>
              <w:bCs/>
              <w:szCs w:val="28"/>
            </w:rPr>
            <w:t>（二）评价依据</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_Toc12684 \h </w:instrText>
          </w:r>
          <w:r>
            <w:rPr>
              <w:rFonts w:hint="eastAsia" w:ascii="Times New Roman" w:hAnsi="Times New Roman" w:eastAsia="仿宋" w:cs="仿宋"/>
            </w:rPr>
            <w:fldChar w:fldCharType="separate"/>
          </w:r>
          <w:r>
            <w:rPr>
              <w:rFonts w:ascii="Times New Roman" w:hAnsi="Times New Roman" w:eastAsia="仿宋" w:cs="仿宋"/>
            </w:rPr>
            <w:t>11</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"_Toc29603" </w:instrText>
          </w:r>
          <w:r>
            <w:fldChar w:fldCharType="separate"/>
          </w:r>
          <w:r>
            <w:rPr>
              <w:rFonts w:hint="eastAsia" w:ascii="Times New Roman" w:hAnsi="Times New Roman" w:eastAsia="仿宋" w:cs="仿宋"/>
              <w:szCs w:val="32"/>
            </w:rPr>
            <w:t>九、评价开展过程</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_Toc29603 \h </w:instrText>
          </w:r>
          <w:r>
            <w:rPr>
              <w:rFonts w:hint="eastAsia" w:ascii="Times New Roman" w:hAnsi="Times New Roman" w:eastAsia="仿宋" w:cs="仿宋"/>
            </w:rPr>
            <w:fldChar w:fldCharType="separate"/>
          </w:r>
          <w:r>
            <w:rPr>
              <w:rFonts w:ascii="Times New Roman" w:hAnsi="Times New Roman" w:eastAsia="仿宋" w:cs="仿宋"/>
            </w:rPr>
            <w:t>12</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"_Toc1084" </w:instrText>
          </w:r>
          <w:r>
            <w:fldChar w:fldCharType="separate"/>
          </w:r>
          <w:r>
            <w:rPr>
              <w:rFonts w:hint="eastAsia" w:ascii="Times New Roman" w:hAnsi="Times New Roman" w:eastAsia="仿宋" w:cs="仿宋"/>
              <w:bCs/>
              <w:szCs w:val="28"/>
            </w:rPr>
            <w:t>（一）前期准备阶段</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_Toc1084 \h </w:instrText>
          </w:r>
          <w:r>
            <w:rPr>
              <w:rFonts w:hint="eastAsia" w:ascii="Times New Roman" w:hAnsi="Times New Roman" w:eastAsia="仿宋" w:cs="仿宋"/>
            </w:rPr>
            <w:fldChar w:fldCharType="separate"/>
          </w:r>
          <w:r>
            <w:rPr>
              <w:rFonts w:ascii="Times New Roman" w:hAnsi="Times New Roman" w:eastAsia="仿宋" w:cs="仿宋"/>
            </w:rPr>
            <w:t>12</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"_Toc5187" </w:instrText>
          </w:r>
          <w:r>
            <w:fldChar w:fldCharType="separate"/>
          </w:r>
          <w:r>
            <w:rPr>
              <w:rFonts w:hint="eastAsia" w:ascii="Times New Roman" w:hAnsi="Times New Roman" w:eastAsia="仿宋" w:cs="仿宋"/>
              <w:bCs/>
              <w:szCs w:val="28"/>
            </w:rPr>
            <w:t>（二）组织实施阶段</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_Toc5187 \h </w:instrText>
          </w:r>
          <w:r>
            <w:rPr>
              <w:rFonts w:hint="eastAsia" w:ascii="Times New Roman" w:hAnsi="Times New Roman" w:eastAsia="仿宋" w:cs="仿宋"/>
            </w:rPr>
            <w:fldChar w:fldCharType="separate"/>
          </w:r>
          <w:r>
            <w:rPr>
              <w:rFonts w:ascii="Times New Roman" w:hAnsi="Times New Roman" w:eastAsia="仿宋" w:cs="仿宋"/>
            </w:rPr>
            <w:t>13</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"_Toc2917" </w:instrText>
          </w:r>
          <w:r>
            <w:fldChar w:fldCharType="separate"/>
          </w:r>
          <w:r>
            <w:rPr>
              <w:rFonts w:hint="eastAsia" w:ascii="Times New Roman" w:hAnsi="Times New Roman" w:eastAsia="仿宋" w:cs="仿宋"/>
              <w:bCs/>
              <w:szCs w:val="28"/>
            </w:rPr>
            <w:t>（三）报告形成阶段</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_Toc2917 \h </w:instrText>
          </w:r>
          <w:r>
            <w:rPr>
              <w:rFonts w:hint="eastAsia" w:ascii="Times New Roman" w:hAnsi="Times New Roman" w:eastAsia="仿宋" w:cs="仿宋"/>
            </w:rPr>
            <w:fldChar w:fldCharType="separate"/>
          </w:r>
          <w:r>
            <w:rPr>
              <w:rFonts w:ascii="Times New Roman" w:hAnsi="Times New Roman" w:eastAsia="仿宋" w:cs="仿宋"/>
            </w:rPr>
            <w:t>14</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7"/>
            <w:tabs>
              <w:tab w:val="right" w:leader="dot" w:pos="8306"/>
            </w:tabs>
            <w:rPr>
              <w:rFonts w:ascii="Times New Roman" w:hAnsi="Times New Roman" w:eastAsia="仿宋" w:cs="仿宋"/>
            </w:rPr>
          </w:pPr>
          <w:r>
            <w:fldChar w:fldCharType="begin"/>
          </w:r>
          <w:r>
            <w:instrText xml:space="preserve"> HYPERLINK \l "_Toc10829" </w:instrText>
          </w:r>
          <w:r>
            <w:fldChar w:fldCharType="separate"/>
          </w:r>
          <w:r>
            <w:rPr>
              <w:rFonts w:hint="eastAsia" w:ascii="Times New Roman" w:hAnsi="Times New Roman" w:eastAsia="仿宋" w:cs="仿宋"/>
              <w:szCs w:val="36"/>
            </w:rPr>
            <w:t>第三部分 绩效评价结果</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_Toc10829 \h </w:instrText>
          </w:r>
          <w:r>
            <w:rPr>
              <w:rFonts w:hint="eastAsia" w:ascii="Times New Roman" w:hAnsi="Times New Roman" w:eastAsia="仿宋" w:cs="仿宋"/>
            </w:rPr>
            <w:fldChar w:fldCharType="separate"/>
          </w:r>
          <w:r>
            <w:rPr>
              <w:rFonts w:ascii="Times New Roman" w:hAnsi="Times New Roman" w:eastAsia="仿宋" w:cs="仿宋"/>
            </w:rPr>
            <w:t>15</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"_Toc4825" </w:instrText>
          </w:r>
          <w:r>
            <w:fldChar w:fldCharType="separate"/>
          </w:r>
          <w:r>
            <w:rPr>
              <w:rFonts w:hint="eastAsia" w:ascii="Times New Roman" w:hAnsi="Times New Roman" w:eastAsia="仿宋" w:cs="仿宋"/>
              <w:szCs w:val="32"/>
            </w:rPr>
            <w:t>一、绩效评价得分情况</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_Toc4825 \h </w:instrText>
          </w:r>
          <w:r>
            <w:rPr>
              <w:rFonts w:hint="eastAsia" w:ascii="Times New Roman" w:hAnsi="Times New Roman" w:eastAsia="仿宋" w:cs="仿宋"/>
            </w:rPr>
            <w:fldChar w:fldCharType="separate"/>
          </w:r>
          <w:r>
            <w:rPr>
              <w:rFonts w:ascii="Times New Roman" w:hAnsi="Times New Roman" w:eastAsia="仿宋" w:cs="仿宋"/>
            </w:rPr>
            <w:t>15</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"_Toc21210" </w:instrText>
          </w:r>
          <w:r>
            <w:fldChar w:fldCharType="separate"/>
          </w:r>
          <w:r>
            <w:rPr>
              <w:rFonts w:hint="eastAsia" w:ascii="Times New Roman" w:hAnsi="Times New Roman" w:eastAsia="仿宋" w:cs="仿宋"/>
              <w:szCs w:val="32"/>
            </w:rPr>
            <w:t>二、绩效评价指标分析</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_Toc21210 \h </w:instrText>
          </w:r>
          <w:r>
            <w:rPr>
              <w:rFonts w:hint="eastAsia" w:ascii="Times New Roman" w:hAnsi="Times New Roman" w:eastAsia="仿宋" w:cs="仿宋"/>
            </w:rPr>
            <w:fldChar w:fldCharType="separate"/>
          </w:r>
          <w:r>
            <w:rPr>
              <w:rFonts w:ascii="Times New Roman" w:hAnsi="Times New Roman" w:eastAsia="仿宋" w:cs="仿宋"/>
            </w:rPr>
            <w:t>15</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"_Toc2455" </w:instrText>
          </w:r>
          <w:r>
            <w:fldChar w:fldCharType="separate"/>
          </w:r>
          <w:r>
            <w:rPr>
              <w:rFonts w:hint="eastAsia" w:ascii="Times New Roman" w:hAnsi="Times New Roman" w:eastAsia="仿宋" w:cs="仿宋"/>
              <w:bCs/>
              <w:szCs w:val="28"/>
            </w:rPr>
            <w:t>（一）项目决策情况</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_Toc2455 \h </w:instrText>
          </w:r>
          <w:r>
            <w:rPr>
              <w:rFonts w:hint="eastAsia" w:ascii="Times New Roman" w:hAnsi="Times New Roman" w:eastAsia="仿宋" w:cs="仿宋"/>
            </w:rPr>
            <w:fldChar w:fldCharType="separate"/>
          </w:r>
          <w:r>
            <w:rPr>
              <w:rFonts w:ascii="Times New Roman" w:hAnsi="Times New Roman" w:eastAsia="仿宋" w:cs="仿宋"/>
            </w:rPr>
            <w:t>16</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"_Toc5648" </w:instrText>
          </w:r>
          <w:r>
            <w:fldChar w:fldCharType="separate"/>
          </w:r>
          <w:r>
            <w:rPr>
              <w:rFonts w:hint="eastAsia" w:ascii="Times New Roman" w:hAnsi="Times New Roman" w:eastAsia="仿宋" w:cs="仿宋"/>
              <w:bCs/>
            </w:rPr>
            <w:t>（二）项目过程情况</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_Toc5648 \h </w:instrText>
          </w:r>
          <w:r>
            <w:rPr>
              <w:rFonts w:hint="eastAsia" w:ascii="Times New Roman" w:hAnsi="Times New Roman" w:eastAsia="仿宋" w:cs="仿宋"/>
            </w:rPr>
            <w:fldChar w:fldCharType="separate"/>
          </w:r>
          <w:r>
            <w:rPr>
              <w:rFonts w:ascii="Times New Roman" w:hAnsi="Times New Roman" w:eastAsia="仿宋" w:cs="仿宋"/>
            </w:rPr>
            <w:t>17</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"_Toc24520" </w:instrText>
          </w:r>
          <w:r>
            <w:fldChar w:fldCharType="separate"/>
          </w:r>
          <w:r>
            <w:rPr>
              <w:rFonts w:hint="eastAsia" w:ascii="Times New Roman" w:hAnsi="Times New Roman" w:eastAsia="仿宋" w:cs="仿宋"/>
              <w:bCs/>
            </w:rPr>
            <w:t>（三）项目产出情况</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_Toc24520 \h </w:instrText>
          </w:r>
          <w:r>
            <w:rPr>
              <w:rFonts w:hint="eastAsia" w:ascii="Times New Roman" w:hAnsi="Times New Roman" w:eastAsia="仿宋" w:cs="仿宋"/>
            </w:rPr>
            <w:fldChar w:fldCharType="separate"/>
          </w:r>
          <w:r>
            <w:rPr>
              <w:rFonts w:ascii="Times New Roman" w:hAnsi="Times New Roman" w:eastAsia="仿宋" w:cs="仿宋"/>
            </w:rPr>
            <w:t>17</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4"/>
            <w:tabs>
              <w:tab w:val="right" w:leader="dot" w:pos="8306"/>
            </w:tabs>
            <w:ind w:left="1120"/>
            <w:rPr>
              <w:rFonts w:ascii="Times New Roman" w:hAnsi="Times New Roman" w:eastAsia="仿宋" w:cs="仿宋"/>
            </w:rPr>
          </w:pPr>
          <w:r>
            <w:fldChar w:fldCharType="begin"/>
          </w:r>
          <w:r>
            <w:instrText xml:space="preserve"> HYPERLINK \l "_Toc29091" </w:instrText>
          </w:r>
          <w:r>
            <w:fldChar w:fldCharType="separate"/>
          </w:r>
          <w:r>
            <w:rPr>
              <w:rFonts w:hint="eastAsia" w:ascii="Times New Roman" w:hAnsi="Times New Roman" w:eastAsia="仿宋" w:cs="仿宋"/>
              <w:bCs/>
            </w:rPr>
            <w:t>（四）项目效益情况</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_Toc29091 \h </w:instrText>
          </w:r>
          <w:r>
            <w:rPr>
              <w:rFonts w:hint="eastAsia" w:ascii="Times New Roman" w:hAnsi="Times New Roman" w:eastAsia="仿宋" w:cs="仿宋"/>
            </w:rPr>
            <w:fldChar w:fldCharType="separate"/>
          </w:r>
          <w:r>
            <w:rPr>
              <w:rFonts w:ascii="Times New Roman" w:hAnsi="Times New Roman" w:eastAsia="仿宋" w:cs="仿宋"/>
            </w:rPr>
            <w:t>18</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7"/>
            <w:tabs>
              <w:tab w:val="right" w:leader="dot" w:pos="8306"/>
            </w:tabs>
            <w:rPr>
              <w:rFonts w:ascii="Times New Roman" w:hAnsi="Times New Roman" w:eastAsia="仿宋" w:cs="仿宋"/>
            </w:rPr>
          </w:pPr>
          <w:r>
            <w:fldChar w:fldCharType="begin"/>
          </w:r>
          <w:r>
            <w:instrText xml:space="preserve"> HYPERLINK \l "_Toc31163" </w:instrText>
          </w:r>
          <w:r>
            <w:fldChar w:fldCharType="separate"/>
          </w:r>
          <w:r>
            <w:rPr>
              <w:rFonts w:hint="eastAsia" w:ascii="Times New Roman" w:hAnsi="Times New Roman" w:eastAsia="仿宋" w:cs="仿宋"/>
              <w:szCs w:val="36"/>
            </w:rPr>
            <w:t>第四部分 存在主要问题</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_Toc31163 \h </w:instrText>
          </w:r>
          <w:r>
            <w:rPr>
              <w:rFonts w:hint="eastAsia" w:ascii="Times New Roman" w:hAnsi="Times New Roman" w:eastAsia="仿宋" w:cs="仿宋"/>
            </w:rPr>
            <w:fldChar w:fldCharType="separate"/>
          </w:r>
          <w:r>
            <w:rPr>
              <w:rFonts w:ascii="Times New Roman" w:hAnsi="Times New Roman" w:eastAsia="仿宋" w:cs="仿宋"/>
            </w:rPr>
            <w:t>20</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"_Toc18541" </w:instrText>
          </w:r>
          <w:r>
            <w:fldChar w:fldCharType="separate"/>
          </w:r>
          <w:r>
            <w:rPr>
              <w:rFonts w:hint="eastAsia" w:ascii="Times New Roman" w:hAnsi="Times New Roman" w:eastAsia="仿宋" w:cs="仿宋"/>
              <w:szCs w:val="32"/>
            </w:rPr>
            <w:t>一、预算管理工作有待进一步提高</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_Toc18541 \h </w:instrText>
          </w:r>
          <w:r>
            <w:rPr>
              <w:rFonts w:hint="eastAsia" w:ascii="Times New Roman" w:hAnsi="Times New Roman" w:eastAsia="仿宋" w:cs="仿宋"/>
            </w:rPr>
            <w:fldChar w:fldCharType="separate"/>
          </w:r>
          <w:r>
            <w:rPr>
              <w:rFonts w:ascii="Times New Roman" w:hAnsi="Times New Roman" w:eastAsia="仿宋" w:cs="仿宋"/>
            </w:rPr>
            <w:t>20</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"_Toc1943" </w:instrText>
          </w:r>
          <w:r>
            <w:fldChar w:fldCharType="separate"/>
          </w:r>
          <w:r>
            <w:rPr>
              <w:rFonts w:hint="eastAsia" w:ascii="Times New Roman" w:hAnsi="Times New Roman" w:eastAsia="仿宋" w:cs="仿宋"/>
              <w:szCs w:val="32"/>
            </w:rPr>
            <w:t>二、基金赤字逐年提高，部分事业单位财政压力增大</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_Toc1943 \h </w:instrText>
          </w:r>
          <w:r>
            <w:rPr>
              <w:rFonts w:hint="eastAsia" w:ascii="Times New Roman" w:hAnsi="Times New Roman" w:eastAsia="仿宋" w:cs="仿宋"/>
            </w:rPr>
            <w:fldChar w:fldCharType="separate"/>
          </w:r>
          <w:r>
            <w:rPr>
              <w:rFonts w:ascii="Times New Roman" w:hAnsi="Times New Roman" w:eastAsia="仿宋" w:cs="仿宋"/>
            </w:rPr>
            <w:t>20</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"_Toc26565" </w:instrText>
          </w:r>
          <w:r>
            <w:fldChar w:fldCharType="separate"/>
          </w:r>
          <w:r>
            <w:rPr>
              <w:rFonts w:hint="eastAsia" w:ascii="Times New Roman" w:hAnsi="Times New Roman" w:eastAsia="仿宋" w:cs="仿宋"/>
              <w:szCs w:val="32"/>
            </w:rPr>
            <w:t>三、业务和财务数据衔接存在时间差，影响时效性</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_Toc26565 \h </w:instrText>
          </w:r>
          <w:r>
            <w:rPr>
              <w:rFonts w:hint="eastAsia" w:ascii="Times New Roman" w:hAnsi="Times New Roman" w:eastAsia="仿宋" w:cs="仿宋"/>
            </w:rPr>
            <w:fldChar w:fldCharType="separate"/>
          </w:r>
          <w:r>
            <w:rPr>
              <w:rFonts w:ascii="Times New Roman" w:hAnsi="Times New Roman" w:eastAsia="仿宋" w:cs="仿宋"/>
            </w:rPr>
            <w:t>20</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7"/>
            <w:tabs>
              <w:tab w:val="right" w:leader="dot" w:pos="8306"/>
            </w:tabs>
            <w:rPr>
              <w:rFonts w:ascii="Times New Roman" w:hAnsi="Times New Roman" w:eastAsia="仿宋" w:cs="仿宋"/>
            </w:rPr>
          </w:pPr>
          <w:r>
            <w:fldChar w:fldCharType="begin"/>
          </w:r>
          <w:r>
            <w:instrText xml:space="preserve"> HYPERLINK \l "_Toc20454" </w:instrText>
          </w:r>
          <w:r>
            <w:fldChar w:fldCharType="separate"/>
          </w:r>
          <w:r>
            <w:rPr>
              <w:rFonts w:hint="eastAsia" w:ascii="Times New Roman" w:hAnsi="Times New Roman" w:eastAsia="仿宋" w:cs="仿宋"/>
              <w:szCs w:val="36"/>
            </w:rPr>
            <w:t>第五部分 改进措施与管理建议</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_Toc20454 \h </w:instrText>
          </w:r>
          <w:r>
            <w:rPr>
              <w:rFonts w:hint="eastAsia" w:ascii="Times New Roman" w:hAnsi="Times New Roman" w:eastAsia="仿宋" w:cs="仿宋"/>
            </w:rPr>
            <w:fldChar w:fldCharType="separate"/>
          </w:r>
          <w:r>
            <w:rPr>
              <w:rFonts w:ascii="Times New Roman" w:hAnsi="Times New Roman" w:eastAsia="仿宋" w:cs="仿宋"/>
            </w:rPr>
            <w:t>22</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"_Toc6262" </w:instrText>
          </w:r>
          <w:r>
            <w:fldChar w:fldCharType="separate"/>
          </w:r>
          <w:r>
            <w:rPr>
              <w:rFonts w:hint="eastAsia" w:ascii="Times New Roman" w:hAnsi="Times New Roman" w:eastAsia="仿宋" w:cs="仿宋"/>
              <w:szCs w:val="32"/>
            </w:rPr>
            <w:t>一、优化预算编制，有序执行预算</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_Toc6262 \h </w:instrText>
          </w:r>
          <w:r>
            <w:rPr>
              <w:rFonts w:hint="eastAsia" w:ascii="Times New Roman" w:hAnsi="Times New Roman" w:eastAsia="仿宋" w:cs="仿宋"/>
            </w:rPr>
            <w:fldChar w:fldCharType="separate"/>
          </w:r>
          <w:r>
            <w:rPr>
              <w:rFonts w:ascii="Times New Roman" w:hAnsi="Times New Roman" w:eastAsia="仿宋" w:cs="仿宋"/>
            </w:rPr>
            <w:t>22</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"_Toc11039" </w:instrText>
          </w:r>
          <w:r>
            <w:fldChar w:fldCharType="separate"/>
          </w:r>
          <w:r>
            <w:rPr>
              <w:rFonts w:hint="eastAsia" w:ascii="Times New Roman" w:hAnsi="Times New Roman" w:eastAsia="仿宋" w:cs="仿宋"/>
              <w:szCs w:val="32"/>
            </w:rPr>
            <w:t>二、合理编制绩效目标，强化绩效自评工作</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_Toc11039 \h </w:instrText>
          </w:r>
          <w:r>
            <w:rPr>
              <w:rFonts w:hint="eastAsia" w:ascii="Times New Roman" w:hAnsi="Times New Roman" w:eastAsia="仿宋" w:cs="仿宋"/>
            </w:rPr>
            <w:fldChar w:fldCharType="separate"/>
          </w:r>
          <w:r>
            <w:rPr>
              <w:rFonts w:ascii="Times New Roman" w:hAnsi="Times New Roman" w:eastAsia="仿宋" w:cs="仿宋"/>
            </w:rPr>
            <w:t>22</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"_Toc8326" </w:instrText>
          </w:r>
          <w:r>
            <w:fldChar w:fldCharType="separate"/>
          </w:r>
          <w:r>
            <w:rPr>
              <w:rFonts w:hint="eastAsia" w:ascii="Times New Roman" w:hAnsi="Times New Roman" w:eastAsia="仿宋" w:cs="仿宋"/>
              <w:szCs w:val="32"/>
            </w:rPr>
            <w:t>三、控制退休人员待遇增长速度，缩小基金赤字缺口</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_Toc8326 \h </w:instrText>
          </w:r>
          <w:r>
            <w:rPr>
              <w:rFonts w:hint="eastAsia" w:ascii="Times New Roman" w:hAnsi="Times New Roman" w:eastAsia="仿宋" w:cs="仿宋"/>
            </w:rPr>
            <w:fldChar w:fldCharType="separate"/>
          </w:r>
          <w:r>
            <w:rPr>
              <w:rFonts w:ascii="Times New Roman" w:hAnsi="Times New Roman" w:eastAsia="仿宋" w:cs="仿宋"/>
            </w:rPr>
            <w:t>22</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8"/>
            <w:tabs>
              <w:tab w:val="right" w:leader="dot" w:pos="8306"/>
            </w:tabs>
            <w:ind w:left="560"/>
            <w:rPr>
              <w:rFonts w:ascii="Times New Roman" w:hAnsi="Times New Roman" w:eastAsia="仿宋" w:cs="仿宋"/>
            </w:rPr>
          </w:pPr>
          <w:r>
            <w:fldChar w:fldCharType="begin"/>
          </w:r>
          <w:r>
            <w:instrText xml:space="preserve"> HYPERLINK \l "_Toc8411" </w:instrText>
          </w:r>
          <w:r>
            <w:fldChar w:fldCharType="separate"/>
          </w:r>
          <w:r>
            <w:rPr>
              <w:rFonts w:hint="eastAsia" w:ascii="Times New Roman" w:hAnsi="Times New Roman" w:eastAsia="仿宋" w:cs="仿宋"/>
              <w:szCs w:val="32"/>
            </w:rPr>
            <w:t>四、提高有关人员业务水平，提高工作衔接效率</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_Toc8411 \h </w:instrText>
          </w:r>
          <w:r>
            <w:rPr>
              <w:rFonts w:hint="eastAsia" w:ascii="Times New Roman" w:hAnsi="Times New Roman" w:eastAsia="仿宋" w:cs="仿宋"/>
            </w:rPr>
            <w:fldChar w:fldCharType="separate"/>
          </w:r>
          <w:r>
            <w:rPr>
              <w:rFonts w:ascii="Times New Roman" w:hAnsi="Times New Roman" w:eastAsia="仿宋" w:cs="仿宋"/>
            </w:rPr>
            <w:t>23</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pStyle w:val="7"/>
            <w:tabs>
              <w:tab w:val="right" w:leader="dot" w:pos="8306"/>
            </w:tabs>
            <w:rPr>
              <w:rFonts w:ascii="Times New Roman" w:hAnsi="Times New Roman" w:eastAsia="仿宋" w:cs="仿宋"/>
            </w:rPr>
          </w:pPr>
          <w:r>
            <w:fldChar w:fldCharType="begin"/>
          </w:r>
          <w:r>
            <w:instrText xml:space="preserve"> HYPERLINK \l "_Toc1074" </w:instrText>
          </w:r>
          <w:r>
            <w:fldChar w:fldCharType="separate"/>
          </w:r>
          <w:r>
            <w:rPr>
              <w:rFonts w:hint="eastAsia" w:ascii="Times New Roman" w:hAnsi="Times New Roman" w:eastAsia="仿宋" w:cs="仿宋"/>
              <w:szCs w:val="36"/>
            </w:rPr>
            <w:t>附件：</w:t>
          </w:r>
          <w:r>
            <w:rPr>
              <w:rFonts w:hint="eastAsia" w:ascii="Times New Roman" w:hAnsi="Times New Roman" w:eastAsia="仿宋" w:cs="仿宋"/>
            </w:rPr>
            <w:tab/>
          </w:r>
          <w:r>
            <w:rPr>
              <w:rFonts w:hint="eastAsia" w:ascii="Times New Roman" w:hAnsi="Times New Roman" w:eastAsia="仿宋" w:cs="仿宋"/>
            </w:rPr>
            <w:fldChar w:fldCharType="begin"/>
          </w:r>
          <w:r>
            <w:rPr>
              <w:rFonts w:hint="eastAsia" w:ascii="Times New Roman" w:hAnsi="Times New Roman" w:eastAsia="仿宋" w:cs="仿宋"/>
            </w:rPr>
            <w:instrText xml:space="preserve"> PAGEREF _Toc1074 \h </w:instrText>
          </w:r>
          <w:r>
            <w:rPr>
              <w:rFonts w:hint="eastAsia" w:ascii="Times New Roman" w:hAnsi="Times New Roman" w:eastAsia="仿宋" w:cs="仿宋"/>
            </w:rPr>
            <w:fldChar w:fldCharType="separate"/>
          </w:r>
          <w:r>
            <w:rPr>
              <w:rFonts w:ascii="Times New Roman" w:hAnsi="Times New Roman" w:eastAsia="仿宋" w:cs="仿宋"/>
            </w:rPr>
            <w:t>24</w:t>
          </w:r>
          <w:r>
            <w:rPr>
              <w:rFonts w:hint="eastAsia" w:ascii="Times New Roman" w:hAnsi="Times New Roman" w:eastAsia="仿宋" w:cs="仿宋"/>
            </w:rPr>
            <w:fldChar w:fldCharType="end"/>
          </w:r>
          <w:r>
            <w:rPr>
              <w:rFonts w:hint="eastAsia" w:ascii="Times New Roman" w:hAnsi="Times New Roman" w:eastAsia="仿宋" w:cs="仿宋"/>
            </w:rPr>
            <w:fldChar w:fldCharType="end"/>
          </w:r>
        </w:p>
        <w:p>
          <w:pPr>
            <w:spacing w:line="440" w:lineRule="exact"/>
          </w:pPr>
          <w:r>
            <w:rPr>
              <w:rFonts w:hint="eastAsia" w:ascii="Times New Roman" w:hAnsi="Times New Roman" w:eastAsia="仿宋" w:cs="仿宋"/>
              <w:bCs/>
              <w:lang w:val="zh-CN"/>
            </w:rPr>
            <w:fldChar w:fldCharType="end"/>
          </w:r>
        </w:p>
      </w:sdtContent>
    </w:sdt>
    <w:p>
      <w:pPr>
        <w:jc w:val="center"/>
        <w:rPr>
          <w:rFonts w:ascii="楷体" w:hAnsi="楷体" w:eastAsia="楷体" w:cs="楷体"/>
          <w:sz w:val="36"/>
          <w:szCs w:val="36"/>
        </w:rPr>
        <w:sectPr>
          <w:pgSz w:w="11906" w:h="16838"/>
          <w:pgMar w:top="1440" w:right="1800" w:bottom="1440" w:left="1800" w:header="851" w:footer="992" w:gutter="0"/>
          <w:cols w:space="425" w:num="1"/>
          <w:docGrid w:type="lines" w:linePitch="312" w:charSpace="0"/>
        </w:sectPr>
      </w:pPr>
    </w:p>
    <w:p>
      <w:pPr>
        <w:jc w:val="center"/>
        <w:rPr>
          <w:rFonts w:ascii="楷体" w:hAnsi="楷体" w:eastAsia="楷体" w:cs="楷体"/>
          <w:sz w:val="36"/>
          <w:szCs w:val="36"/>
        </w:rPr>
      </w:pPr>
    </w:p>
    <w:p>
      <w:pPr>
        <w:jc w:val="center"/>
        <w:outlineLvl w:val="0"/>
        <w:rPr>
          <w:rFonts w:ascii="Times New Roman" w:hAnsi="Times New Roman" w:eastAsia="仿宋" w:cs="仿宋"/>
          <w:b/>
          <w:bCs/>
          <w:sz w:val="36"/>
          <w:szCs w:val="36"/>
        </w:rPr>
      </w:pPr>
      <w:bookmarkStart w:id="8" w:name="_Toc7432"/>
      <w:r>
        <w:rPr>
          <w:rFonts w:hint="eastAsia" w:ascii="Times New Roman" w:hAnsi="Times New Roman" w:eastAsia="仿宋" w:cs="仿宋"/>
          <w:b/>
          <w:bCs/>
          <w:sz w:val="36"/>
          <w:szCs w:val="36"/>
        </w:rPr>
        <w:t>第一部分 专项资金基本概况</w:t>
      </w:r>
      <w:bookmarkEnd w:id="7"/>
      <w:bookmarkEnd w:id="8"/>
    </w:p>
    <w:p>
      <w:pPr>
        <w:rPr>
          <w:rFonts w:ascii="Times New Roman" w:hAnsi="Times New Roman" w:eastAsia="仿宋" w:cs="仿宋"/>
          <w:sz w:val="24"/>
        </w:rPr>
      </w:pPr>
    </w:p>
    <w:p>
      <w:pPr>
        <w:spacing w:before="156" w:beforeLines="50" w:after="156" w:afterLines="50"/>
        <w:ind w:firstLine="643" w:firstLineChars="200"/>
        <w:outlineLvl w:val="1"/>
        <w:rPr>
          <w:rFonts w:ascii="Times New Roman" w:hAnsi="Times New Roman" w:eastAsia="仿宋" w:cs="仿宋"/>
          <w:b/>
          <w:bCs/>
          <w:sz w:val="32"/>
          <w:szCs w:val="32"/>
        </w:rPr>
      </w:pPr>
      <w:bookmarkStart w:id="9" w:name="_Toc864465875"/>
      <w:bookmarkStart w:id="10" w:name="_Toc20233"/>
      <w:r>
        <w:rPr>
          <w:rFonts w:hint="eastAsia" w:ascii="Times New Roman" w:hAnsi="Times New Roman" w:eastAsia="仿宋" w:cs="仿宋"/>
          <w:b/>
          <w:bCs/>
          <w:sz w:val="32"/>
          <w:szCs w:val="32"/>
        </w:rPr>
        <w:t>一、专项资金实施背景</w:t>
      </w:r>
      <w:bookmarkEnd w:id="9"/>
      <w:bookmarkEnd w:id="10"/>
    </w:p>
    <w:p>
      <w:pPr>
        <w:ind w:firstLine="560" w:firstLineChars="200"/>
        <w:rPr>
          <w:rFonts w:ascii="Times New Roman" w:hAnsi="Times New Roman" w:eastAsia="仿宋" w:cs="仿宋"/>
        </w:rPr>
      </w:pPr>
      <w:bookmarkStart w:id="11" w:name="_Toc881946015"/>
      <w:r>
        <w:rPr>
          <w:rFonts w:hint="eastAsia" w:ascii="Times New Roman" w:hAnsi="Times New Roman" w:eastAsia="仿宋" w:cs="仿宋"/>
        </w:rPr>
        <w:t>事业单位</w:t>
      </w:r>
      <w:r>
        <w:fldChar w:fldCharType="begin"/>
      </w:r>
      <w:r>
        <w:instrText xml:space="preserve"> HYPERLINK "https://baike.baidu.com/item/%E5%85%BB%E8%80%81%E4%BF%9D%E9%99%A9%E5%88%B6%E5%BA%A6/4210137?fromModule=lemma_inlink" \t "https://baike.baidu.com/item/%E6%9C%BA%E5%85%B3%E4%BA%8B%E4%B8%9A%E5%8D%95%E4%BD%8D%E5%85%BB%E8%80%81%E4%BF%9D%E9%99%A9/_blank" </w:instrText>
      </w:r>
      <w:r>
        <w:fldChar w:fldCharType="separate"/>
      </w:r>
      <w:r>
        <w:rPr>
          <w:rFonts w:hint="eastAsia" w:ascii="Times New Roman" w:hAnsi="Times New Roman" w:eastAsia="仿宋" w:cs="仿宋"/>
        </w:rPr>
        <w:t>养老保险制度</w:t>
      </w:r>
      <w:r>
        <w:rPr>
          <w:rFonts w:hint="eastAsia" w:ascii="Times New Roman" w:hAnsi="Times New Roman" w:eastAsia="仿宋" w:cs="仿宋"/>
        </w:rPr>
        <w:fldChar w:fldCharType="end"/>
      </w:r>
      <w:r>
        <w:rPr>
          <w:rFonts w:hint="eastAsia" w:ascii="Times New Roman" w:hAnsi="Times New Roman" w:eastAsia="仿宋" w:cs="仿宋"/>
        </w:rPr>
        <w:t>是中国</w:t>
      </w:r>
      <w:r>
        <w:fldChar w:fldCharType="begin"/>
      </w:r>
      <w:r>
        <w:instrText xml:space="preserve"> HYPERLINK "https://baike.baidu.com/item/%E7%A4%BE%E4%BC%9A%E4%BF%9D%E9%9A%9C%E5%88%B6%E5%BA%A6/5099009?fromModule=lemma_inlink" \t "https://baike.baidu.com/item/%E6%9C%BA%E5%85%B3%E4%BA%8B%E4%B8%9A%E5%8D%95%E4%BD%8D%E5%85%BB%E8%80%81%E4%BF%9D%E9%99%A9/_blank" </w:instrText>
      </w:r>
      <w:r>
        <w:fldChar w:fldCharType="separate"/>
      </w:r>
      <w:r>
        <w:rPr>
          <w:rFonts w:hint="eastAsia" w:ascii="Times New Roman" w:hAnsi="Times New Roman" w:eastAsia="仿宋" w:cs="仿宋"/>
        </w:rPr>
        <w:t>社会保障制度</w:t>
      </w:r>
      <w:r>
        <w:rPr>
          <w:rFonts w:hint="eastAsia" w:ascii="Times New Roman" w:hAnsi="Times New Roman" w:eastAsia="仿宋" w:cs="仿宋"/>
        </w:rPr>
        <w:fldChar w:fldCharType="end"/>
      </w:r>
      <w:r>
        <w:rPr>
          <w:rFonts w:hint="eastAsia" w:ascii="Times New Roman" w:hAnsi="Times New Roman" w:eastAsia="仿宋" w:cs="仿宋"/>
        </w:rPr>
        <w:t>的重要组成部分，是国家为机关事业单位职工提供的社会保险制度。为加强对我省机关事业养老保险专项资金的管理和实施，维护退休人员合法权益，根据《中华人民共和国社会保险法》、《事业单位养老保险制度改革方案》、《国务院关于机关事业单位工作人员养老保险制度改革的决定》等法律法规和文件精神，我省出台了《贯彻落实〈国务院关于机关事业单位工作人员养老保险制度改革的决定〉实施办法》、《福建省机关事业单位工作人员基本养老保险经办规程》等相关文件，惠安县也制定并印发《惠安县机关事业单位社会保险管理中心基金财务制度》进行监督管理。</w:t>
      </w:r>
    </w:p>
    <w:p>
      <w:pPr>
        <w:ind w:firstLine="560" w:firstLineChars="200"/>
        <w:rPr>
          <w:rFonts w:ascii="Times New Roman" w:hAnsi="Times New Roman" w:eastAsia="仿宋" w:cs="仿宋"/>
          <w:kern w:val="0"/>
          <w:szCs w:val="32"/>
        </w:rPr>
      </w:pPr>
      <w:r>
        <w:rPr>
          <w:rFonts w:hint="eastAsia" w:ascii="Times New Roman" w:hAnsi="Times New Roman" w:eastAsia="仿宋" w:cs="仿宋"/>
          <w:szCs w:val="28"/>
        </w:rPr>
        <w:t>机关事业养老保险专项资金</w:t>
      </w:r>
      <w:r>
        <w:rPr>
          <w:rFonts w:hint="eastAsia" w:ascii="Times New Roman" w:hAnsi="Times New Roman" w:eastAsia="仿宋" w:cs="仿宋"/>
        </w:rPr>
        <w:t>是由惠安市县级财政安排的专项资金，资</w:t>
      </w:r>
      <w:r>
        <w:rPr>
          <w:rFonts w:hint="eastAsia" w:ascii="Times New Roman" w:hAnsi="Times New Roman" w:eastAsia="仿宋" w:cs="仿宋"/>
          <w:kern w:val="0"/>
          <w:szCs w:val="32"/>
        </w:rPr>
        <w:t>金使用坚持公平、公开、公正原则，根据财力和年度任务需要，按年度编制预算。</w:t>
      </w:r>
      <w:r>
        <w:rPr>
          <w:rFonts w:hint="eastAsia" w:ascii="Times New Roman" w:hAnsi="Times New Roman" w:eastAsia="仿宋" w:cs="仿宋"/>
        </w:rPr>
        <w:t>近年来，惠安县机关社保中心紧紧围绕全局工作，以落实社会保障政策、确保退休人员养老金按时足额发放、加强社会保险基金监管工作为重点，坚持以人为本，机关事业社会保障工作稳步推进，较好的完成了上级下达的各项目标任务。截至2022年底，惠安县参保人员18107人，其中在职人员12258人，退休人员5849人，养老保险基金收入22549万元，财政补助收入15041万元，养老保险基金支出39069元，上年度基金结余4033万元，本年度基金赤字16520万元，基金滚动结余2554万元，与上年同期相比：2022年在职参保人数增加了110人；退休人员增加了174人，退休人员数量逐渐增多，规模逐渐扩大。</w:t>
      </w:r>
    </w:p>
    <w:p>
      <w:pPr>
        <w:spacing w:before="156" w:beforeLines="50" w:after="156" w:afterLines="50"/>
        <w:ind w:firstLine="643" w:firstLineChars="200"/>
        <w:outlineLvl w:val="1"/>
        <w:rPr>
          <w:rFonts w:ascii="Times New Roman" w:hAnsi="Times New Roman" w:eastAsia="仿宋" w:cs="仿宋"/>
          <w:b/>
          <w:bCs/>
          <w:sz w:val="32"/>
          <w:szCs w:val="32"/>
        </w:rPr>
      </w:pPr>
      <w:bookmarkStart w:id="12" w:name="_Toc3509"/>
      <w:r>
        <w:rPr>
          <w:rFonts w:hint="eastAsia" w:ascii="Times New Roman" w:hAnsi="Times New Roman" w:eastAsia="仿宋" w:cs="仿宋"/>
          <w:b/>
          <w:bCs/>
          <w:sz w:val="32"/>
          <w:szCs w:val="32"/>
        </w:rPr>
        <w:t>二、专项资金实施依据</w:t>
      </w:r>
      <w:bookmarkEnd w:id="11"/>
      <w:bookmarkEnd w:id="12"/>
    </w:p>
    <w:p>
      <w:pPr>
        <w:ind w:firstLine="560" w:firstLineChars="200"/>
        <w:rPr>
          <w:rFonts w:ascii="Times New Roman" w:hAnsi="Times New Roman" w:eastAsia="仿宋" w:cs="仿宋"/>
        </w:rPr>
      </w:pPr>
      <w:r>
        <w:rPr>
          <w:rFonts w:hint="eastAsia" w:ascii="Times New Roman" w:hAnsi="Times New Roman" w:eastAsia="仿宋" w:cs="仿宋"/>
          <w:szCs w:val="28"/>
        </w:rPr>
        <w:t>本专项资金立项依据为</w:t>
      </w:r>
      <w:r>
        <w:rPr>
          <w:rFonts w:hint="eastAsia" w:ascii="Times New Roman" w:hAnsi="Times New Roman" w:eastAsia="仿宋" w:cs="仿宋"/>
        </w:rPr>
        <w:t>《财政部关于机关事业单位实施养老保险制度改革有关预算管理问题的通知》（财预〔2016〕36号）、关于印发《贯彻落实&lt;国务院关于机关事业单位工作人员养老保险制度改革的决定&gt;实施办法》的通知（闽政〔2015〕48号）、《关于机关事业单位已退休人员退休费发放问题的通知》（闽人社文〔2015〕388号）</w:t>
      </w:r>
      <w:r>
        <w:rPr>
          <w:rFonts w:hint="eastAsia" w:ascii="Times New Roman" w:hAnsi="Times New Roman" w:eastAsia="仿宋" w:cs="仿宋"/>
          <w:szCs w:val="28"/>
        </w:rPr>
        <w:t>等政策文件。</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本专项资金设立申请、经费批复与实施的过程文件为《2021年养老保险基金预算编报说明》、《2021年职业年金预算编报说明》、《2022年养老保险基金预算编报说明》、《2022年职业年金预算编报说明》、《2021年惠安县部门预算公开表》、《2022年机关社保基金缺口及职业年金补助目标申报表》、《2022福建预算批复表》等。</w:t>
      </w:r>
    </w:p>
    <w:p>
      <w:pPr>
        <w:spacing w:before="156" w:beforeLines="50" w:after="156" w:afterLines="50"/>
        <w:ind w:firstLine="643" w:firstLineChars="200"/>
        <w:outlineLvl w:val="1"/>
        <w:rPr>
          <w:rFonts w:ascii="Times New Roman" w:hAnsi="Times New Roman" w:eastAsia="仿宋" w:cs="仿宋"/>
          <w:b/>
          <w:bCs/>
          <w:sz w:val="32"/>
          <w:szCs w:val="32"/>
        </w:rPr>
      </w:pPr>
      <w:bookmarkStart w:id="13" w:name="_Toc17689"/>
      <w:bookmarkStart w:id="14" w:name="_Toc1019056815"/>
      <w:r>
        <w:rPr>
          <w:rFonts w:hint="eastAsia" w:ascii="Times New Roman" w:hAnsi="Times New Roman" w:eastAsia="仿宋" w:cs="仿宋"/>
          <w:b/>
          <w:bCs/>
          <w:sz w:val="32"/>
          <w:szCs w:val="32"/>
        </w:rPr>
        <w:t>三、专项资金实施目标</w:t>
      </w:r>
      <w:bookmarkEnd w:id="13"/>
      <w:bookmarkEnd w:id="14"/>
    </w:p>
    <w:p>
      <w:pPr>
        <w:ind w:firstLine="560" w:firstLineChars="200"/>
        <w:rPr>
          <w:rFonts w:ascii="Times New Roman" w:hAnsi="Times New Roman" w:eastAsia="仿宋" w:cs="仿宋"/>
        </w:rPr>
      </w:pPr>
      <w:r>
        <w:rPr>
          <w:rFonts w:hint="eastAsia" w:ascii="Times New Roman" w:hAnsi="Times New Roman" w:eastAsia="仿宋" w:cs="仿宋"/>
          <w:szCs w:val="28"/>
        </w:rPr>
        <w:t>依据</w:t>
      </w:r>
      <w:r>
        <w:rPr>
          <w:rFonts w:hint="eastAsia" w:ascii="Times New Roman" w:hAnsi="Times New Roman" w:eastAsia="仿宋" w:cs="仿宋"/>
        </w:rPr>
        <w:t>《财政部关于机关事业单位实施养老保险制度改革有关预算管理问题的通知》（财预〔2016〕36号）、关于印发《贯彻落实&lt;国务院关于机关事业单位工作人员养老保险制度改革的决定&gt;实施办法》的通知（闽政〔2015〕48号）</w:t>
      </w:r>
      <w:r>
        <w:rPr>
          <w:rFonts w:hint="eastAsia" w:ascii="Times New Roman" w:hAnsi="Times New Roman" w:eastAsia="仿宋" w:cs="仿宋"/>
          <w:szCs w:val="28"/>
        </w:rPr>
        <w:t>等文件精神，机关事业养老保险专项资金对于保障退休人员生活、维护社会稳定发挥了重要作用。本项目总体目标为：适应机关社保业务不断发展的需要，保障机关社保工作的顺利开展，加强高素质专业化干部队伍建设，更好地发挥机关社保中心的职能作用；准确预测养老保险基金收入数和支出数，推测出基金赤字缺口，同时及时申请缺口补助；及时收缴保费收入和发放养老金支出；持续提高服务水平。</w:t>
      </w:r>
    </w:p>
    <w:p>
      <w:pPr>
        <w:tabs>
          <w:tab w:val="left" w:pos="2694"/>
        </w:tabs>
        <w:spacing w:before="156" w:beforeLines="50" w:after="156" w:afterLines="50"/>
        <w:ind w:firstLine="643" w:firstLineChars="200"/>
        <w:outlineLvl w:val="1"/>
        <w:rPr>
          <w:rFonts w:ascii="Times New Roman" w:hAnsi="Times New Roman" w:eastAsia="仿宋" w:cs="仿宋"/>
          <w:b/>
          <w:bCs/>
          <w:sz w:val="32"/>
          <w:szCs w:val="32"/>
        </w:rPr>
      </w:pPr>
      <w:bookmarkStart w:id="15" w:name="_Toc12390"/>
      <w:bookmarkStart w:id="16" w:name="_Toc1474093742"/>
      <w:r>
        <w:rPr>
          <w:rFonts w:hint="eastAsia" w:ascii="Times New Roman" w:hAnsi="Times New Roman" w:eastAsia="仿宋" w:cs="仿宋"/>
          <w:b/>
          <w:bCs/>
          <w:sz w:val="32"/>
          <w:szCs w:val="32"/>
        </w:rPr>
        <w:t>四、专项资金执行情况</w:t>
      </w:r>
      <w:bookmarkEnd w:id="15"/>
      <w:bookmarkEnd w:id="16"/>
    </w:p>
    <w:p>
      <w:pPr>
        <w:ind w:firstLine="560" w:firstLineChars="200"/>
        <w:rPr>
          <w:rFonts w:ascii="Times New Roman" w:hAnsi="Times New Roman" w:eastAsia="仿宋" w:cs="仿宋"/>
          <w:szCs w:val="28"/>
        </w:rPr>
      </w:pPr>
      <w:bookmarkStart w:id="17" w:name="_Hlk115714663"/>
      <w:r>
        <w:rPr>
          <w:rFonts w:hint="eastAsia" w:ascii="Times New Roman" w:hAnsi="Times New Roman" w:eastAsia="仿宋" w:cs="仿宋"/>
          <w:szCs w:val="28"/>
        </w:rPr>
        <w:t>根据2</w:t>
      </w:r>
      <w:r>
        <w:rPr>
          <w:rFonts w:ascii="Times New Roman" w:hAnsi="Times New Roman" w:eastAsia="仿宋" w:cs="仿宋"/>
          <w:szCs w:val="28"/>
        </w:rPr>
        <w:t>021</w:t>
      </w:r>
      <w:r>
        <w:rPr>
          <w:rFonts w:hint="eastAsia" w:ascii="Times New Roman" w:hAnsi="Times New Roman" w:eastAsia="仿宋" w:cs="仿宋"/>
          <w:szCs w:val="28"/>
        </w:rPr>
        <w:t>年和2</w:t>
      </w:r>
      <w:r>
        <w:rPr>
          <w:rFonts w:ascii="Times New Roman" w:hAnsi="Times New Roman" w:eastAsia="仿宋" w:cs="仿宋"/>
          <w:szCs w:val="28"/>
        </w:rPr>
        <w:t>022</w:t>
      </w:r>
      <w:r>
        <w:rPr>
          <w:rFonts w:hint="eastAsia" w:ascii="Times New Roman" w:hAnsi="Times New Roman" w:eastAsia="仿宋" w:cs="仿宋"/>
          <w:szCs w:val="28"/>
        </w:rPr>
        <w:t>年专项资金预算编报说明以及《财政部、人力资源社会保障部、国家卫生计生委关于编报2021年社会保险基金预算的通知》（财社〔</w:t>
      </w:r>
      <w:r>
        <w:rPr>
          <w:rFonts w:ascii="Times New Roman" w:hAnsi="Times New Roman" w:eastAsia="仿宋" w:cs="仿宋"/>
          <w:szCs w:val="28"/>
        </w:rPr>
        <w:t>2020</w:t>
      </w:r>
      <w:r>
        <w:rPr>
          <w:rFonts w:hint="eastAsia" w:ascii="Times New Roman" w:hAnsi="Times New Roman" w:eastAsia="仿宋" w:cs="仿宋"/>
          <w:szCs w:val="28"/>
        </w:rPr>
        <w:t>〕1</w:t>
      </w:r>
      <w:r>
        <w:rPr>
          <w:rFonts w:ascii="Times New Roman" w:hAnsi="Times New Roman" w:eastAsia="仿宋" w:cs="仿宋"/>
          <w:szCs w:val="28"/>
        </w:rPr>
        <w:t>22</w:t>
      </w:r>
      <w:r>
        <w:rPr>
          <w:rFonts w:hint="eastAsia" w:ascii="Times New Roman" w:hAnsi="Times New Roman" w:eastAsia="仿宋" w:cs="仿宋"/>
          <w:szCs w:val="28"/>
        </w:rPr>
        <w:t>号）等文件要求，惠安县机关事业单位社会保险中心根据参保人数和统筹标准，预计2021年全年养老保险基金收入20813万元，养老保险基金支出36791万元，全年收支赤字15978万元；根据收入和支出情况，预计2021年12月及以前职业年金记实及退费款项4798.84万元，需预算安排2021年财政拨付职业年金记实资金4151万元；预计2022年全年养老保险基金收入22511万元，养老保险基金支出39460万元，全年收支赤字16949万元；预计2022年退休人员职业年金记实人数254人，人均记实支出约6万元，全年预计职业年金支出1524万元，需预算安排2022年财政拨付职业年金记实资金1524万元。上述养老保险基金收入的收支赤字均由本级财政补助。</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惠安县机关事业单位社会保险中心根据实际情况计算基金缺口，于2021年申报机关事业养老保险专项资金缺口补助15365亿元，实际投入值为15365亿元，完成目标值的100.00%；于2022年年初申报机关事业养老保险专项资金缺口补助17405.18亿元，全年总预算为18236.18亿元，实际投入值为18235.82亿元，完成目标值的104.77%，实际投入值较高是因为养老保险收入在月底完成，养老保险支出在月初完成，导致12月支出时12月的收入还没有到位，还存在缺口，于是追加预算831万元，全年财政的总预算较年初相比有所提高。惠安县机关事业养老保险专项资金整体执行情况较好，实现了较准确预测养老保险基金收入数和支出数，较准确预测基金赤字缺口，及时申请缺口补助；及时收缴保费收入和发放养老金支出；持续提高服务水平等项目目标。</w:t>
      </w:r>
    </w:p>
    <w:bookmarkEnd w:id="17"/>
    <w:p>
      <w:pPr>
        <w:spacing w:before="156" w:beforeLines="50" w:after="156" w:afterLines="50"/>
        <w:ind w:firstLine="643" w:firstLineChars="200"/>
        <w:outlineLvl w:val="1"/>
        <w:rPr>
          <w:rFonts w:ascii="Times New Roman" w:hAnsi="Times New Roman" w:eastAsia="仿宋" w:cs="仿宋"/>
          <w:b/>
          <w:bCs/>
          <w:sz w:val="32"/>
          <w:szCs w:val="32"/>
        </w:rPr>
      </w:pPr>
      <w:bookmarkStart w:id="18" w:name="_Toc1389323381"/>
      <w:bookmarkStart w:id="19" w:name="_Toc14082"/>
      <w:r>
        <w:rPr>
          <w:rFonts w:hint="eastAsia" w:ascii="Times New Roman" w:hAnsi="Times New Roman" w:eastAsia="仿宋" w:cs="仿宋"/>
          <w:b/>
          <w:bCs/>
          <w:sz w:val="32"/>
          <w:szCs w:val="32"/>
        </w:rPr>
        <w:t>五、专项资金管理流程</w:t>
      </w:r>
      <w:bookmarkEnd w:id="18"/>
      <w:bookmarkEnd w:id="19"/>
    </w:p>
    <w:p>
      <w:pPr>
        <w:ind w:firstLine="560" w:firstLineChars="200"/>
        <w:rPr>
          <w:rFonts w:ascii="Times New Roman" w:hAnsi="Times New Roman" w:eastAsia="仿宋" w:cs="仿宋"/>
          <w:szCs w:val="28"/>
        </w:rPr>
      </w:pPr>
      <w:r>
        <w:rPr>
          <w:rFonts w:hint="eastAsia" w:ascii="Times New Roman" w:hAnsi="Times New Roman" w:eastAsia="仿宋" w:cs="仿宋"/>
          <w:szCs w:val="28"/>
        </w:rPr>
        <w:t>根据财政部文件《财政部关于机关事业单位实施养老保险制度改革有关预算管理问题的通知》（财预〔2016〕36号），机关事业养老保险专项资金是由惠安县县级财政安排的专项资金，主要用于保障惠安县机关事业单位职工的晚年生活与权益，提高养老服务水平，具体工作程序如下：</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（一）项目申报。项目单位按照县财政局下发的申报建设项目资金文件，开展项目申报，项目单位按照申报文件要求备齐资料，由项目单位直接上报，报送县财政局。</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（二）项目审批。县人社局和财政局根据申报情况，对申报项目进行资料审核和现场核查,通过验收的项目方可予以支持。</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（三）资金拨付。每年项目资金纳入县财政预算，县财政局根据项目申报评审结果拨付资金。</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本专项资金的主管单位为惠安县人力资源和社会保障局，实施单位为实际申请项目单位，即惠安县机关事业单位社会保险中心。机关事业养老保险专项资金申报项目，是财政对惠安县机关事业单位基本养老保险基金缺口的补助，确保全县养老保险金每月准时足额发放到位。县人社局和财政局按照项目规定的有关条件,对项目申请单位提交材料的真实性、可靠性进行核实，并对申报企业进行现场踏勘，进一步核实申报材料的真实性和可靠性。项目进展相对顺利，严格按照《惠安县机关事业单位社会保险管理中心基金财务制度》及项目申报文件要求，逐一落实所申报项目材料的真实性，共同对申报项目的资金具体要求进行审核，提出资金安排计划，按财政资金管理程序下达资金。此外，县人社局和县财政局对项目资金的拨付情况及实施情况进行监督检查，以提高资金使用效益，项目单位要严格按照国家和省市有关规定管理和使用项目资金,并自觉接受有关部门的监督检查。</w:t>
      </w:r>
    </w:p>
    <w:p>
      <w:pPr>
        <w:widowControl/>
        <w:spacing w:line="240" w:lineRule="auto"/>
        <w:jc w:val="left"/>
        <w:rPr>
          <w:rFonts w:ascii="Times New Roman" w:hAnsi="Times New Roman" w:eastAsia="仿宋" w:cs="仿宋"/>
        </w:rPr>
      </w:pPr>
      <w:r>
        <w:rPr>
          <w:rFonts w:hint="eastAsia" w:ascii="Times New Roman" w:hAnsi="Times New Roman" w:eastAsia="仿宋" w:cs="仿宋"/>
        </w:rPr>
        <w:br w:type="page"/>
      </w:r>
    </w:p>
    <w:p>
      <w:pPr>
        <w:rPr>
          <w:rFonts w:ascii="Times New Roman" w:hAnsi="Times New Roman" w:eastAsia="仿宋" w:cs="仿宋"/>
        </w:rPr>
      </w:pPr>
    </w:p>
    <w:p>
      <w:pPr>
        <w:jc w:val="center"/>
        <w:outlineLvl w:val="0"/>
        <w:rPr>
          <w:rFonts w:ascii="Times New Roman" w:hAnsi="Times New Roman" w:eastAsia="仿宋" w:cs="仿宋"/>
          <w:b/>
          <w:bCs/>
          <w:sz w:val="36"/>
          <w:szCs w:val="36"/>
        </w:rPr>
      </w:pPr>
      <w:bookmarkStart w:id="20" w:name="_Toc4828"/>
      <w:bookmarkStart w:id="21" w:name="_Toc649299437"/>
      <w:r>
        <w:rPr>
          <w:rFonts w:hint="eastAsia" w:ascii="Times New Roman" w:hAnsi="Times New Roman" w:eastAsia="仿宋" w:cs="仿宋"/>
          <w:b/>
          <w:bCs/>
          <w:sz w:val="36"/>
          <w:szCs w:val="36"/>
        </w:rPr>
        <w:t>第二部分 绩效评价工作开展情况</w:t>
      </w:r>
      <w:bookmarkEnd w:id="20"/>
      <w:bookmarkEnd w:id="21"/>
    </w:p>
    <w:p>
      <w:pPr>
        <w:rPr>
          <w:rFonts w:ascii="Times New Roman" w:hAnsi="Times New Roman" w:eastAsia="仿宋" w:cs="仿宋"/>
        </w:rPr>
      </w:pPr>
    </w:p>
    <w:p>
      <w:pPr>
        <w:spacing w:before="156" w:beforeLines="50" w:after="156" w:afterLines="50"/>
        <w:ind w:firstLine="643" w:firstLineChars="200"/>
        <w:outlineLvl w:val="1"/>
        <w:rPr>
          <w:rFonts w:ascii="Times New Roman" w:hAnsi="Times New Roman" w:eastAsia="仿宋" w:cs="仿宋"/>
          <w:sz w:val="32"/>
          <w:szCs w:val="32"/>
        </w:rPr>
      </w:pPr>
      <w:bookmarkStart w:id="22" w:name="_Toc1925960322"/>
      <w:bookmarkStart w:id="23" w:name="_Toc5298"/>
      <w:r>
        <w:rPr>
          <w:rFonts w:hint="eastAsia" w:ascii="Times New Roman" w:hAnsi="Times New Roman" w:eastAsia="仿宋" w:cs="仿宋"/>
          <w:b/>
          <w:bCs/>
          <w:sz w:val="32"/>
          <w:szCs w:val="32"/>
        </w:rPr>
        <w:t>一、评价工作组介绍</w:t>
      </w:r>
      <w:bookmarkEnd w:id="22"/>
      <w:bookmarkEnd w:id="23"/>
    </w:p>
    <w:p>
      <w:pPr>
        <w:ind w:firstLine="560" w:firstLineChars="200"/>
        <w:rPr>
          <w:rFonts w:ascii="Times New Roman" w:hAnsi="Times New Roman" w:eastAsia="仿宋" w:cs="仿宋"/>
          <w:szCs w:val="28"/>
        </w:rPr>
      </w:pPr>
      <w:r>
        <w:rPr>
          <w:rFonts w:hint="eastAsia" w:ascii="Times New Roman" w:hAnsi="Times New Roman" w:eastAsia="仿宋" w:cs="仿宋"/>
          <w:szCs w:val="28"/>
        </w:rPr>
        <w:t>惠安县2021-2022年机关事业养老保险专项资金部门绩效评价工作组包括</w:t>
      </w:r>
      <w:r>
        <w:rPr>
          <w:rFonts w:hint="eastAsia" w:ascii="仿宋" w:hAnsi="仿宋" w:eastAsia="仿宋"/>
          <w:color w:val="333333"/>
          <w:shd w:val="clear" w:color="auto" w:fill="FFFFFF"/>
        </w:rPr>
        <w:t>福州市韦兰信息科技有限公司评价人员</w:t>
      </w:r>
      <w:r>
        <w:rPr>
          <w:rFonts w:hint="eastAsia" w:ascii="Times New Roman" w:hAnsi="Times New Roman" w:eastAsia="仿宋" w:cs="仿宋"/>
          <w:szCs w:val="28"/>
        </w:rPr>
        <w:t>。本次部门评价工作组通过组织实施部门绩效评价工作，拟定评价方案、及时收集、汇总和分析资料，最终形成有效的评价组织架构。</w:t>
      </w:r>
    </w:p>
    <w:p>
      <w:pPr>
        <w:spacing w:before="156" w:beforeLines="50" w:after="156" w:afterLines="50"/>
        <w:ind w:firstLine="643" w:firstLineChars="200"/>
        <w:outlineLvl w:val="1"/>
        <w:rPr>
          <w:rFonts w:ascii="Times New Roman" w:hAnsi="Times New Roman" w:eastAsia="仿宋" w:cs="仿宋"/>
          <w:sz w:val="32"/>
          <w:szCs w:val="32"/>
        </w:rPr>
      </w:pPr>
      <w:bookmarkStart w:id="24" w:name="_Toc25009"/>
      <w:bookmarkStart w:id="25" w:name="_Toc702933774"/>
      <w:r>
        <w:rPr>
          <w:rFonts w:hint="eastAsia" w:ascii="Times New Roman" w:hAnsi="Times New Roman" w:eastAsia="仿宋" w:cs="仿宋"/>
          <w:b/>
          <w:bCs/>
          <w:sz w:val="32"/>
          <w:szCs w:val="32"/>
        </w:rPr>
        <w:t>二、评价目的</w:t>
      </w:r>
      <w:bookmarkEnd w:id="24"/>
      <w:bookmarkEnd w:id="25"/>
    </w:p>
    <w:p>
      <w:pPr>
        <w:ind w:firstLine="560" w:firstLineChars="200"/>
        <w:rPr>
          <w:rFonts w:ascii="Times New Roman" w:hAnsi="Times New Roman" w:eastAsia="仿宋" w:cs="仿宋"/>
          <w:szCs w:val="28"/>
        </w:rPr>
      </w:pPr>
      <w:r>
        <w:rPr>
          <w:rFonts w:hint="eastAsia" w:ascii="Times New Roman" w:hAnsi="Times New Roman" w:eastAsia="仿宋" w:cs="仿宋"/>
          <w:szCs w:val="28"/>
        </w:rPr>
        <w:t>全面评价惠安县机关事业养老保险专项资金的使用和管理情况、绩效目标完成情况，并从项目资金使用合规性及成本控制有效性入手，分析项目效益水平，强化预算绩效责任，提高财政资金配置和使用效益。同时，通过运用科学、合理的绩效评价指标、评价标准和评价方法，发现项目实施过程中存在的问题并提出建议。结合评价情况，进一步促进项目规范运营，提高项目运行管理水平。本次绩效评价的目的是：</w:t>
      </w:r>
    </w:p>
    <w:p>
      <w:pPr>
        <w:ind w:firstLine="562" w:firstLineChars="200"/>
        <w:outlineLvl w:val="2"/>
        <w:rPr>
          <w:rFonts w:ascii="Times New Roman" w:hAnsi="Times New Roman" w:eastAsia="仿宋" w:cs="仿宋"/>
          <w:b/>
          <w:bCs/>
          <w:szCs w:val="28"/>
        </w:rPr>
      </w:pPr>
      <w:bookmarkStart w:id="26" w:name="_Toc1038691344"/>
      <w:bookmarkStart w:id="27" w:name="_Toc2847"/>
      <w:r>
        <w:rPr>
          <w:rFonts w:hint="eastAsia" w:ascii="Times New Roman" w:hAnsi="Times New Roman" w:eastAsia="仿宋" w:cs="仿宋"/>
          <w:b/>
          <w:bCs/>
          <w:szCs w:val="28"/>
        </w:rPr>
        <w:t>（一）评价专项资金管理的规范性和合理性</w:t>
      </w:r>
      <w:bookmarkEnd w:id="26"/>
      <w:bookmarkEnd w:id="27"/>
    </w:p>
    <w:p>
      <w:pPr>
        <w:ind w:firstLine="560" w:firstLineChars="200"/>
        <w:rPr>
          <w:rFonts w:ascii="Times New Roman" w:hAnsi="Times New Roman" w:eastAsia="仿宋" w:cs="仿宋"/>
          <w:szCs w:val="28"/>
        </w:rPr>
      </w:pPr>
      <w:r>
        <w:rPr>
          <w:rFonts w:hint="eastAsia" w:ascii="Times New Roman" w:hAnsi="Times New Roman" w:eastAsia="仿宋" w:cs="仿宋"/>
          <w:szCs w:val="28"/>
        </w:rPr>
        <w:t>通过评估资金分配办法、标准的合理性、资金安排与目标任务的匹配度及资金下拨、实施进度的及时性等，发现资金分配、使用、管理等方面存在的问题。</w:t>
      </w:r>
    </w:p>
    <w:p>
      <w:pPr>
        <w:ind w:firstLine="562" w:firstLineChars="200"/>
        <w:outlineLvl w:val="2"/>
        <w:rPr>
          <w:rFonts w:ascii="Times New Roman" w:hAnsi="Times New Roman" w:eastAsia="仿宋" w:cs="仿宋"/>
          <w:b/>
          <w:bCs/>
          <w:szCs w:val="28"/>
        </w:rPr>
      </w:pPr>
      <w:bookmarkStart w:id="28" w:name="_Toc1244625645"/>
      <w:bookmarkStart w:id="29" w:name="_Toc1474"/>
      <w:r>
        <w:rPr>
          <w:rFonts w:hint="eastAsia" w:ascii="Times New Roman" w:hAnsi="Times New Roman" w:eastAsia="仿宋" w:cs="仿宋"/>
          <w:b/>
          <w:bCs/>
          <w:szCs w:val="28"/>
        </w:rPr>
        <w:t>（二）评价专项资金的产出和效果</w:t>
      </w:r>
      <w:bookmarkEnd w:id="28"/>
      <w:bookmarkEnd w:id="29"/>
    </w:p>
    <w:p>
      <w:pPr>
        <w:ind w:firstLine="560" w:firstLineChars="200"/>
        <w:rPr>
          <w:rFonts w:ascii="Times New Roman" w:hAnsi="Times New Roman" w:eastAsia="仿宋" w:cs="仿宋"/>
          <w:szCs w:val="28"/>
        </w:rPr>
      </w:pPr>
      <w:r>
        <w:rPr>
          <w:rFonts w:hint="eastAsia" w:ascii="Times New Roman" w:hAnsi="Times New Roman" w:eastAsia="仿宋" w:cs="仿宋"/>
          <w:szCs w:val="28"/>
        </w:rPr>
        <w:t>评价专项资金的产出和效益目标的实现情况，为完善预算绩效管理提供参考依据。</w:t>
      </w:r>
    </w:p>
    <w:p>
      <w:pPr>
        <w:ind w:firstLine="562" w:firstLineChars="200"/>
        <w:outlineLvl w:val="2"/>
        <w:rPr>
          <w:rFonts w:ascii="Times New Roman" w:hAnsi="Times New Roman" w:eastAsia="仿宋" w:cs="仿宋"/>
          <w:b/>
          <w:bCs/>
          <w:szCs w:val="28"/>
        </w:rPr>
      </w:pPr>
      <w:bookmarkStart w:id="30" w:name="_Toc452575074"/>
      <w:bookmarkStart w:id="31" w:name="_Toc30854"/>
      <w:r>
        <w:rPr>
          <w:rFonts w:hint="eastAsia" w:ascii="Times New Roman" w:hAnsi="Times New Roman" w:eastAsia="仿宋" w:cs="仿宋"/>
          <w:b/>
          <w:bCs/>
          <w:szCs w:val="28"/>
        </w:rPr>
        <w:t>（三）</w:t>
      </w:r>
      <w:bookmarkEnd w:id="30"/>
      <w:r>
        <w:rPr>
          <w:rFonts w:hint="eastAsia" w:ascii="Times New Roman" w:hAnsi="Times New Roman" w:eastAsia="仿宋" w:cs="仿宋"/>
          <w:b/>
          <w:bCs/>
          <w:szCs w:val="28"/>
        </w:rPr>
        <w:t>保障事业单位退休人员权益，提高服务水平</w:t>
      </w:r>
      <w:bookmarkEnd w:id="31"/>
    </w:p>
    <w:p>
      <w:pPr>
        <w:ind w:firstLine="560" w:firstLineChars="200"/>
        <w:rPr>
          <w:rFonts w:ascii="Times New Roman" w:hAnsi="Times New Roman" w:eastAsia="仿宋" w:cs="仿宋"/>
          <w:szCs w:val="28"/>
        </w:rPr>
      </w:pPr>
      <w:r>
        <w:rPr>
          <w:rFonts w:hint="eastAsia" w:ascii="Times New Roman" w:hAnsi="Times New Roman" w:eastAsia="仿宋" w:cs="仿宋"/>
          <w:szCs w:val="28"/>
        </w:rPr>
        <w:t>通过绩效评价，针对绩效管理过程中存在的问题和薄弱环节，提出专项管理的优化方案。发挥专项资金作用，保障惠安县机关事业单位职工的晚年生活与权益，提高养老服务水平。</w:t>
      </w:r>
    </w:p>
    <w:p>
      <w:pPr>
        <w:spacing w:before="156" w:beforeLines="50" w:after="156" w:afterLines="50"/>
        <w:ind w:firstLine="643" w:firstLineChars="200"/>
        <w:outlineLvl w:val="1"/>
        <w:rPr>
          <w:rFonts w:ascii="Times New Roman" w:hAnsi="Times New Roman" w:eastAsia="仿宋" w:cs="仿宋"/>
          <w:sz w:val="32"/>
          <w:szCs w:val="32"/>
        </w:rPr>
      </w:pPr>
      <w:bookmarkStart w:id="32" w:name="_Toc1943839548"/>
      <w:bookmarkStart w:id="33" w:name="_Toc25055"/>
      <w:r>
        <w:rPr>
          <w:rFonts w:hint="eastAsia" w:ascii="Times New Roman" w:hAnsi="Times New Roman" w:eastAsia="仿宋" w:cs="仿宋"/>
          <w:b/>
          <w:bCs/>
          <w:sz w:val="32"/>
          <w:szCs w:val="32"/>
        </w:rPr>
        <w:t>三、评价对象</w:t>
      </w:r>
      <w:bookmarkEnd w:id="32"/>
      <w:bookmarkEnd w:id="33"/>
    </w:p>
    <w:p>
      <w:pPr>
        <w:ind w:firstLine="560" w:firstLineChars="200"/>
        <w:rPr>
          <w:rFonts w:ascii="Times New Roman" w:hAnsi="Times New Roman" w:eastAsia="仿宋" w:cs="仿宋"/>
          <w:szCs w:val="28"/>
        </w:rPr>
      </w:pPr>
      <w:bookmarkStart w:id="34" w:name="_Toc1547353198"/>
      <w:r>
        <w:rPr>
          <w:rFonts w:hint="eastAsia" w:ascii="Times New Roman" w:hAnsi="Times New Roman" w:eastAsia="仿宋" w:cs="仿宋"/>
          <w:szCs w:val="28"/>
        </w:rPr>
        <w:t>本次绩效评价对象是惠安县2021-2022年度机关事业养老保险资金，必要时可追溯及以前年度。</w:t>
      </w:r>
    </w:p>
    <w:p>
      <w:pPr>
        <w:spacing w:before="156" w:beforeLines="50" w:after="156" w:afterLines="50"/>
        <w:ind w:firstLine="643" w:firstLineChars="200"/>
        <w:outlineLvl w:val="1"/>
        <w:rPr>
          <w:rFonts w:ascii="Times New Roman" w:hAnsi="Times New Roman" w:eastAsia="仿宋" w:cs="仿宋"/>
          <w:b/>
          <w:bCs/>
          <w:sz w:val="32"/>
          <w:szCs w:val="32"/>
        </w:rPr>
      </w:pPr>
      <w:bookmarkStart w:id="35" w:name="_Toc25561"/>
      <w:r>
        <w:rPr>
          <w:rFonts w:hint="eastAsia" w:ascii="Times New Roman" w:hAnsi="Times New Roman" w:eastAsia="仿宋" w:cs="仿宋"/>
          <w:b/>
          <w:bCs/>
          <w:sz w:val="32"/>
          <w:szCs w:val="32"/>
        </w:rPr>
        <w:t>四、评价范围</w:t>
      </w:r>
      <w:bookmarkEnd w:id="34"/>
      <w:bookmarkEnd w:id="35"/>
    </w:p>
    <w:p>
      <w:pPr>
        <w:ind w:firstLine="560" w:firstLineChars="200"/>
        <w:rPr>
          <w:rFonts w:ascii="Times New Roman" w:hAnsi="Times New Roman" w:eastAsia="仿宋" w:cs="仿宋"/>
          <w:szCs w:val="28"/>
        </w:rPr>
      </w:pPr>
      <w:r>
        <w:rPr>
          <w:rFonts w:hint="eastAsia" w:ascii="Times New Roman" w:hAnsi="Times New Roman" w:eastAsia="仿宋" w:cs="仿宋"/>
          <w:szCs w:val="28"/>
        </w:rPr>
        <w:t>评价的范围主要包括专项资金的决策情况、资金管理和使用情况、相关管理制度办法的健全性及执行情况、实现的产出情况和取得的效益情况等。</w:t>
      </w:r>
    </w:p>
    <w:p>
      <w:pPr>
        <w:spacing w:before="156" w:beforeLines="50" w:after="156" w:afterLines="50"/>
        <w:ind w:firstLine="643" w:firstLineChars="200"/>
        <w:outlineLvl w:val="1"/>
        <w:rPr>
          <w:rFonts w:ascii="Times New Roman" w:hAnsi="Times New Roman" w:eastAsia="仿宋" w:cs="仿宋"/>
          <w:b/>
          <w:bCs/>
          <w:sz w:val="32"/>
          <w:szCs w:val="32"/>
        </w:rPr>
      </w:pPr>
      <w:bookmarkStart w:id="36" w:name="_Toc406472542"/>
      <w:bookmarkStart w:id="37" w:name="_Toc23311"/>
      <w:r>
        <w:rPr>
          <w:rFonts w:hint="eastAsia" w:ascii="Times New Roman" w:hAnsi="Times New Roman" w:eastAsia="仿宋" w:cs="仿宋"/>
          <w:b/>
          <w:bCs/>
          <w:sz w:val="32"/>
          <w:szCs w:val="32"/>
        </w:rPr>
        <w:t>五、评价原则</w:t>
      </w:r>
      <w:bookmarkEnd w:id="36"/>
      <w:bookmarkEnd w:id="37"/>
    </w:p>
    <w:p>
      <w:pPr>
        <w:ind w:firstLine="562" w:firstLineChars="200"/>
        <w:outlineLvl w:val="2"/>
        <w:rPr>
          <w:rFonts w:ascii="Times New Roman" w:hAnsi="Times New Roman" w:eastAsia="仿宋" w:cs="仿宋"/>
          <w:b/>
          <w:bCs/>
          <w:szCs w:val="28"/>
        </w:rPr>
      </w:pPr>
      <w:bookmarkStart w:id="38" w:name="_Toc6257"/>
      <w:r>
        <w:rPr>
          <w:rFonts w:hint="eastAsia" w:ascii="Times New Roman" w:hAnsi="Times New Roman" w:eastAsia="仿宋" w:cs="仿宋"/>
          <w:b/>
          <w:bCs/>
          <w:szCs w:val="28"/>
        </w:rPr>
        <w:t>（一）服务大局原则</w:t>
      </w:r>
      <w:bookmarkEnd w:id="38"/>
    </w:p>
    <w:p>
      <w:pPr>
        <w:ind w:firstLine="560" w:firstLineChars="200"/>
        <w:rPr>
          <w:rFonts w:ascii="Times New Roman" w:hAnsi="Times New Roman" w:eastAsia="仿宋" w:cs="仿宋"/>
          <w:szCs w:val="28"/>
        </w:rPr>
      </w:pPr>
      <w:r>
        <w:rPr>
          <w:rFonts w:hint="eastAsia" w:ascii="Times New Roman" w:hAnsi="Times New Roman" w:eastAsia="仿宋" w:cs="仿宋"/>
          <w:szCs w:val="28"/>
        </w:rPr>
        <w:t>项目的绩效评价工作应坚持党中央、国务院、福建省关于深化预算管理体制的有关精神和通知文件。</w:t>
      </w:r>
    </w:p>
    <w:p>
      <w:pPr>
        <w:ind w:firstLine="562" w:firstLineChars="200"/>
        <w:outlineLvl w:val="2"/>
        <w:rPr>
          <w:rFonts w:ascii="Times New Roman" w:hAnsi="Times New Roman" w:eastAsia="仿宋" w:cs="仿宋"/>
          <w:b/>
          <w:bCs/>
          <w:szCs w:val="28"/>
        </w:rPr>
      </w:pPr>
      <w:bookmarkStart w:id="39" w:name="_Toc26606"/>
      <w:r>
        <w:rPr>
          <w:rFonts w:hint="eastAsia" w:ascii="Times New Roman" w:hAnsi="Times New Roman" w:eastAsia="仿宋" w:cs="仿宋"/>
          <w:b/>
          <w:bCs/>
          <w:szCs w:val="28"/>
        </w:rPr>
        <w:t>（二）科学规范原则</w:t>
      </w:r>
      <w:bookmarkEnd w:id="39"/>
    </w:p>
    <w:p>
      <w:pPr>
        <w:ind w:firstLine="560" w:firstLineChars="200"/>
        <w:rPr>
          <w:rFonts w:ascii="Times New Roman" w:hAnsi="Times New Roman" w:eastAsia="仿宋" w:cs="仿宋"/>
          <w:szCs w:val="28"/>
        </w:rPr>
      </w:pPr>
      <w:r>
        <w:rPr>
          <w:rFonts w:hint="eastAsia" w:ascii="Times New Roman" w:hAnsi="Times New Roman" w:eastAsia="仿宋" w:cs="仿宋"/>
          <w:szCs w:val="28"/>
        </w:rPr>
        <w:t>绩效评价应当运用科学合理的方法，根据《财政部关于印发&lt;项目支出绩效评价管理办法&gt;》（财预〔2020〕10号）等文件的相关要求，按照科学可行的原则和规范的程序，采取定量分析与定性分析相结合的评价方法，对项目绩效进行客观、公正的反映。</w:t>
      </w:r>
    </w:p>
    <w:p>
      <w:pPr>
        <w:ind w:firstLine="562" w:firstLineChars="200"/>
        <w:outlineLvl w:val="2"/>
        <w:rPr>
          <w:rFonts w:ascii="Times New Roman" w:hAnsi="Times New Roman" w:eastAsia="仿宋" w:cs="仿宋"/>
          <w:b/>
          <w:bCs/>
          <w:szCs w:val="28"/>
        </w:rPr>
      </w:pPr>
      <w:bookmarkStart w:id="40" w:name="_Toc20605"/>
      <w:r>
        <w:rPr>
          <w:rFonts w:hint="eastAsia" w:ascii="Times New Roman" w:hAnsi="Times New Roman" w:eastAsia="仿宋" w:cs="仿宋"/>
          <w:b/>
          <w:bCs/>
          <w:szCs w:val="28"/>
        </w:rPr>
        <w:t>（三）公正公开原则</w:t>
      </w:r>
      <w:bookmarkEnd w:id="40"/>
    </w:p>
    <w:p>
      <w:pPr>
        <w:ind w:firstLine="560" w:firstLineChars="200"/>
        <w:rPr>
          <w:rFonts w:ascii="Times New Roman" w:hAnsi="Times New Roman" w:eastAsia="仿宋" w:cs="仿宋"/>
          <w:szCs w:val="28"/>
        </w:rPr>
      </w:pPr>
      <w:r>
        <w:rPr>
          <w:rFonts w:hint="eastAsia" w:ascii="Times New Roman" w:hAnsi="Times New Roman" w:eastAsia="仿宋" w:cs="仿宋"/>
          <w:szCs w:val="28"/>
        </w:rPr>
        <w:t>项目的绩效评价应符合真实、客观、公正的要求，优先使用最具评价对象代表性、最能反映评价要求的核心指标，评价依法公开并接受监督。</w:t>
      </w:r>
    </w:p>
    <w:p>
      <w:pPr>
        <w:ind w:firstLine="562" w:firstLineChars="200"/>
        <w:outlineLvl w:val="2"/>
        <w:rPr>
          <w:rFonts w:ascii="Times New Roman" w:hAnsi="Times New Roman" w:eastAsia="仿宋" w:cs="仿宋"/>
          <w:b/>
          <w:bCs/>
          <w:szCs w:val="28"/>
        </w:rPr>
      </w:pPr>
      <w:bookmarkStart w:id="41" w:name="_Toc2025"/>
      <w:r>
        <w:rPr>
          <w:rFonts w:hint="eastAsia" w:ascii="Times New Roman" w:hAnsi="Times New Roman" w:eastAsia="仿宋" w:cs="仿宋"/>
          <w:b/>
          <w:bCs/>
          <w:szCs w:val="28"/>
        </w:rPr>
        <w:t>（四）问题导向原则</w:t>
      </w:r>
      <w:bookmarkEnd w:id="41"/>
    </w:p>
    <w:p>
      <w:pPr>
        <w:ind w:firstLine="560" w:firstLineChars="200"/>
        <w:rPr>
          <w:rFonts w:ascii="Times New Roman" w:hAnsi="Times New Roman" w:eastAsia="仿宋" w:cs="仿宋"/>
          <w:szCs w:val="28"/>
        </w:rPr>
      </w:pPr>
      <w:r>
        <w:rPr>
          <w:rFonts w:hint="eastAsia" w:ascii="Times New Roman" w:hAnsi="Times New Roman" w:eastAsia="仿宋" w:cs="仿宋"/>
          <w:szCs w:val="28"/>
        </w:rPr>
        <w:t>项目的绩效评价工作应坚持问题导向，深入挖掘并系统反映项目在预算管理、业务管理、采购管理、绩效管理和财务管理等方面存在的问题，并提出优化管理的建议。</w:t>
      </w:r>
    </w:p>
    <w:p>
      <w:pPr>
        <w:ind w:firstLine="562" w:firstLineChars="200"/>
        <w:outlineLvl w:val="2"/>
        <w:rPr>
          <w:rFonts w:ascii="Times New Roman" w:hAnsi="Times New Roman" w:eastAsia="仿宋" w:cs="仿宋"/>
          <w:b/>
          <w:bCs/>
          <w:szCs w:val="28"/>
        </w:rPr>
      </w:pPr>
      <w:bookmarkStart w:id="42" w:name="_Toc27595"/>
      <w:r>
        <w:rPr>
          <w:rFonts w:hint="eastAsia" w:ascii="Times New Roman" w:hAnsi="Times New Roman" w:eastAsia="仿宋" w:cs="仿宋"/>
          <w:b/>
          <w:bCs/>
          <w:szCs w:val="28"/>
        </w:rPr>
        <w:t>（五）绩效相关原则</w:t>
      </w:r>
      <w:bookmarkEnd w:id="42"/>
    </w:p>
    <w:p>
      <w:pPr>
        <w:ind w:firstLine="560" w:firstLineChars="200"/>
        <w:rPr>
          <w:rFonts w:ascii="Times New Roman" w:hAnsi="Times New Roman" w:eastAsia="仿宋" w:cs="仿宋"/>
          <w:szCs w:val="28"/>
        </w:rPr>
      </w:pPr>
      <w:r>
        <w:rPr>
          <w:rFonts w:hint="eastAsia" w:ascii="Times New Roman" w:hAnsi="Times New Roman" w:eastAsia="仿宋" w:cs="仿宋"/>
          <w:szCs w:val="28"/>
        </w:rPr>
        <w:t>绩效评价主要从项目的决策、过程、产出和效益四个维度展开，评价结果应清晰反映项目的实施效果。</w:t>
      </w:r>
    </w:p>
    <w:p>
      <w:pPr>
        <w:spacing w:before="156" w:beforeLines="50" w:after="156" w:afterLines="50"/>
        <w:ind w:firstLine="643" w:firstLineChars="200"/>
        <w:outlineLvl w:val="1"/>
        <w:rPr>
          <w:rFonts w:ascii="Times New Roman" w:hAnsi="Times New Roman" w:eastAsia="仿宋" w:cs="仿宋"/>
          <w:b/>
          <w:bCs/>
          <w:sz w:val="32"/>
          <w:szCs w:val="32"/>
        </w:rPr>
      </w:pPr>
      <w:bookmarkStart w:id="43" w:name="_Toc2006338783"/>
      <w:bookmarkStart w:id="44" w:name="_Toc18787"/>
      <w:r>
        <w:rPr>
          <w:rFonts w:hint="eastAsia" w:ascii="Times New Roman" w:hAnsi="Times New Roman" w:eastAsia="仿宋" w:cs="仿宋"/>
          <w:b/>
          <w:bCs/>
          <w:sz w:val="32"/>
          <w:szCs w:val="32"/>
        </w:rPr>
        <w:t>六、评价指标体系</w:t>
      </w:r>
      <w:bookmarkEnd w:id="43"/>
      <w:bookmarkEnd w:id="44"/>
    </w:p>
    <w:p>
      <w:pPr>
        <w:ind w:firstLine="560" w:firstLineChars="200"/>
        <w:rPr>
          <w:rFonts w:ascii="Times New Roman" w:hAnsi="Times New Roman" w:eastAsia="仿宋" w:cs="仿宋"/>
          <w:szCs w:val="28"/>
        </w:rPr>
      </w:pPr>
      <w:r>
        <w:rPr>
          <w:rFonts w:hint="eastAsia" w:ascii="Times New Roman" w:hAnsi="Times New Roman" w:eastAsia="仿宋" w:cs="仿宋"/>
          <w:szCs w:val="28"/>
        </w:rPr>
        <w:t>本专项资金评价工作组根据资金用途，构建具有专项特征的评价指标体系，全面评价惠安县2021-2022年机关事业养老保险专项资金支出的绩效。绩效专项评价工作组根据上述指标体系构建原则，参考财政重点绩效评价框架，构建以下绩效评价指标体系框架。详见表1。</w:t>
      </w:r>
    </w:p>
    <w:p>
      <w:pPr>
        <w:ind w:firstLine="560" w:firstLineChars="200"/>
        <w:rPr>
          <w:rFonts w:ascii="Times New Roman" w:hAnsi="Times New Roman" w:eastAsia="仿宋" w:cs="仿宋"/>
          <w:szCs w:val="28"/>
        </w:rPr>
      </w:pPr>
    </w:p>
    <w:p>
      <w:pPr>
        <w:ind w:firstLine="560" w:firstLineChars="200"/>
        <w:rPr>
          <w:rFonts w:ascii="Times New Roman" w:hAnsi="Times New Roman" w:eastAsia="仿宋" w:cs="仿宋"/>
          <w:szCs w:val="28"/>
        </w:rPr>
      </w:pPr>
    </w:p>
    <w:p>
      <w:pPr>
        <w:ind w:firstLine="482" w:firstLineChars="200"/>
        <w:jc w:val="center"/>
        <w:rPr>
          <w:rFonts w:ascii="仿宋" w:hAnsi="仿宋" w:eastAsia="仿宋" w:cs="仿宋"/>
          <w:b/>
          <w:bCs/>
          <w:sz w:val="24"/>
        </w:rPr>
      </w:pPr>
      <w:r>
        <w:rPr>
          <w:rFonts w:hint="eastAsia" w:ascii="Times New Roman" w:hAnsi="Times New Roman" w:eastAsia="仿宋" w:cs="仿宋"/>
          <w:b/>
          <w:bCs/>
          <w:sz w:val="24"/>
        </w:rPr>
        <w:t>表1 机关事业养老保险专项资金绩效评价指标体系</w:t>
      </w:r>
    </w:p>
    <w:tbl>
      <w:tblPr>
        <w:tblStyle w:val="10"/>
        <w:tblW w:w="5000" w:type="pct"/>
        <w:tblInd w:w="0" w:type="dxa"/>
        <w:tblLayout w:type="autofit"/>
        <w:tblCellMar>
          <w:top w:w="0" w:type="dxa"/>
          <w:left w:w="108" w:type="dxa"/>
          <w:bottom w:w="0" w:type="dxa"/>
          <w:right w:w="108" w:type="dxa"/>
        </w:tblCellMar>
      </w:tblPr>
      <w:tblGrid>
        <w:gridCol w:w="2286"/>
        <w:gridCol w:w="3171"/>
        <w:gridCol w:w="3065"/>
      </w:tblGrid>
      <w:tr>
        <w:tblPrEx>
          <w:tblCellMar>
            <w:top w:w="0" w:type="dxa"/>
            <w:left w:w="108" w:type="dxa"/>
            <w:bottom w:w="0" w:type="dxa"/>
            <w:right w:w="108" w:type="dxa"/>
          </w:tblCellMar>
        </w:tblPrEx>
        <w:trPr>
          <w:trHeight w:val="289" w:hRule="atLeast"/>
        </w:trPr>
        <w:tc>
          <w:tcPr>
            <w:tcW w:w="1341" w:type="pct"/>
            <w:tcBorders>
              <w:top w:val="single" w:color="auto" w:sz="12" w:space="0"/>
              <w:bottom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22"/>
                <w:szCs w:val="22"/>
              </w:rPr>
            </w:pPr>
            <w:r>
              <w:rPr>
                <w:rFonts w:hint="eastAsia" w:ascii="Times New Roman" w:hAnsi="Times New Roman" w:eastAsia="仿宋" w:cs="仿宋"/>
                <w:b/>
                <w:bCs/>
                <w:kern w:val="0"/>
                <w:sz w:val="22"/>
                <w:szCs w:val="22"/>
              </w:rPr>
              <w:t>一级指标</w:t>
            </w:r>
          </w:p>
        </w:tc>
        <w:tc>
          <w:tcPr>
            <w:tcW w:w="1860" w:type="pct"/>
            <w:tcBorders>
              <w:top w:val="single" w:color="auto" w:sz="12" w:space="0"/>
              <w:bottom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22"/>
                <w:szCs w:val="22"/>
              </w:rPr>
            </w:pPr>
            <w:r>
              <w:rPr>
                <w:rFonts w:hint="eastAsia" w:ascii="Times New Roman" w:hAnsi="Times New Roman" w:eastAsia="仿宋" w:cs="仿宋"/>
                <w:b/>
                <w:bCs/>
                <w:kern w:val="0"/>
                <w:sz w:val="22"/>
                <w:szCs w:val="22"/>
              </w:rPr>
              <w:t>二级指标</w:t>
            </w:r>
          </w:p>
        </w:tc>
        <w:tc>
          <w:tcPr>
            <w:tcW w:w="1798" w:type="pct"/>
            <w:tcBorders>
              <w:top w:val="single" w:color="auto" w:sz="12" w:space="0"/>
              <w:bottom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22"/>
                <w:szCs w:val="22"/>
              </w:rPr>
            </w:pPr>
            <w:r>
              <w:rPr>
                <w:rFonts w:hint="eastAsia" w:ascii="Times New Roman" w:hAnsi="Times New Roman" w:eastAsia="仿宋" w:cs="仿宋"/>
                <w:b/>
                <w:bCs/>
                <w:kern w:val="0"/>
                <w:sz w:val="22"/>
                <w:szCs w:val="22"/>
              </w:rPr>
              <w:t>三级指标</w:t>
            </w:r>
          </w:p>
        </w:tc>
      </w:tr>
      <w:tr>
        <w:tblPrEx>
          <w:tblCellMar>
            <w:top w:w="0" w:type="dxa"/>
            <w:left w:w="108" w:type="dxa"/>
            <w:bottom w:w="0" w:type="dxa"/>
            <w:right w:w="108" w:type="dxa"/>
          </w:tblCellMar>
        </w:tblPrEx>
        <w:trPr>
          <w:trHeight w:val="289" w:hRule="atLeast"/>
        </w:trPr>
        <w:tc>
          <w:tcPr>
            <w:tcW w:w="1341" w:type="pct"/>
            <w:vMerge w:val="restart"/>
            <w:tcBorders>
              <w:top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22"/>
                <w:szCs w:val="22"/>
              </w:rPr>
            </w:pPr>
            <w:r>
              <w:rPr>
                <w:rFonts w:hint="eastAsia" w:ascii="Times New Roman" w:hAnsi="Times New Roman" w:eastAsia="仿宋" w:cs="仿宋"/>
                <w:b/>
                <w:bCs/>
                <w:kern w:val="0"/>
                <w:sz w:val="22"/>
                <w:szCs w:val="22"/>
              </w:rPr>
              <w:t>决策指标（20分）</w:t>
            </w:r>
          </w:p>
        </w:tc>
        <w:tc>
          <w:tcPr>
            <w:tcW w:w="1860" w:type="pct"/>
            <w:vMerge w:val="restart"/>
            <w:tcBorders>
              <w:top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项目立项（8分）</w:t>
            </w:r>
          </w:p>
        </w:tc>
        <w:tc>
          <w:tcPr>
            <w:tcW w:w="1798" w:type="pct"/>
            <w:tcBorders>
              <w:top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立项依据充分性（4分）</w:t>
            </w:r>
          </w:p>
        </w:tc>
      </w:tr>
      <w:tr>
        <w:tblPrEx>
          <w:tblCellMar>
            <w:top w:w="0" w:type="dxa"/>
            <w:left w:w="108" w:type="dxa"/>
            <w:bottom w:w="0" w:type="dxa"/>
            <w:right w:w="108" w:type="dxa"/>
          </w:tblCellMar>
        </w:tblPrEx>
        <w:trPr>
          <w:trHeight w:val="289" w:hRule="atLeast"/>
        </w:trPr>
        <w:tc>
          <w:tcPr>
            <w:tcW w:w="1341"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22"/>
                <w:szCs w:val="22"/>
              </w:rPr>
            </w:pP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立项程序规范性（4分）</w:t>
            </w:r>
          </w:p>
        </w:tc>
      </w:tr>
      <w:tr>
        <w:tblPrEx>
          <w:tblCellMar>
            <w:top w:w="0" w:type="dxa"/>
            <w:left w:w="108" w:type="dxa"/>
            <w:bottom w:w="0" w:type="dxa"/>
            <w:right w:w="108" w:type="dxa"/>
          </w:tblCellMar>
        </w:tblPrEx>
        <w:trPr>
          <w:trHeight w:val="289" w:hRule="atLeast"/>
        </w:trPr>
        <w:tc>
          <w:tcPr>
            <w:tcW w:w="1341"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绩效目标（8分）</w:t>
            </w: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绩效目标合理性（4分）</w:t>
            </w:r>
          </w:p>
        </w:tc>
      </w:tr>
      <w:tr>
        <w:tblPrEx>
          <w:tblCellMar>
            <w:top w:w="0" w:type="dxa"/>
            <w:left w:w="108" w:type="dxa"/>
            <w:bottom w:w="0" w:type="dxa"/>
            <w:right w:w="108" w:type="dxa"/>
          </w:tblCellMar>
        </w:tblPrEx>
        <w:trPr>
          <w:trHeight w:val="289" w:hRule="atLeast"/>
        </w:trPr>
        <w:tc>
          <w:tcPr>
            <w:tcW w:w="1341"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22"/>
                <w:szCs w:val="22"/>
              </w:rPr>
            </w:pP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绩效指标明确性（4分）</w:t>
            </w:r>
          </w:p>
        </w:tc>
      </w:tr>
      <w:tr>
        <w:tblPrEx>
          <w:tblCellMar>
            <w:top w:w="0" w:type="dxa"/>
            <w:left w:w="108" w:type="dxa"/>
            <w:bottom w:w="0" w:type="dxa"/>
            <w:right w:w="108" w:type="dxa"/>
          </w:tblCellMar>
        </w:tblPrEx>
        <w:trPr>
          <w:trHeight w:val="289" w:hRule="atLeast"/>
        </w:trPr>
        <w:tc>
          <w:tcPr>
            <w:tcW w:w="1341"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资金投入（4分）</w:t>
            </w: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预算编制科学性（4分）</w:t>
            </w:r>
          </w:p>
        </w:tc>
      </w:tr>
      <w:tr>
        <w:tblPrEx>
          <w:tblCellMar>
            <w:top w:w="0" w:type="dxa"/>
            <w:left w:w="108" w:type="dxa"/>
            <w:bottom w:w="0" w:type="dxa"/>
            <w:right w:w="108" w:type="dxa"/>
          </w:tblCellMar>
        </w:tblPrEx>
        <w:trPr>
          <w:trHeight w:val="289" w:hRule="atLeast"/>
        </w:trPr>
        <w:tc>
          <w:tcPr>
            <w:tcW w:w="1341"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22"/>
                <w:szCs w:val="22"/>
              </w:rPr>
            </w:pPr>
            <w:r>
              <w:rPr>
                <w:rFonts w:hint="eastAsia" w:ascii="Times New Roman" w:hAnsi="Times New Roman" w:eastAsia="仿宋" w:cs="仿宋"/>
                <w:b/>
                <w:bCs/>
                <w:kern w:val="0"/>
                <w:sz w:val="22"/>
                <w:szCs w:val="22"/>
              </w:rPr>
              <w:t>过程指标（20分）</w:t>
            </w:r>
          </w:p>
        </w:tc>
        <w:tc>
          <w:tcPr>
            <w:tcW w:w="1860"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资金管理（10分）</w:t>
            </w: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预算执行率（5分）</w:t>
            </w:r>
          </w:p>
        </w:tc>
      </w:tr>
      <w:tr>
        <w:tblPrEx>
          <w:tblCellMar>
            <w:top w:w="0" w:type="dxa"/>
            <w:left w:w="108" w:type="dxa"/>
            <w:bottom w:w="0" w:type="dxa"/>
            <w:right w:w="108" w:type="dxa"/>
          </w:tblCellMar>
        </w:tblPrEx>
        <w:trPr>
          <w:trHeight w:val="289" w:hRule="atLeast"/>
        </w:trPr>
        <w:tc>
          <w:tcPr>
            <w:tcW w:w="1341"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22"/>
                <w:szCs w:val="22"/>
              </w:rPr>
            </w:pP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资金使用合规性（5分）</w:t>
            </w:r>
          </w:p>
        </w:tc>
      </w:tr>
      <w:tr>
        <w:tblPrEx>
          <w:tblCellMar>
            <w:top w:w="0" w:type="dxa"/>
            <w:left w:w="108" w:type="dxa"/>
            <w:bottom w:w="0" w:type="dxa"/>
            <w:right w:w="108" w:type="dxa"/>
          </w:tblCellMar>
        </w:tblPrEx>
        <w:trPr>
          <w:trHeight w:val="289" w:hRule="atLeast"/>
        </w:trPr>
        <w:tc>
          <w:tcPr>
            <w:tcW w:w="1341"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组织实施（10分）</w:t>
            </w: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管理制度健全性（5分）</w:t>
            </w:r>
          </w:p>
        </w:tc>
      </w:tr>
      <w:tr>
        <w:tblPrEx>
          <w:tblCellMar>
            <w:top w:w="0" w:type="dxa"/>
            <w:left w:w="108" w:type="dxa"/>
            <w:bottom w:w="0" w:type="dxa"/>
            <w:right w:w="108" w:type="dxa"/>
          </w:tblCellMar>
        </w:tblPrEx>
        <w:trPr>
          <w:trHeight w:val="289" w:hRule="atLeast"/>
        </w:trPr>
        <w:tc>
          <w:tcPr>
            <w:tcW w:w="1341"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22"/>
                <w:szCs w:val="22"/>
              </w:rPr>
            </w:pP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制度执行有效性（5分）</w:t>
            </w:r>
          </w:p>
        </w:tc>
      </w:tr>
      <w:tr>
        <w:tblPrEx>
          <w:tblCellMar>
            <w:top w:w="0" w:type="dxa"/>
            <w:left w:w="108" w:type="dxa"/>
            <w:bottom w:w="0" w:type="dxa"/>
            <w:right w:w="108" w:type="dxa"/>
          </w:tblCellMar>
        </w:tblPrEx>
        <w:trPr>
          <w:trHeight w:val="289" w:hRule="atLeast"/>
        </w:trPr>
        <w:tc>
          <w:tcPr>
            <w:tcW w:w="1341"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22"/>
                <w:szCs w:val="22"/>
              </w:rPr>
            </w:pPr>
            <w:r>
              <w:rPr>
                <w:rFonts w:hint="eastAsia" w:ascii="Times New Roman" w:hAnsi="Times New Roman" w:eastAsia="仿宋" w:cs="仿宋"/>
                <w:b/>
                <w:bCs/>
                <w:kern w:val="0"/>
                <w:sz w:val="22"/>
                <w:szCs w:val="22"/>
              </w:rPr>
              <w:t>产出指标（40分）</w:t>
            </w:r>
          </w:p>
        </w:tc>
        <w:tc>
          <w:tcPr>
            <w:tcW w:w="1860"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数量指标（10分）</w:t>
            </w:r>
          </w:p>
        </w:tc>
        <w:tc>
          <w:tcPr>
            <w:tcW w:w="179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在职人员参保人数（5分）</w:t>
            </w:r>
          </w:p>
        </w:tc>
      </w:tr>
      <w:tr>
        <w:tblPrEx>
          <w:tblCellMar>
            <w:top w:w="0" w:type="dxa"/>
            <w:left w:w="108" w:type="dxa"/>
            <w:bottom w:w="0" w:type="dxa"/>
            <w:right w:w="108" w:type="dxa"/>
          </w:tblCellMar>
        </w:tblPrEx>
        <w:trPr>
          <w:trHeight w:val="289" w:hRule="atLeast"/>
        </w:trPr>
        <w:tc>
          <w:tcPr>
            <w:tcW w:w="1341"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22"/>
                <w:szCs w:val="22"/>
              </w:rPr>
            </w:pPr>
          </w:p>
        </w:tc>
        <w:tc>
          <w:tcPr>
            <w:tcW w:w="179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退休人员待遇领取人数（5分）</w:t>
            </w:r>
          </w:p>
        </w:tc>
      </w:tr>
      <w:tr>
        <w:tblPrEx>
          <w:tblCellMar>
            <w:top w:w="0" w:type="dxa"/>
            <w:left w:w="108" w:type="dxa"/>
            <w:bottom w:w="0" w:type="dxa"/>
            <w:right w:w="108" w:type="dxa"/>
          </w:tblCellMar>
        </w:tblPrEx>
        <w:trPr>
          <w:trHeight w:val="289" w:hRule="atLeast"/>
        </w:trPr>
        <w:tc>
          <w:tcPr>
            <w:tcW w:w="1341"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质量指标（10分）</w:t>
            </w:r>
          </w:p>
        </w:tc>
        <w:tc>
          <w:tcPr>
            <w:tcW w:w="179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养老保险收入收缴率（5分）</w:t>
            </w:r>
          </w:p>
        </w:tc>
      </w:tr>
      <w:tr>
        <w:tblPrEx>
          <w:tblCellMar>
            <w:top w:w="0" w:type="dxa"/>
            <w:left w:w="108" w:type="dxa"/>
            <w:bottom w:w="0" w:type="dxa"/>
            <w:right w:w="108" w:type="dxa"/>
          </w:tblCellMar>
        </w:tblPrEx>
        <w:trPr>
          <w:trHeight w:val="289" w:hRule="atLeast"/>
        </w:trPr>
        <w:tc>
          <w:tcPr>
            <w:tcW w:w="1341"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22"/>
                <w:szCs w:val="22"/>
              </w:rPr>
            </w:pPr>
          </w:p>
        </w:tc>
        <w:tc>
          <w:tcPr>
            <w:tcW w:w="179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养老金按月足额发放（5分）</w:t>
            </w:r>
          </w:p>
        </w:tc>
      </w:tr>
      <w:tr>
        <w:tblPrEx>
          <w:tblCellMar>
            <w:top w:w="0" w:type="dxa"/>
            <w:left w:w="108" w:type="dxa"/>
            <w:bottom w:w="0" w:type="dxa"/>
            <w:right w:w="108" w:type="dxa"/>
          </w:tblCellMar>
        </w:tblPrEx>
        <w:trPr>
          <w:trHeight w:val="289" w:hRule="atLeast"/>
        </w:trPr>
        <w:tc>
          <w:tcPr>
            <w:tcW w:w="1341"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时效指标（10分）</w:t>
            </w:r>
          </w:p>
        </w:tc>
        <w:tc>
          <w:tcPr>
            <w:tcW w:w="179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资金到位率（10分）</w:t>
            </w:r>
          </w:p>
        </w:tc>
      </w:tr>
      <w:tr>
        <w:tblPrEx>
          <w:tblCellMar>
            <w:top w:w="0" w:type="dxa"/>
            <w:left w:w="108" w:type="dxa"/>
            <w:bottom w:w="0" w:type="dxa"/>
            <w:right w:w="108" w:type="dxa"/>
          </w:tblCellMar>
        </w:tblPrEx>
        <w:trPr>
          <w:trHeight w:val="289" w:hRule="atLeast"/>
        </w:trPr>
        <w:tc>
          <w:tcPr>
            <w:tcW w:w="1341"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成本指标（10分）</w:t>
            </w:r>
          </w:p>
        </w:tc>
        <w:tc>
          <w:tcPr>
            <w:tcW w:w="179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项目资金投入（10分）</w:t>
            </w:r>
          </w:p>
        </w:tc>
      </w:tr>
      <w:tr>
        <w:tblPrEx>
          <w:tblCellMar>
            <w:top w:w="0" w:type="dxa"/>
            <w:left w:w="108" w:type="dxa"/>
            <w:bottom w:w="0" w:type="dxa"/>
            <w:right w:w="108" w:type="dxa"/>
          </w:tblCellMar>
        </w:tblPrEx>
        <w:trPr>
          <w:trHeight w:val="289" w:hRule="atLeast"/>
        </w:trPr>
        <w:tc>
          <w:tcPr>
            <w:tcW w:w="1341"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22"/>
                <w:szCs w:val="22"/>
              </w:rPr>
            </w:pPr>
            <w:r>
              <w:rPr>
                <w:rFonts w:hint="eastAsia" w:ascii="Times New Roman" w:hAnsi="Times New Roman" w:eastAsia="仿宋" w:cs="仿宋"/>
                <w:b/>
                <w:bCs/>
                <w:kern w:val="0"/>
                <w:sz w:val="22"/>
                <w:szCs w:val="22"/>
              </w:rPr>
              <w:t>效益指标（20分）</w:t>
            </w:r>
          </w:p>
        </w:tc>
        <w:tc>
          <w:tcPr>
            <w:tcW w:w="186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社会效益（10分）</w:t>
            </w:r>
          </w:p>
        </w:tc>
        <w:tc>
          <w:tcPr>
            <w:tcW w:w="179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参保率（10分）</w:t>
            </w:r>
          </w:p>
        </w:tc>
      </w:tr>
      <w:tr>
        <w:tblPrEx>
          <w:tblCellMar>
            <w:top w:w="0" w:type="dxa"/>
            <w:left w:w="108" w:type="dxa"/>
            <w:bottom w:w="0" w:type="dxa"/>
            <w:right w:w="108" w:type="dxa"/>
          </w:tblCellMar>
        </w:tblPrEx>
        <w:trPr>
          <w:trHeight w:val="289" w:hRule="atLeast"/>
        </w:trPr>
        <w:tc>
          <w:tcPr>
            <w:tcW w:w="1341"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可持续影响（5分）</w:t>
            </w:r>
          </w:p>
        </w:tc>
        <w:tc>
          <w:tcPr>
            <w:tcW w:w="179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退休人员持续领取待遇（5分）</w:t>
            </w:r>
          </w:p>
        </w:tc>
      </w:tr>
      <w:tr>
        <w:tblPrEx>
          <w:tblCellMar>
            <w:top w:w="0" w:type="dxa"/>
            <w:left w:w="108" w:type="dxa"/>
            <w:bottom w:w="0" w:type="dxa"/>
            <w:right w:w="108" w:type="dxa"/>
          </w:tblCellMar>
        </w:tblPrEx>
        <w:trPr>
          <w:trHeight w:val="289" w:hRule="atLeast"/>
        </w:trPr>
        <w:tc>
          <w:tcPr>
            <w:tcW w:w="1341" w:type="pct"/>
            <w:vMerge w:val="continue"/>
            <w:tcBorders>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22"/>
                <w:szCs w:val="22"/>
              </w:rPr>
            </w:pPr>
          </w:p>
        </w:tc>
        <w:tc>
          <w:tcPr>
            <w:tcW w:w="1860" w:type="pct"/>
            <w:tcBorders>
              <w:bottom w:val="single" w:color="auto" w:sz="12"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满意度（5分）</w:t>
            </w:r>
          </w:p>
        </w:tc>
        <w:tc>
          <w:tcPr>
            <w:tcW w:w="1798" w:type="pct"/>
            <w:tcBorders>
              <w:bottom w:val="single" w:color="auto" w:sz="12"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22"/>
                <w:szCs w:val="22"/>
              </w:rPr>
            </w:pPr>
            <w:r>
              <w:rPr>
                <w:rFonts w:hint="eastAsia" w:ascii="Times New Roman" w:hAnsi="Times New Roman" w:eastAsia="仿宋" w:cs="仿宋"/>
                <w:kern w:val="0"/>
                <w:sz w:val="22"/>
                <w:szCs w:val="22"/>
              </w:rPr>
              <w:t>群众满意度（5分）</w:t>
            </w:r>
          </w:p>
        </w:tc>
      </w:tr>
    </w:tbl>
    <w:p>
      <w:pPr>
        <w:ind w:firstLine="482" w:firstLineChars="200"/>
        <w:jc w:val="center"/>
        <w:rPr>
          <w:rFonts w:ascii="Times New Roman" w:hAnsi="Times New Roman" w:eastAsia="仿宋" w:cs="仿宋"/>
          <w:b/>
          <w:bCs/>
          <w:sz w:val="24"/>
        </w:rPr>
      </w:pPr>
    </w:p>
    <w:p>
      <w:pPr>
        <w:ind w:firstLine="560" w:firstLineChars="200"/>
        <w:rPr>
          <w:rFonts w:ascii="Times New Roman" w:hAnsi="Times New Roman" w:eastAsia="仿宋" w:cs="仿宋"/>
          <w:szCs w:val="28"/>
        </w:rPr>
      </w:pPr>
      <w:r>
        <w:rPr>
          <w:rFonts w:hint="eastAsia" w:ascii="Times New Roman" w:hAnsi="Times New Roman" w:eastAsia="仿宋" w:cs="仿宋"/>
          <w:szCs w:val="28"/>
        </w:rPr>
        <w:t>根据表1展现的机关事业养老保险专项资金绩效评价指标体系，整体指标体系框架设置包括决策、过程、产出、效益四个一级指标，分别占20%、20%、40%和20%。其中决策指标包括项目立项、绩效目标和资金投入三个二级指标；过程指标包括资金管理和组织实施两个二级指标；产出指标包括实际完成数量、完成质量、完成及时率和成本节约四个二级指标；效益指标包括社会效益、可持续影响和满意度三个二级指标。围绕机关事业养老保险专项资金的特点，专项资金评价工作组继续在二级指标下构建更为细致的三级指标，进一步完善评价指标体系。</w:t>
      </w:r>
    </w:p>
    <w:p>
      <w:pPr>
        <w:spacing w:before="156" w:beforeLines="50" w:after="156" w:afterLines="50"/>
        <w:ind w:firstLine="643" w:firstLineChars="200"/>
        <w:outlineLvl w:val="1"/>
        <w:rPr>
          <w:rFonts w:ascii="Times New Roman" w:hAnsi="Times New Roman" w:eastAsia="仿宋" w:cs="仿宋"/>
          <w:b/>
          <w:bCs/>
          <w:sz w:val="32"/>
          <w:szCs w:val="32"/>
        </w:rPr>
      </w:pPr>
      <w:bookmarkStart w:id="45" w:name="_Toc829831805"/>
      <w:bookmarkStart w:id="46" w:name="_Toc24019"/>
      <w:r>
        <w:rPr>
          <w:rFonts w:hint="eastAsia" w:ascii="Times New Roman" w:hAnsi="Times New Roman" w:eastAsia="仿宋" w:cs="仿宋"/>
          <w:b/>
          <w:bCs/>
          <w:sz w:val="32"/>
          <w:szCs w:val="32"/>
        </w:rPr>
        <w:t>七、评价方法</w:t>
      </w:r>
      <w:bookmarkEnd w:id="45"/>
      <w:bookmarkEnd w:id="46"/>
    </w:p>
    <w:p>
      <w:pPr>
        <w:ind w:firstLine="560" w:firstLineChars="200"/>
        <w:rPr>
          <w:rFonts w:ascii="Times New Roman" w:hAnsi="Times New Roman" w:eastAsia="仿宋" w:cs="仿宋"/>
        </w:rPr>
      </w:pPr>
      <w:bookmarkStart w:id="47" w:name="_Hlk115351020"/>
      <w:r>
        <w:rPr>
          <w:rFonts w:hint="eastAsia" w:ascii="Times New Roman" w:hAnsi="Times New Roman" w:eastAsia="仿宋" w:cs="仿宋"/>
        </w:rPr>
        <w:t>项目评价工作组拟采用成效分析法、案卷研究法、因素分析法、公众评判法等多种方法，从资金决策、资金管理和资金绩效等方面，综合考察资金的使用情况、取得的成效，分析资金管理过程中存在的问题及原因，并针对性地提出建议。</w:t>
      </w:r>
    </w:p>
    <w:p>
      <w:pPr>
        <w:ind w:firstLine="562" w:firstLineChars="200"/>
        <w:outlineLvl w:val="2"/>
        <w:rPr>
          <w:rFonts w:ascii="Times New Roman" w:hAnsi="Times New Roman" w:eastAsia="仿宋" w:cs="仿宋"/>
          <w:b/>
          <w:bCs/>
          <w:szCs w:val="28"/>
        </w:rPr>
      </w:pPr>
      <w:bookmarkStart w:id="48" w:name="_Toc32269"/>
      <w:bookmarkStart w:id="49" w:name="_Hlk115351385"/>
      <w:r>
        <w:rPr>
          <w:rFonts w:hint="eastAsia" w:ascii="Times New Roman" w:hAnsi="Times New Roman" w:eastAsia="仿宋" w:cs="仿宋"/>
          <w:b/>
          <w:bCs/>
          <w:szCs w:val="28"/>
        </w:rPr>
        <w:t>（一）成效分析法</w:t>
      </w:r>
      <w:bookmarkEnd w:id="48"/>
    </w:p>
    <w:p>
      <w:pPr>
        <w:ind w:firstLine="560" w:firstLineChars="200"/>
        <w:rPr>
          <w:rFonts w:ascii="Times New Roman" w:hAnsi="Times New Roman" w:eastAsia="仿宋" w:cs="仿宋"/>
        </w:rPr>
      </w:pPr>
      <w:r>
        <w:rPr>
          <w:rFonts w:hint="eastAsia" w:ascii="Times New Roman" w:hAnsi="Times New Roman" w:eastAsia="仿宋" w:cs="仿宋"/>
        </w:rPr>
        <w:t>指将投入与产出、效益进行关联性分析的方法。通过对资金的预算执行情况、项目管理资料、绩效考核、审计等相关资料进行研究、比较、分析，提取重要信息，将资金投入与产出、效益进行关联性分析，评价资金绩效目标的实现程度。</w:t>
      </w:r>
    </w:p>
    <w:p>
      <w:pPr>
        <w:ind w:firstLine="562" w:firstLineChars="200"/>
        <w:outlineLvl w:val="2"/>
        <w:rPr>
          <w:rFonts w:ascii="Times New Roman" w:hAnsi="Times New Roman" w:eastAsia="仿宋" w:cs="仿宋"/>
          <w:b/>
          <w:bCs/>
          <w:szCs w:val="28"/>
        </w:rPr>
      </w:pPr>
      <w:bookmarkStart w:id="50" w:name="_Toc5426"/>
      <w:r>
        <w:rPr>
          <w:rFonts w:hint="eastAsia" w:ascii="Times New Roman" w:hAnsi="Times New Roman" w:eastAsia="仿宋" w:cs="仿宋"/>
          <w:b/>
          <w:bCs/>
          <w:szCs w:val="28"/>
        </w:rPr>
        <w:t>（二）案卷研究法</w:t>
      </w:r>
      <w:bookmarkEnd w:id="50"/>
    </w:p>
    <w:p>
      <w:pPr>
        <w:ind w:firstLine="560" w:firstLineChars="200"/>
        <w:rPr>
          <w:rFonts w:ascii="Times New Roman" w:hAnsi="Times New Roman" w:eastAsia="仿宋" w:cs="仿宋"/>
        </w:rPr>
      </w:pPr>
      <w:r>
        <w:rPr>
          <w:rFonts w:hint="eastAsia" w:ascii="Times New Roman" w:hAnsi="Times New Roman" w:eastAsia="仿宋" w:cs="仿宋"/>
        </w:rPr>
        <w:t>指结合项目相关的文件通知、管理办法、实施方案、工作计划、会议纪要等相关资料，对项目投入决策、管理过程、产出及效益的政策相关性、可持续性和影响等情况进行分析，提取重要信息，支撑对某一指标的考核评价。</w:t>
      </w:r>
    </w:p>
    <w:p>
      <w:pPr>
        <w:ind w:firstLine="562" w:firstLineChars="200"/>
        <w:outlineLvl w:val="2"/>
        <w:rPr>
          <w:rFonts w:ascii="Times New Roman" w:hAnsi="Times New Roman" w:eastAsia="仿宋" w:cs="仿宋"/>
          <w:b/>
          <w:bCs/>
          <w:szCs w:val="28"/>
        </w:rPr>
      </w:pPr>
      <w:bookmarkStart w:id="51" w:name="_Toc30454"/>
      <w:r>
        <w:rPr>
          <w:rFonts w:hint="eastAsia" w:ascii="Times New Roman" w:hAnsi="Times New Roman" w:eastAsia="仿宋" w:cs="仿宋"/>
          <w:b/>
          <w:bCs/>
          <w:szCs w:val="28"/>
        </w:rPr>
        <w:t>（三）因素分析法</w:t>
      </w:r>
      <w:bookmarkEnd w:id="51"/>
    </w:p>
    <w:p>
      <w:pPr>
        <w:ind w:firstLine="560" w:firstLineChars="200"/>
        <w:rPr>
          <w:rFonts w:ascii="Times New Roman" w:hAnsi="Times New Roman" w:eastAsia="仿宋" w:cs="仿宋"/>
          <w:szCs w:val="28"/>
        </w:rPr>
      </w:pPr>
      <w:r>
        <w:rPr>
          <w:rFonts w:hint="eastAsia" w:ascii="Times New Roman" w:hAnsi="Times New Roman" w:eastAsia="仿宋" w:cs="仿宋"/>
          <w:szCs w:val="28"/>
        </w:rPr>
        <w:t>指综合分析影响绩效目标实现、实施效果的内外部因素的方法。通过梳理影响项目绩效目标实现程度的内外因素，从而对项目绩效目标的实现程度进行综合评价。</w:t>
      </w:r>
    </w:p>
    <w:p>
      <w:pPr>
        <w:ind w:firstLine="562" w:firstLineChars="200"/>
        <w:outlineLvl w:val="2"/>
        <w:rPr>
          <w:rFonts w:ascii="Times New Roman" w:hAnsi="Times New Roman" w:eastAsia="仿宋" w:cs="仿宋"/>
          <w:b/>
          <w:bCs/>
          <w:szCs w:val="28"/>
        </w:rPr>
      </w:pPr>
      <w:bookmarkStart w:id="52" w:name="_Toc28670"/>
      <w:r>
        <w:rPr>
          <w:rFonts w:hint="eastAsia" w:ascii="Times New Roman" w:hAnsi="Times New Roman" w:eastAsia="仿宋" w:cs="仿宋"/>
          <w:b/>
          <w:bCs/>
          <w:szCs w:val="28"/>
        </w:rPr>
        <w:t>（四）公众评判法</w:t>
      </w:r>
      <w:bookmarkEnd w:id="52"/>
    </w:p>
    <w:bookmarkEnd w:id="49"/>
    <w:p>
      <w:pPr>
        <w:ind w:firstLine="560" w:firstLineChars="200"/>
        <w:rPr>
          <w:rFonts w:ascii="Times New Roman" w:hAnsi="Times New Roman" w:eastAsia="仿宋" w:cs="仿宋"/>
        </w:rPr>
      </w:pPr>
      <w:r>
        <w:rPr>
          <w:rFonts w:hint="eastAsia" w:ascii="Times New Roman" w:hAnsi="Times New Roman" w:eastAsia="仿宋" w:cs="仿宋"/>
        </w:rPr>
        <w:t>指通过专家评估、公众问卷及抽样调查等方式进行评判的方法。一是通过与项目的相关部门座谈，了解项目收支情况、组织管理情况；二是通过实地考察项目开展地，同相关人员交流，了解项目投入与实施过程的执行情况。</w:t>
      </w:r>
      <w:bookmarkEnd w:id="47"/>
    </w:p>
    <w:p>
      <w:pPr>
        <w:spacing w:before="156" w:beforeLines="50" w:after="156" w:afterLines="50"/>
        <w:ind w:firstLine="643" w:firstLineChars="200"/>
        <w:outlineLvl w:val="1"/>
        <w:rPr>
          <w:rFonts w:ascii="Times New Roman" w:hAnsi="Times New Roman" w:eastAsia="仿宋" w:cs="仿宋"/>
          <w:b/>
          <w:bCs/>
          <w:sz w:val="32"/>
          <w:szCs w:val="32"/>
        </w:rPr>
      </w:pPr>
      <w:bookmarkStart w:id="53" w:name="_Toc1522479775"/>
      <w:bookmarkStart w:id="54" w:name="_Toc11806"/>
      <w:r>
        <w:rPr>
          <w:rFonts w:hint="eastAsia" w:ascii="Times New Roman" w:hAnsi="Times New Roman" w:eastAsia="仿宋" w:cs="仿宋"/>
          <w:b/>
          <w:bCs/>
          <w:sz w:val="32"/>
          <w:szCs w:val="32"/>
        </w:rPr>
        <w:t>八、评价标准</w:t>
      </w:r>
      <w:bookmarkEnd w:id="53"/>
      <w:bookmarkEnd w:id="54"/>
    </w:p>
    <w:p>
      <w:pPr>
        <w:ind w:firstLine="562"/>
        <w:outlineLvl w:val="2"/>
        <w:rPr>
          <w:rFonts w:ascii="Times New Roman" w:hAnsi="Times New Roman" w:eastAsia="仿宋" w:cs="仿宋"/>
          <w:b/>
          <w:bCs/>
          <w:szCs w:val="28"/>
        </w:rPr>
      </w:pPr>
      <w:bookmarkStart w:id="55" w:name="_Toc11146"/>
      <w:bookmarkStart w:id="56" w:name="_Toc124892209"/>
      <w:bookmarkStart w:id="57" w:name="_Toc119967319"/>
      <w:bookmarkStart w:id="58" w:name="_Hlk115356146"/>
      <w:r>
        <w:rPr>
          <w:rFonts w:hint="eastAsia" w:ascii="Times New Roman" w:hAnsi="Times New Roman" w:eastAsia="仿宋" w:cs="仿宋"/>
          <w:b/>
          <w:bCs/>
          <w:szCs w:val="28"/>
        </w:rPr>
        <w:t>（一）评价标准</w:t>
      </w:r>
      <w:bookmarkEnd w:id="55"/>
      <w:bookmarkEnd w:id="56"/>
      <w:bookmarkEnd w:id="57"/>
    </w:p>
    <w:p>
      <w:pPr>
        <w:ind w:firstLine="560" w:firstLineChars="200"/>
        <w:rPr>
          <w:rFonts w:ascii="Times New Roman" w:hAnsi="Times New Roman" w:eastAsia="仿宋" w:cs="仿宋"/>
          <w:szCs w:val="28"/>
        </w:rPr>
      </w:pPr>
      <w:r>
        <w:rPr>
          <w:rFonts w:hint="eastAsia" w:ascii="Times New Roman" w:hAnsi="Times New Roman" w:eastAsia="仿宋" w:cs="仿宋"/>
          <w:szCs w:val="28"/>
        </w:rPr>
        <w:t>绩效评价标准的设计中，主要是参照计划标准和行业标准制定。对于预先已制定了目标、计划、预算、定额类的指标，直接用实际情况与计划情况相比较来进行评价，对于预先没有制定计划目标的，一般行业标准来进行评价。</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1.计划标准。以预先制定的目标、计划、预算、定额等作为评价标准。</w:t>
      </w:r>
    </w:p>
    <w:p>
      <w:pPr>
        <w:ind w:firstLine="560" w:firstLineChars="200"/>
        <w:outlineLvl w:val="3"/>
        <w:rPr>
          <w:rFonts w:ascii="Times New Roman" w:hAnsi="Times New Roman" w:eastAsia="仿宋" w:cs="仿宋"/>
        </w:rPr>
      </w:pPr>
      <w:r>
        <w:rPr>
          <w:rFonts w:hint="eastAsia" w:ascii="Times New Roman" w:hAnsi="Times New Roman" w:eastAsia="仿宋" w:cs="仿宋"/>
          <w:szCs w:val="28"/>
        </w:rPr>
        <w:t>2.行业标准。参照国家公布的行业指标数据制定的评价标准。</w:t>
      </w:r>
    </w:p>
    <w:p>
      <w:pPr>
        <w:ind w:firstLine="562" w:firstLineChars="200"/>
        <w:outlineLvl w:val="2"/>
        <w:rPr>
          <w:rFonts w:ascii="Times New Roman" w:hAnsi="Times New Roman" w:eastAsia="仿宋" w:cs="仿宋"/>
          <w:b/>
          <w:bCs/>
          <w:szCs w:val="28"/>
        </w:rPr>
      </w:pPr>
      <w:bookmarkStart w:id="59" w:name="_Toc12684"/>
      <w:r>
        <w:rPr>
          <w:rFonts w:hint="eastAsia" w:ascii="Times New Roman" w:hAnsi="Times New Roman" w:eastAsia="仿宋" w:cs="仿宋"/>
          <w:b/>
          <w:bCs/>
          <w:szCs w:val="28"/>
        </w:rPr>
        <w:t>（二）评价依据</w:t>
      </w:r>
      <w:bookmarkEnd w:id="59"/>
    </w:p>
    <w:p>
      <w:pPr>
        <w:ind w:firstLine="560" w:firstLineChars="200"/>
        <w:outlineLvl w:val="3"/>
        <w:rPr>
          <w:rFonts w:ascii="Times New Roman" w:hAnsi="Times New Roman" w:eastAsia="仿宋" w:cs="仿宋"/>
          <w:szCs w:val="28"/>
        </w:rPr>
      </w:pPr>
      <w:r>
        <w:rPr>
          <w:rFonts w:hint="eastAsia" w:ascii="Times New Roman" w:hAnsi="Times New Roman" w:eastAsia="仿宋" w:cs="仿宋"/>
          <w:szCs w:val="28"/>
        </w:rPr>
        <w:t>1.《中华人民共和国预算法》（2018年修订）</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2.中华人民共和国预算法实施条例（中华人民共和国国务院令第729号）</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3.《中共中央 国务院关于全面实施预算绩效管理的意见》（中发〔2018〕34号）</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4.《关于贯彻落实&lt;中共中央 国务院关于全面实施预算绩效管理的意见&gt;的通知》（财预〔2018〕167号）</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5.《关于印发&lt;项目支出绩效评价管理办法&gt;的通知》（财预〔2020〕10号）</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6.《国务院关于进一步深化预算管理制度改革的意见》（国发〔2021〕5号）</w:t>
      </w:r>
    </w:p>
    <w:p>
      <w:pPr>
        <w:ind w:firstLine="560" w:firstLineChars="200"/>
        <w:outlineLvl w:val="3"/>
        <w:rPr>
          <w:rFonts w:ascii="Times New Roman" w:hAnsi="Times New Roman" w:eastAsia="仿宋" w:cs="仿宋"/>
          <w:szCs w:val="28"/>
        </w:rPr>
      </w:pPr>
      <w:r>
        <w:rPr>
          <w:rFonts w:hint="eastAsia" w:ascii="Times New Roman" w:hAnsi="Times New Roman" w:eastAsia="仿宋" w:cs="仿宋"/>
          <w:szCs w:val="28"/>
        </w:rPr>
        <w:t>7.《惠安县专项资金管理暂行办法》</w:t>
      </w:r>
    </w:p>
    <w:p>
      <w:pPr>
        <w:ind w:firstLine="560" w:firstLineChars="200"/>
        <w:rPr>
          <w:rFonts w:ascii="Times New Roman" w:hAnsi="Times New Roman" w:eastAsia="仿宋" w:cs="仿宋"/>
          <w:szCs w:val="28"/>
        </w:rPr>
      </w:pPr>
      <w:bookmarkStart w:id="60" w:name="_Hlk115356493"/>
      <w:r>
        <w:rPr>
          <w:rFonts w:hint="eastAsia" w:ascii="Times New Roman" w:hAnsi="Times New Roman" w:eastAsia="仿宋" w:cs="仿宋"/>
          <w:szCs w:val="28"/>
        </w:rPr>
        <w:t>8.</w:t>
      </w:r>
      <w:r>
        <w:rPr>
          <w:rFonts w:hint="eastAsia" w:ascii="Times New Roman" w:hAnsi="Times New Roman" w:eastAsia="仿宋" w:cs="仿宋"/>
        </w:rPr>
        <w:t>《财政部关于机关事业单位实施养老保险制度改革有关预算管理问题的通知》（财预〔2016〕36号）</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9.</w:t>
      </w:r>
      <w:r>
        <w:rPr>
          <w:rFonts w:hint="eastAsia" w:ascii="Times New Roman" w:hAnsi="Times New Roman" w:eastAsia="仿宋" w:cs="仿宋"/>
        </w:rPr>
        <w:t>关于印发《贯彻落实&lt;国务院关于机关事业单位工作人员养老保险制度改革的决定&gt;实施办法》的通知（闽政〔2015〕48号）</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10.《关于机关事业单位已退休人员退休费发放问题的通知》（闽人社文〔2015〕388号）</w:t>
      </w:r>
    </w:p>
    <w:p>
      <w:pPr>
        <w:ind w:firstLine="560" w:firstLineChars="200"/>
        <w:outlineLvl w:val="3"/>
        <w:rPr>
          <w:rFonts w:ascii="Times New Roman" w:hAnsi="Times New Roman" w:eastAsia="仿宋" w:cs="仿宋"/>
          <w:szCs w:val="28"/>
        </w:rPr>
      </w:pPr>
      <w:r>
        <w:rPr>
          <w:rFonts w:hint="eastAsia" w:ascii="Times New Roman" w:hAnsi="Times New Roman" w:eastAsia="仿宋" w:cs="仿宋"/>
          <w:szCs w:val="28"/>
        </w:rPr>
        <w:t>11.《惠安县机关事业单位社会保险管理中心基金财务制度》</w:t>
      </w:r>
    </w:p>
    <w:p>
      <w:pPr>
        <w:ind w:firstLine="560" w:firstLineChars="200"/>
        <w:rPr>
          <w:rFonts w:ascii="Times New Roman" w:hAnsi="Times New Roman" w:eastAsia="仿宋" w:cs="仿宋"/>
        </w:rPr>
      </w:pPr>
      <w:r>
        <w:rPr>
          <w:rFonts w:hint="eastAsia" w:ascii="Times New Roman" w:hAnsi="Times New Roman" w:eastAsia="仿宋" w:cs="仿宋"/>
          <w:szCs w:val="28"/>
        </w:rPr>
        <w:t>12.部门职责相关规定，相关行业政策、行业标准及专业技术规范及其他项目相关的政策、文件和管理办法等。</w:t>
      </w:r>
    </w:p>
    <w:bookmarkEnd w:id="58"/>
    <w:bookmarkEnd w:id="60"/>
    <w:p>
      <w:pPr>
        <w:spacing w:before="156" w:beforeLines="50" w:after="156" w:afterLines="50"/>
        <w:ind w:firstLine="643" w:firstLineChars="200"/>
        <w:outlineLvl w:val="1"/>
        <w:rPr>
          <w:rFonts w:ascii="Times New Roman" w:hAnsi="Times New Roman" w:eastAsia="仿宋" w:cs="仿宋"/>
          <w:b/>
          <w:bCs/>
          <w:sz w:val="32"/>
          <w:szCs w:val="32"/>
        </w:rPr>
      </w:pPr>
      <w:bookmarkStart w:id="61" w:name="_Toc913884773"/>
      <w:bookmarkStart w:id="62" w:name="_Toc29603"/>
      <w:r>
        <w:rPr>
          <w:rFonts w:hint="eastAsia" w:ascii="Times New Roman" w:hAnsi="Times New Roman" w:eastAsia="仿宋" w:cs="仿宋"/>
          <w:b/>
          <w:bCs/>
          <w:sz w:val="32"/>
          <w:szCs w:val="32"/>
        </w:rPr>
        <w:t>九、评价开展过程</w:t>
      </w:r>
      <w:bookmarkEnd w:id="61"/>
      <w:bookmarkEnd w:id="62"/>
    </w:p>
    <w:p>
      <w:pPr>
        <w:ind w:firstLine="560" w:firstLineChars="200"/>
        <w:rPr>
          <w:rFonts w:ascii="Times New Roman" w:hAnsi="Times New Roman" w:eastAsia="仿宋" w:cs="仿宋"/>
          <w:szCs w:val="28"/>
        </w:rPr>
      </w:pPr>
      <w:bookmarkStart w:id="63" w:name="_Hlk115358607"/>
      <w:r>
        <w:rPr>
          <w:rFonts w:hint="eastAsia" w:ascii="Times New Roman" w:hAnsi="Times New Roman" w:eastAsia="仿宋" w:cs="仿宋"/>
          <w:szCs w:val="28"/>
        </w:rPr>
        <w:t>本次绩效评价工作共经历前期准备、组织实施、报告形成三个阶段。</w:t>
      </w:r>
    </w:p>
    <w:p>
      <w:pPr>
        <w:ind w:firstLine="562" w:firstLineChars="200"/>
        <w:outlineLvl w:val="2"/>
        <w:rPr>
          <w:rFonts w:ascii="Times New Roman" w:hAnsi="Times New Roman" w:eastAsia="仿宋" w:cs="仿宋"/>
          <w:b/>
          <w:bCs/>
          <w:szCs w:val="28"/>
        </w:rPr>
      </w:pPr>
      <w:bookmarkStart w:id="64" w:name="_Toc1084"/>
      <w:r>
        <w:rPr>
          <w:rFonts w:hint="eastAsia" w:ascii="Times New Roman" w:hAnsi="Times New Roman" w:eastAsia="仿宋" w:cs="仿宋"/>
          <w:b/>
          <w:bCs/>
          <w:szCs w:val="28"/>
        </w:rPr>
        <w:t>（一）前期准备阶段</w:t>
      </w:r>
      <w:bookmarkEnd w:id="64"/>
    </w:p>
    <w:p>
      <w:pPr>
        <w:ind w:firstLine="560" w:firstLineChars="200"/>
        <w:outlineLvl w:val="3"/>
        <w:rPr>
          <w:rFonts w:ascii="Times New Roman" w:hAnsi="Times New Roman" w:eastAsia="仿宋" w:cs="仿宋"/>
          <w:szCs w:val="28"/>
        </w:rPr>
      </w:pPr>
      <w:r>
        <w:rPr>
          <w:rFonts w:hint="eastAsia" w:ascii="Times New Roman" w:hAnsi="Times New Roman" w:eastAsia="仿宋" w:cs="仿宋"/>
          <w:szCs w:val="28"/>
        </w:rPr>
        <w:t>1.成立绩效评价工作组</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为做好项目的预算绩效评价工作，研究中心成立了专门的项目绩效评价工作组：</w:t>
      </w:r>
      <w:r>
        <w:rPr>
          <w:rFonts w:hint="eastAsia" w:ascii="仿宋" w:hAnsi="仿宋" w:eastAsia="仿宋"/>
          <w:color w:val="333333"/>
          <w:shd w:val="clear" w:color="auto" w:fill="FFFFFF"/>
        </w:rPr>
        <w:t>福州市韦兰信息科技有限公司惠安财政重点绩效评价团队</w:t>
      </w:r>
      <w:bookmarkStart w:id="109" w:name="_GoBack"/>
      <w:bookmarkEnd w:id="109"/>
      <w:r>
        <w:rPr>
          <w:rFonts w:hint="eastAsia" w:ascii="Times New Roman" w:hAnsi="Times New Roman" w:eastAsia="仿宋" w:cs="仿宋"/>
          <w:szCs w:val="28"/>
        </w:rPr>
        <w:t>。</w:t>
      </w:r>
    </w:p>
    <w:p>
      <w:pPr>
        <w:ind w:firstLine="560" w:firstLineChars="200"/>
        <w:outlineLvl w:val="3"/>
        <w:rPr>
          <w:rFonts w:ascii="Times New Roman" w:hAnsi="Times New Roman" w:eastAsia="仿宋" w:cs="仿宋"/>
          <w:szCs w:val="28"/>
        </w:rPr>
      </w:pPr>
      <w:r>
        <w:rPr>
          <w:rFonts w:hint="eastAsia" w:ascii="Times New Roman" w:hAnsi="Times New Roman" w:eastAsia="仿宋" w:cs="仿宋"/>
          <w:szCs w:val="28"/>
        </w:rPr>
        <w:t>2.资料收集与现场沟通</w:t>
      </w:r>
    </w:p>
    <w:p>
      <w:pPr>
        <w:ind w:firstLine="560" w:firstLineChars="200"/>
        <w:rPr>
          <w:rFonts w:ascii="Times New Roman" w:hAnsi="Times New Roman" w:eastAsia="仿宋" w:cs="仿宋"/>
        </w:rPr>
      </w:pPr>
      <w:r>
        <w:rPr>
          <w:rFonts w:hint="eastAsia" w:ascii="Times New Roman" w:hAnsi="Times New Roman" w:eastAsia="仿宋" w:cs="仿宋"/>
          <w:szCs w:val="28"/>
        </w:rPr>
        <w:t>工作组在明确委托方要求的基础上，对惠安县财务局所收集的评价工作所需的基础材料（包括：项目绩效自评报告、绩效目标自评表及相关佐证材料；资金拨付材料；项目实施制度及资金管理办法；资金支出明细账、决算报表等有关材料），自行收集省内其他地市的相关政策及政策实施状况，其他相关文献资料等。2023年9月下旬开始，工作组对收集的数据和资料进行整理、汇总、分析。2023年10月上旬，在惠安市财政局的支持下，通过实地调研和同项目相关部门会谈，初步了解项目设立和具体运行的情况。工作组在对项目相关资料充分收集的基础上，结合项目的实际情况，对评价指标体系进行了初步设置。</w:t>
      </w:r>
    </w:p>
    <w:p>
      <w:pPr>
        <w:ind w:firstLine="560" w:firstLineChars="200"/>
        <w:outlineLvl w:val="3"/>
        <w:rPr>
          <w:rFonts w:ascii="Times New Roman" w:hAnsi="Times New Roman" w:eastAsia="仿宋" w:cs="仿宋"/>
          <w:szCs w:val="28"/>
        </w:rPr>
      </w:pPr>
      <w:r>
        <w:rPr>
          <w:rFonts w:hint="eastAsia" w:ascii="Times New Roman" w:hAnsi="Times New Roman" w:eastAsia="仿宋" w:cs="仿宋"/>
          <w:szCs w:val="28"/>
        </w:rPr>
        <w:t>3.制定实施方案</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在收集和审核项目资料的基础上，根据《第三方机构预算绩效评价业务监督管理暂行办法》（财监〔2021〕4号）和《财政部关于印发项目支出绩效评价管理办法的通知》（财预〔2020〕10号）要求，工作组进一步完善项目绩效评价指标体系并制定实施方案。方案中明确了本次绩效评价的人员配置、时间安排、评价目的、评价内容、评价依据、评价方法、指标体系、评价标准、样本确定、调查问卷、资料清单以及工作纪律等。</w:t>
      </w:r>
    </w:p>
    <w:p>
      <w:pPr>
        <w:ind w:firstLine="562" w:firstLineChars="200"/>
        <w:outlineLvl w:val="2"/>
        <w:rPr>
          <w:rFonts w:ascii="Times New Roman" w:hAnsi="Times New Roman" w:eastAsia="仿宋" w:cs="仿宋"/>
          <w:b/>
          <w:bCs/>
          <w:szCs w:val="28"/>
        </w:rPr>
      </w:pPr>
      <w:bookmarkStart w:id="65" w:name="_Toc5187"/>
      <w:r>
        <w:rPr>
          <w:rFonts w:hint="eastAsia" w:ascii="Times New Roman" w:hAnsi="Times New Roman" w:eastAsia="仿宋" w:cs="仿宋"/>
          <w:b/>
          <w:bCs/>
          <w:szCs w:val="28"/>
        </w:rPr>
        <w:t>（二）组织实施阶段</w:t>
      </w:r>
      <w:bookmarkEnd w:id="65"/>
    </w:p>
    <w:p>
      <w:pPr>
        <w:ind w:firstLine="560" w:firstLineChars="200"/>
        <w:rPr>
          <w:rFonts w:ascii="Times New Roman" w:hAnsi="Times New Roman" w:eastAsia="仿宋" w:cs="仿宋"/>
          <w:szCs w:val="28"/>
        </w:rPr>
      </w:pPr>
      <w:r>
        <w:rPr>
          <w:rFonts w:hint="eastAsia" w:ascii="Times New Roman" w:hAnsi="Times New Roman" w:eastAsia="仿宋" w:cs="仿宋"/>
          <w:szCs w:val="28"/>
        </w:rPr>
        <w:t>为获取更多第一手客观的评价依据，工作组在与项目单位进行充分沟通的基础上，并赴中国海峡人才市场（惠安分部）展开现场调研。在现场调研过程中，工作组充分了解项目实施情况，查看相关材料和工作记录，核实资金支出的方向和用途，并将前期梳理的疑问与项目单位交换了意见。</w:t>
      </w:r>
    </w:p>
    <w:p>
      <w:pPr>
        <w:ind w:firstLine="562" w:firstLineChars="200"/>
        <w:outlineLvl w:val="2"/>
        <w:rPr>
          <w:rFonts w:ascii="Times New Roman" w:hAnsi="Times New Roman" w:eastAsia="仿宋" w:cs="仿宋"/>
          <w:b/>
          <w:bCs/>
          <w:szCs w:val="28"/>
        </w:rPr>
      </w:pPr>
      <w:bookmarkStart w:id="66" w:name="_Toc2917"/>
      <w:r>
        <w:rPr>
          <w:rFonts w:hint="eastAsia" w:ascii="Times New Roman" w:hAnsi="Times New Roman" w:eastAsia="仿宋" w:cs="仿宋"/>
          <w:b/>
          <w:bCs/>
          <w:szCs w:val="28"/>
        </w:rPr>
        <w:t>（三）报告形成阶段</w:t>
      </w:r>
      <w:bookmarkEnd w:id="66"/>
    </w:p>
    <w:p>
      <w:pPr>
        <w:ind w:firstLine="560" w:firstLineChars="200"/>
        <w:rPr>
          <w:rFonts w:ascii="Times New Roman" w:hAnsi="Times New Roman" w:eastAsia="仿宋" w:cs="仿宋"/>
          <w:szCs w:val="28"/>
        </w:rPr>
      </w:pPr>
      <w:r>
        <w:rPr>
          <w:rFonts w:hint="eastAsia" w:ascii="Times New Roman" w:hAnsi="Times New Roman" w:eastAsia="仿宋" w:cs="仿宋"/>
          <w:szCs w:val="28"/>
        </w:rPr>
        <w:t>综合前期收集和审核的项目资料、</w:t>
      </w:r>
      <w:r>
        <w:rPr>
          <w:rFonts w:hint="eastAsia" w:ascii="Times New Roman" w:hAnsi="Times New Roman" w:eastAsia="仿宋" w:cs="仿宋"/>
          <w:szCs w:val="28"/>
        </w:rPr>
        <w:drawing>
          <wp:inline distT="0" distB="0" distL="0" distR="0">
            <wp:extent cx="9525" cy="9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inline>
        </w:drawing>
      </w:r>
      <w:r>
        <w:rPr>
          <w:rFonts w:hint="eastAsia" w:ascii="Times New Roman" w:hAnsi="Times New Roman" w:eastAsia="仿宋" w:cs="仿宋"/>
          <w:szCs w:val="28"/>
        </w:rPr>
        <w:t>现场调研的结果等情况，工作组对项目情况进行了综合分析，并按照规定的文本格式和相关要求撰写了评价报告。工作组根据评价的分值，确定项目最终等级。评价等级分为优、良、中、差四个等级，如表</w:t>
      </w:r>
      <w:r>
        <w:rPr>
          <w:rFonts w:ascii="Times New Roman" w:hAnsi="Times New Roman" w:eastAsia="仿宋" w:cs="仿宋"/>
          <w:szCs w:val="28"/>
        </w:rPr>
        <w:t>2</w:t>
      </w:r>
      <w:r>
        <w:rPr>
          <w:rFonts w:hint="eastAsia" w:ascii="Times New Roman" w:hAnsi="Times New Roman" w:eastAsia="仿宋" w:cs="仿宋"/>
          <w:szCs w:val="28"/>
        </w:rPr>
        <w:t>所示。</w:t>
      </w:r>
    </w:p>
    <w:p>
      <w:pPr>
        <w:ind w:firstLine="560" w:firstLineChars="200"/>
        <w:rPr>
          <w:rFonts w:ascii="Times New Roman" w:hAnsi="Times New Roman" w:eastAsia="仿宋" w:cs="仿宋"/>
        </w:rPr>
      </w:pPr>
    </w:p>
    <w:p>
      <w:pPr>
        <w:ind w:firstLine="482" w:firstLineChars="200"/>
        <w:jc w:val="center"/>
        <w:rPr>
          <w:rFonts w:ascii="仿宋" w:hAnsi="仿宋" w:eastAsia="仿宋" w:cs="仿宋"/>
          <w:b/>
          <w:bCs/>
          <w:sz w:val="24"/>
        </w:rPr>
      </w:pPr>
      <w:r>
        <w:rPr>
          <w:rFonts w:hint="eastAsia" w:ascii="Times New Roman" w:hAnsi="Times New Roman" w:eastAsia="仿宋" w:cs="仿宋"/>
          <w:b/>
          <w:bCs/>
          <w:sz w:val="24"/>
        </w:rPr>
        <w:t>表2  评价得分与等级对应表</w:t>
      </w:r>
    </w:p>
    <w:bookmarkEnd w:id="63"/>
    <w:tbl>
      <w:tblPr>
        <w:tblStyle w:val="10"/>
        <w:tblW w:w="8757"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1"/>
        <w:gridCol w:w="1525"/>
        <w:gridCol w:w="2270"/>
        <w:gridCol w:w="2193"/>
        <w:gridCol w:w="1918"/>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851"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kern w:val="44"/>
                <w:sz w:val="22"/>
                <w:szCs w:val="22"/>
              </w:rPr>
            </w:pPr>
            <w:r>
              <w:rPr>
                <w:rFonts w:hint="eastAsia" w:ascii="Times New Roman" w:hAnsi="Times New Roman" w:eastAsia="仿宋" w:cs="仿宋"/>
                <w:kern w:val="44"/>
                <w:sz w:val="22"/>
                <w:szCs w:val="22"/>
              </w:rPr>
              <w:t>等级</w:t>
            </w:r>
          </w:p>
        </w:tc>
        <w:tc>
          <w:tcPr>
            <w:tcW w:w="1525"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kern w:val="44"/>
                <w:sz w:val="22"/>
                <w:szCs w:val="22"/>
              </w:rPr>
            </w:pPr>
            <w:r>
              <w:rPr>
                <w:rFonts w:hint="eastAsia" w:ascii="Times New Roman" w:hAnsi="Times New Roman" w:eastAsia="仿宋" w:cs="仿宋"/>
                <w:kern w:val="44"/>
                <w:sz w:val="22"/>
                <w:szCs w:val="22"/>
              </w:rPr>
              <w:t>优</w:t>
            </w:r>
          </w:p>
        </w:tc>
        <w:tc>
          <w:tcPr>
            <w:tcW w:w="2270"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kern w:val="44"/>
                <w:sz w:val="22"/>
                <w:szCs w:val="22"/>
              </w:rPr>
            </w:pPr>
            <w:r>
              <w:rPr>
                <w:rFonts w:hint="eastAsia" w:ascii="Times New Roman" w:hAnsi="Times New Roman" w:eastAsia="仿宋" w:cs="仿宋"/>
                <w:kern w:val="44"/>
                <w:sz w:val="22"/>
                <w:szCs w:val="22"/>
              </w:rPr>
              <w:t>良</w:t>
            </w:r>
          </w:p>
        </w:tc>
        <w:tc>
          <w:tcPr>
            <w:tcW w:w="2193"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kern w:val="44"/>
                <w:sz w:val="22"/>
                <w:szCs w:val="22"/>
              </w:rPr>
            </w:pPr>
            <w:r>
              <w:rPr>
                <w:rFonts w:hint="eastAsia" w:ascii="Times New Roman" w:hAnsi="Times New Roman" w:eastAsia="仿宋" w:cs="仿宋"/>
                <w:kern w:val="44"/>
                <w:sz w:val="22"/>
                <w:szCs w:val="22"/>
              </w:rPr>
              <w:t>中</w:t>
            </w:r>
          </w:p>
        </w:tc>
        <w:tc>
          <w:tcPr>
            <w:tcW w:w="1918"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kern w:val="44"/>
                <w:sz w:val="22"/>
                <w:szCs w:val="22"/>
              </w:rPr>
            </w:pPr>
            <w:r>
              <w:rPr>
                <w:rFonts w:hint="eastAsia" w:ascii="Times New Roman" w:hAnsi="Times New Roman" w:eastAsia="仿宋" w:cs="仿宋"/>
                <w:kern w:val="44"/>
                <w:sz w:val="22"/>
                <w:szCs w:val="22"/>
              </w:rPr>
              <w:t>差</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851" w:type="dxa"/>
            <w:tcBorders>
              <w:top w:val="single" w:color="auto" w:sz="4" w:space="0"/>
              <w:bottom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kern w:val="44"/>
                <w:sz w:val="22"/>
                <w:szCs w:val="22"/>
              </w:rPr>
            </w:pPr>
            <w:r>
              <w:rPr>
                <w:rFonts w:hint="eastAsia" w:ascii="Times New Roman" w:hAnsi="Times New Roman" w:eastAsia="仿宋" w:cs="仿宋"/>
                <w:kern w:val="44"/>
                <w:sz w:val="22"/>
                <w:szCs w:val="22"/>
              </w:rPr>
              <w:t>标准</w:t>
            </w:r>
          </w:p>
        </w:tc>
        <w:tc>
          <w:tcPr>
            <w:tcW w:w="1525" w:type="dxa"/>
            <w:tcBorders>
              <w:top w:val="single" w:color="auto" w:sz="4" w:space="0"/>
              <w:bottom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kern w:val="44"/>
                <w:sz w:val="22"/>
                <w:szCs w:val="22"/>
              </w:rPr>
            </w:pPr>
            <w:r>
              <w:rPr>
                <w:rFonts w:hint="eastAsia" w:ascii="Times New Roman" w:hAnsi="Times New Roman" w:eastAsia="仿宋" w:cs="仿宋"/>
                <w:kern w:val="44"/>
                <w:sz w:val="22"/>
                <w:szCs w:val="22"/>
              </w:rPr>
              <w:t>≥90分</w:t>
            </w:r>
          </w:p>
        </w:tc>
        <w:tc>
          <w:tcPr>
            <w:tcW w:w="2270" w:type="dxa"/>
            <w:tcBorders>
              <w:top w:val="single" w:color="auto" w:sz="4" w:space="0"/>
              <w:bottom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kern w:val="44"/>
                <w:sz w:val="22"/>
                <w:szCs w:val="22"/>
              </w:rPr>
            </w:pPr>
            <w:r>
              <w:rPr>
                <w:rFonts w:hint="eastAsia" w:ascii="Times New Roman" w:hAnsi="Times New Roman" w:eastAsia="仿宋" w:cs="仿宋"/>
                <w:kern w:val="44"/>
                <w:sz w:val="22"/>
                <w:szCs w:val="22"/>
              </w:rPr>
              <w:t>90&gt;得分≥80分</w:t>
            </w:r>
          </w:p>
        </w:tc>
        <w:tc>
          <w:tcPr>
            <w:tcW w:w="2193" w:type="dxa"/>
            <w:tcBorders>
              <w:top w:val="single" w:color="auto" w:sz="4" w:space="0"/>
              <w:bottom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kern w:val="44"/>
                <w:sz w:val="22"/>
                <w:szCs w:val="22"/>
              </w:rPr>
            </w:pPr>
            <w:r>
              <w:rPr>
                <w:rFonts w:hint="eastAsia" w:ascii="Times New Roman" w:hAnsi="Times New Roman" w:eastAsia="仿宋" w:cs="仿宋"/>
                <w:kern w:val="44"/>
                <w:sz w:val="22"/>
                <w:szCs w:val="22"/>
              </w:rPr>
              <w:t>80&gt;得分≥60分</w:t>
            </w:r>
          </w:p>
        </w:tc>
        <w:tc>
          <w:tcPr>
            <w:tcW w:w="1918" w:type="dxa"/>
            <w:tcBorders>
              <w:top w:val="single" w:color="auto" w:sz="4" w:space="0"/>
              <w:bottom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kern w:val="44"/>
                <w:sz w:val="22"/>
                <w:szCs w:val="22"/>
              </w:rPr>
            </w:pPr>
            <w:r>
              <w:rPr>
                <w:rFonts w:hint="eastAsia" w:ascii="Times New Roman" w:hAnsi="Times New Roman" w:eastAsia="仿宋" w:cs="仿宋"/>
                <w:kern w:val="44"/>
                <w:sz w:val="22"/>
                <w:szCs w:val="22"/>
              </w:rPr>
              <w:t>得分＜60分</w:t>
            </w:r>
          </w:p>
        </w:tc>
      </w:tr>
    </w:tbl>
    <w:p>
      <w:pPr>
        <w:ind w:firstLine="640" w:firstLineChars="200"/>
        <w:rPr>
          <w:rFonts w:ascii="Times New Roman" w:hAnsi="Times New Roman" w:eastAsia="仿宋" w:cs="仿宋"/>
          <w:sz w:val="32"/>
          <w:szCs w:val="32"/>
        </w:rPr>
      </w:pPr>
    </w:p>
    <w:p>
      <w:pPr>
        <w:widowControl/>
        <w:spacing w:line="240" w:lineRule="auto"/>
        <w:jc w:val="left"/>
        <w:rPr>
          <w:rFonts w:ascii="Times New Roman" w:hAnsi="Times New Roman" w:eastAsia="仿宋" w:cs="仿宋"/>
          <w:sz w:val="32"/>
          <w:szCs w:val="32"/>
        </w:rPr>
      </w:pPr>
      <w:r>
        <w:rPr>
          <w:rFonts w:hint="eastAsia" w:ascii="Times New Roman" w:hAnsi="Times New Roman" w:eastAsia="仿宋" w:cs="仿宋"/>
          <w:sz w:val="32"/>
          <w:szCs w:val="32"/>
        </w:rPr>
        <w:br w:type="page"/>
      </w:r>
    </w:p>
    <w:p>
      <w:bookmarkStart w:id="67" w:name="_Toc1080104207"/>
      <w:bookmarkStart w:id="68" w:name="_Toc124892215"/>
      <w:bookmarkStart w:id="69" w:name="_Toc10829"/>
    </w:p>
    <w:p>
      <w:pPr>
        <w:jc w:val="center"/>
        <w:outlineLvl w:val="0"/>
        <w:rPr>
          <w:rFonts w:ascii="Times New Roman" w:hAnsi="Times New Roman" w:eastAsia="仿宋" w:cs="仿宋"/>
          <w:b/>
          <w:bCs/>
          <w:sz w:val="36"/>
          <w:szCs w:val="36"/>
        </w:rPr>
      </w:pPr>
      <w:r>
        <w:rPr>
          <w:rFonts w:hint="eastAsia" w:ascii="Times New Roman" w:hAnsi="Times New Roman" w:eastAsia="仿宋" w:cs="仿宋"/>
          <w:b/>
          <w:bCs/>
          <w:sz w:val="36"/>
          <w:szCs w:val="36"/>
        </w:rPr>
        <w:t>第三部分 绩效评价结果</w:t>
      </w:r>
      <w:bookmarkEnd w:id="67"/>
      <w:bookmarkEnd w:id="68"/>
      <w:bookmarkEnd w:id="69"/>
    </w:p>
    <w:p>
      <w:pPr>
        <w:rPr>
          <w:rFonts w:ascii="Times New Roman" w:hAnsi="Times New Roman" w:eastAsia="仿宋" w:cs="仿宋"/>
          <w:sz w:val="24"/>
        </w:rPr>
      </w:pPr>
    </w:p>
    <w:p>
      <w:pPr>
        <w:spacing w:before="156" w:beforeLines="50" w:after="156" w:afterLines="50"/>
        <w:ind w:firstLine="643" w:firstLineChars="200"/>
        <w:outlineLvl w:val="1"/>
        <w:rPr>
          <w:rFonts w:ascii="Times New Roman" w:hAnsi="Times New Roman" w:eastAsia="仿宋" w:cs="仿宋"/>
          <w:b/>
          <w:bCs/>
          <w:sz w:val="32"/>
          <w:szCs w:val="32"/>
        </w:rPr>
      </w:pPr>
      <w:bookmarkStart w:id="70" w:name="_Toc4825"/>
      <w:bookmarkStart w:id="71" w:name="_Toc124892216"/>
      <w:bookmarkStart w:id="72" w:name="_Toc1103246537"/>
      <w:r>
        <w:rPr>
          <w:rFonts w:hint="eastAsia" w:ascii="Times New Roman" w:hAnsi="Times New Roman" w:eastAsia="仿宋" w:cs="仿宋"/>
          <w:b/>
          <w:bCs/>
          <w:sz w:val="32"/>
          <w:szCs w:val="32"/>
        </w:rPr>
        <w:t>一、绩效评价得分情况</w:t>
      </w:r>
      <w:bookmarkEnd w:id="70"/>
      <w:bookmarkEnd w:id="71"/>
      <w:bookmarkEnd w:id="72"/>
    </w:p>
    <w:p>
      <w:pPr>
        <w:ind w:firstLine="560" w:firstLineChars="200"/>
        <w:rPr>
          <w:rFonts w:ascii="Times New Roman" w:hAnsi="Times New Roman" w:eastAsia="仿宋" w:cs="仿宋"/>
          <w:szCs w:val="28"/>
        </w:rPr>
      </w:pPr>
      <w:r>
        <w:rPr>
          <w:rFonts w:hint="eastAsia" w:ascii="Times New Roman" w:hAnsi="Times New Roman" w:eastAsia="仿宋" w:cs="仿宋"/>
          <w:szCs w:val="28"/>
        </w:rPr>
        <w:t>据绩效评价指标体系，结合专项资金的实施情况，2021-2022年机关事业养老保险专项资金部门绩效评价得分为94.00分，评价等级为“优秀”。具体得分情况如表3所示：</w:t>
      </w:r>
    </w:p>
    <w:p>
      <w:pPr>
        <w:rPr>
          <w:rFonts w:ascii="Times New Roman" w:hAnsi="Times New Roman" w:eastAsia="仿宋" w:cs="仿宋"/>
          <w:szCs w:val="28"/>
        </w:rPr>
      </w:pPr>
    </w:p>
    <w:p>
      <w:pPr>
        <w:jc w:val="center"/>
        <w:rPr>
          <w:rFonts w:ascii="仿宋" w:hAnsi="仿宋" w:eastAsia="仿宋" w:cs="仿宋"/>
          <w:b/>
          <w:bCs/>
          <w:sz w:val="24"/>
        </w:rPr>
      </w:pPr>
      <w:r>
        <w:rPr>
          <w:rFonts w:hint="eastAsia" w:ascii="Times New Roman" w:hAnsi="Times New Roman" w:eastAsia="仿宋" w:cs="仿宋"/>
          <w:b/>
          <w:bCs/>
          <w:sz w:val="24"/>
        </w:rPr>
        <w:t>表3  惠安县2021-2022年机关事业养老保险专项资金最终绩效评价得分详情</w:t>
      </w:r>
    </w:p>
    <w:tbl>
      <w:tblPr>
        <w:tblStyle w:val="10"/>
        <w:tblW w:w="0" w:type="auto"/>
        <w:jc w:val="center"/>
        <w:tblLayout w:type="autofit"/>
        <w:tblCellMar>
          <w:top w:w="0" w:type="dxa"/>
          <w:left w:w="108" w:type="dxa"/>
          <w:bottom w:w="0" w:type="dxa"/>
          <w:right w:w="108" w:type="dxa"/>
        </w:tblCellMar>
      </w:tblPr>
      <w:tblGrid>
        <w:gridCol w:w="2029"/>
        <w:gridCol w:w="2131"/>
        <w:gridCol w:w="3231"/>
        <w:gridCol w:w="711"/>
      </w:tblGrid>
      <w:tr>
        <w:tblPrEx>
          <w:tblCellMar>
            <w:top w:w="0" w:type="dxa"/>
            <w:left w:w="108" w:type="dxa"/>
            <w:bottom w:w="0" w:type="dxa"/>
            <w:right w:w="108" w:type="dxa"/>
          </w:tblCellMar>
        </w:tblPrEx>
        <w:trPr>
          <w:trHeight w:val="289" w:hRule="atLeast"/>
          <w:jc w:val="center"/>
        </w:trPr>
        <w:tc>
          <w:tcPr>
            <w:tcW w:w="0" w:type="auto"/>
            <w:tcBorders>
              <w:top w:val="single" w:color="auto" w:sz="12" w:space="0"/>
              <w:bottom w:val="single" w:color="auto" w:sz="4" w:space="0"/>
            </w:tcBorders>
            <w:shd w:val="clear" w:color="auto" w:fill="auto"/>
            <w:vAlign w:val="center"/>
          </w:tcPr>
          <w:p>
            <w:pPr>
              <w:widowControl/>
              <w:spacing w:line="240" w:lineRule="auto"/>
              <w:jc w:val="center"/>
              <w:rPr>
                <w:rFonts w:ascii="仿宋" w:hAnsi="仿宋" w:eastAsia="仿宋" w:cs="仿宋"/>
                <w:b/>
                <w:bCs/>
                <w:kern w:val="0"/>
                <w:sz w:val="22"/>
                <w:szCs w:val="22"/>
              </w:rPr>
            </w:pPr>
            <w:r>
              <w:rPr>
                <w:rFonts w:hint="eastAsia" w:ascii="Times New Roman" w:hAnsi="Times New Roman" w:eastAsia="仿宋" w:cs="仿宋"/>
                <w:b/>
                <w:bCs/>
                <w:kern w:val="0"/>
                <w:sz w:val="22"/>
                <w:szCs w:val="22"/>
              </w:rPr>
              <w:t>一级指标</w:t>
            </w:r>
          </w:p>
        </w:tc>
        <w:tc>
          <w:tcPr>
            <w:tcW w:w="0" w:type="auto"/>
            <w:tcBorders>
              <w:top w:val="single" w:color="auto" w:sz="12" w:space="0"/>
              <w:bottom w:val="single" w:color="auto" w:sz="4" w:space="0"/>
            </w:tcBorders>
            <w:shd w:val="clear" w:color="auto" w:fill="auto"/>
            <w:vAlign w:val="center"/>
          </w:tcPr>
          <w:p>
            <w:pPr>
              <w:widowControl/>
              <w:spacing w:line="240" w:lineRule="auto"/>
              <w:jc w:val="center"/>
              <w:rPr>
                <w:rFonts w:ascii="仿宋" w:hAnsi="仿宋" w:eastAsia="仿宋" w:cs="仿宋"/>
                <w:b/>
                <w:bCs/>
                <w:kern w:val="0"/>
                <w:sz w:val="22"/>
                <w:szCs w:val="22"/>
              </w:rPr>
            </w:pPr>
            <w:r>
              <w:rPr>
                <w:rFonts w:hint="eastAsia" w:ascii="Times New Roman" w:hAnsi="Times New Roman" w:eastAsia="仿宋" w:cs="仿宋"/>
                <w:b/>
                <w:bCs/>
                <w:kern w:val="0"/>
                <w:sz w:val="22"/>
                <w:szCs w:val="22"/>
              </w:rPr>
              <w:t>二级指标</w:t>
            </w:r>
          </w:p>
        </w:tc>
        <w:tc>
          <w:tcPr>
            <w:tcW w:w="0" w:type="auto"/>
            <w:tcBorders>
              <w:top w:val="single" w:color="auto" w:sz="12" w:space="0"/>
              <w:bottom w:val="single" w:color="auto" w:sz="4" w:space="0"/>
            </w:tcBorders>
            <w:shd w:val="clear" w:color="auto" w:fill="auto"/>
            <w:vAlign w:val="center"/>
          </w:tcPr>
          <w:p>
            <w:pPr>
              <w:widowControl/>
              <w:spacing w:line="240" w:lineRule="auto"/>
              <w:jc w:val="center"/>
              <w:rPr>
                <w:rFonts w:ascii="仿宋" w:hAnsi="仿宋" w:eastAsia="仿宋" w:cs="仿宋"/>
                <w:b/>
                <w:bCs/>
                <w:kern w:val="0"/>
                <w:sz w:val="22"/>
                <w:szCs w:val="22"/>
              </w:rPr>
            </w:pPr>
            <w:r>
              <w:rPr>
                <w:rFonts w:hint="eastAsia" w:ascii="Times New Roman" w:hAnsi="Times New Roman" w:eastAsia="仿宋" w:cs="仿宋"/>
                <w:b/>
                <w:bCs/>
                <w:kern w:val="0"/>
                <w:sz w:val="22"/>
                <w:szCs w:val="22"/>
              </w:rPr>
              <w:t>三级指标</w:t>
            </w:r>
          </w:p>
        </w:tc>
        <w:tc>
          <w:tcPr>
            <w:tcW w:w="0" w:type="auto"/>
            <w:tcBorders>
              <w:top w:val="single" w:color="auto" w:sz="12" w:space="0"/>
              <w:bottom w:val="single" w:color="auto" w:sz="4" w:space="0"/>
            </w:tcBorders>
            <w:shd w:val="clear" w:color="auto" w:fill="auto"/>
            <w:vAlign w:val="center"/>
          </w:tcPr>
          <w:p>
            <w:pPr>
              <w:widowControl/>
              <w:spacing w:line="240" w:lineRule="auto"/>
              <w:jc w:val="center"/>
              <w:rPr>
                <w:rFonts w:ascii="仿宋" w:hAnsi="仿宋" w:eastAsia="仿宋" w:cs="仿宋"/>
                <w:b/>
                <w:bCs/>
                <w:kern w:val="0"/>
                <w:sz w:val="22"/>
                <w:szCs w:val="22"/>
              </w:rPr>
            </w:pPr>
            <w:r>
              <w:rPr>
                <w:rFonts w:hint="eastAsia" w:ascii="Times New Roman" w:hAnsi="Times New Roman" w:eastAsia="仿宋" w:cs="仿宋"/>
                <w:b/>
                <w:bCs/>
                <w:kern w:val="0"/>
                <w:sz w:val="22"/>
                <w:szCs w:val="22"/>
              </w:rPr>
              <w:t>评分</w:t>
            </w:r>
          </w:p>
        </w:tc>
      </w:tr>
      <w:tr>
        <w:tblPrEx>
          <w:tblCellMar>
            <w:top w:w="0" w:type="dxa"/>
            <w:left w:w="108" w:type="dxa"/>
            <w:bottom w:w="0" w:type="dxa"/>
            <w:right w:w="108" w:type="dxa"/>
          </w:tblCellMar>
        </w:tblPrEx>
        <w:trPr>
          <w:trHeight w:val="289" w:hRule="atLeast"/>
          <w:jc w:val="center"/>
        </w:trPr>
        <w:tc>
          <w:tcPr>
            <w:tcW w:w="0" w:type="auto"/>
            <w:vMerge w:val="restart"/>
            <w:tcBorders>
              <w:top w:val="single" w:color="auto" w:sz="4" w:space="0"/>
            </w:tcBorders>
            <w:shd w:val="clear" w:color="auto" w:fill="auto"/>
            <w:noWrap/>
            <w:vAlign w:val="center"/>
          </w:tcPr>
          <w:p>
            <w:pPr>
              <w:widowControl/>
              <w:spacing w:line="240" w:lineRule="auto"/>
              <w:jc w:val="center"/>
              <w:rPr>
                <w:rFonts w:ascii="仿宋" w:hAnsi="仿宋" w:eastAsia="仿宋" w:cs="仿宋"/>
                <w:b/>
                <w:bCs/>
                <w:kern w:val="0"/>
                <w:sz w:val="22"/>
                <w:szCs w:val="22"/>
              </w:rPr>
            </w:pPr>
            <w:r>
              <w:rPr>
                <w:rFonts w:hint="eastAsia" w:ascii="Times New Roman" w:hAnsi="Times New Roman" w:eastAsia="仿宋" w:cs="仿宋"/>
                <w:b/>
                <w:bCs/>
                <w:kern w:val="0"/>
                <w:sz w:val="22"/>
                <w:szCs w:val="22"/>
              </w:rPr>
              <w:t>决策指标（20分）</w:t>
            </w:r>
          </w:p>
        </w:tc>
        <w:tc>
          <w:tcPr>
            <w:tcW w:w="0" w:type="auto"/>
            <w:vMerge w:val="restart"/>
            <w:tcBorders>
              <w:top w:val="single" w:color="auto" w:sz="4" w:space="0"/>
            </w:tcBorders>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项目立项（8分）</w:t>
            </w:r>
          </w:p>
        </w:tc>
        <w:tc>
          <w:tcPr>
            <w:tcW w:w="0" w:type="auto"/>
            <w:tcBorders>
              <w:top w:val="single" w:color="auto" w:sz="4" w:space="0"/>
            </w:tcBorders>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立项依据充分性（4分）</w:t>
            </w:r>
          </w:p>
        </w:tc>
        <w:tc>
          <w:tcPr>
            <w:tcW w:w="0" w:type="auto"/>
            <w:tcBorders>
              <w:top w:val="single" w:color="auto" w:sz="4" w:space="0"/>
            </w:tcBorders>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4.00</w:t>
            </w:r>
          </w:p>
        </w:tc>
      </w:tr>
      <w:tr>
        <w:tblPrEx>
          <w:tblCellMar>
            <w:top w:w="0" w:type="dxa"/>
            <w:left w:w="108" w:type="dxa"/>
            <w:bottom w:w="0" w:type="dxa"/>
            <w:right w:w="108" w:type="dxa"/>
          </w:tblCellMar>
        </w:tblPrEx>
        <w:trPr>
          <w:trHeight w:val="289" w:hRule="atLeast"/>
          <w:jc w:val="center"/>
        </w:trPr>
        <w:tc>
          <w:tcPr>
            <w:tcW w:w="0" w:type="auto"/>
            <w:vMerge w:val="continue"/>
            <w:vAlign w:val="center"/>
          </w:tcPr>
          <w:p>
            <w:pPr>
              <w:widowControl/>
              <w:spacing w:line="240" w:lineRule="auto"/>
              <w:jc w:val="left"/>
              <w:rPr>
                <w:rFonts w:ascii="仿宋" w:hAnsi="仿宋" w:eastAsia="仿宋" w:cs="仿宋"/>
                <w:b/>
                <w:bCs/>
                <w:kern w:val="0"/>
                <w:sz w:val="22"/>
                <w:szCs w:val="22"/>
              </w:rPr>
            </w:pPr>
          </w:p>
        </w:tc>
        <w:tc>
          <w:tcPr>
            <w:tcW w:w="0" w:type="auto"/>
            <w:vMerge w:val="continue"/>
            <w:vAlign w:val="center"/>
          </w:tcPr>
          <w:p>
            <w:pPr>
              <w:widowControl/>
              <w:spacing w:line="240" w:lineRule="auto"/>
              <w:jc w:val="left"/>
              <w:rPr>
                <w:rFonts w:ascii="仿宋" w:hAnsi="仿宋" w:eastAsia="仿宋" w:cs="仿宋"/>
                <w:kern w:val="0"/>
                <w:sz w:val="22"/>
                <w:szCs w:val="22"/>
              </w:rPr>
            </w:pP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立项程序规范性（4分）</w:t>
            </w: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4.00</w:t>
            </w:r>
          </w:p>
        </w:tc>
      </w:tr>
      <w:tr>
        <w:tblPrEx>
          <w:tblCellMar>
            <w:top w:w="0" w:type="dxa"/>
            <w:left w:w="108" w:type="dxa"/>
            <w:bottom w:w="0" w:type="dxa"/>
            <w:right w:w="108" w:type="dxa"/>
          </w:tblCellMar>
        </w:tblPrEx>
        <w:trPr>
          <w:trHeight w:val="289" w:hRule="atLeast"/>
          <w:jc w:val="center"/>
        </w:trPr>
        <w:tc>
          <w:tcPr>
            <w:tcW w:w="0" w:type="auto"/>
            <w:vMerge w:val="continue"/>
            <w:vAlign w:val="center"/>
          </w:tcPr>
          <w:p>
            <w:pPr>
              <w:widowControl/>
              <w:spacing w:line="240" w:lineRule="auto"/>
              <w:jc w:val="left"/>
              <w:rPr>
                <w:rFonts w:ascii="仿宋" w:hAnsi="仿宋" w:eastAsia="仿宋" w:cs="仿宋"/>
                <w:b/>
                <w:bCs/>
                <w:kern w:val="0"/>
                <w:sz w:val="22"/>
                <w:szCs w:val="22"/>
              </w:rPr>
            </w:pPr>
          </w:p>
        </w:tc>
        <w:tc>
          <w:tcPr>
            <w:tcW w:w="0" w:type="auto"/>
            <w:vMerge w:val="restart"/>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绩效目标（8分）</w:t>
            </w: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绩效目标合理性（4分）</w:t>
            </w:r>
          </w:p>
        </w:tc>
        <w:tc>
          <w:tcPr>
            <w:tcW w:w="711" w:type="dxa"/>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4.00</w:t>
            </w:r>
          </w:p>
        </w:tc>
      </w:tr>
      <w:tr>
        <w:tblPrEx>
          <w:tblCellMar>
            <w:top w:w="0" w:type="dxa"/>
            <w:left w:w="108" w:type="dxa"/>
            <w:bottom w:w="0" w:type="dxa"/>
            <w:right w:w="108" w:type="dxa"/>
          </w:tblCellMar>
        </w:tblPrEx>
        <w:trPr>
          <w:trHeight w:val="289" w:hRule="atLeast"/>
          <w:jc w:val="center"/>
        </w:trPr>
        <w:tc>
          <w:tcPr>
            <w:tcW w:w="0" w:type="auto"/>
            <w:vMerge w:val="continue"/>
            <w:vAlign w:val="center"/>
          </w:tcPr>
          <w:p>
            <w:pPr>
              <w:widowControl/>
              <w:spacing w:line="240" w:lineRule="auto"/>
              <w:jc w:val="left"/>
              <w:rPr>
                <w:rFonts w:ascii="仿宋" w:hAnsi="仿宋" w:eastAsia="仿宋" w:cs="仿宋"/>
                <w:b/>
                <w:bCs/>
                <w:kern w:val="0"/>
                <w:sz w:val="22"/>
                <w:szCs w:val="22"/>
              </w:rPr>
            </w:pPr>
          </w:p>
        </w:tc>
        <w:tc>
          <w:tcPr>
            <w:tcW w:w="0" w:type="auto"/>
            <w:vMerge w:val="continue"/>
            <w:vAlign w:val="center"/>
          </w:tcPr>
          <w:p>
            <w:pPr>
              <w:widowControl/>
              <w:spacing w:line="240" w:lineRule="auto"/>
              <w:jc w:val="left"/>
              <w:rPr>
                <w:rFonts w:ascii="仿宋" w:hAnsi="仿宋" w:eastAsia="仿宋" w:cs="仿宋"/>
                <w:kern w:val="0"/>
                <w:sz w:val="22"/>
                <w:szCs w:val="22"/>
              </w:rPr>
            </w:pP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绩效指标明确性（4分）</w:t>
            </w:r>
          </w:p>
        </w:tc>
        <w:tc>
          <w:tcPr>
            <w:tcW w:w="711" w:type="dxa"/>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4.00</w:t>
            </w:r>
          </w:p>
        </w:tc>
      </w:tr>
      <w:tr>
        <w:tblPrEx>
          <w:tblCellMar>
            <w:top w:w="0" w:type="dxa"/>
            <w:left w:w="108" w:type="dxa"/>
            <w:bottom w:w="0" w:type="dxa"/>
            <w:right w:w="108" w:type="dxa"/>
          </w:tblCellMar>
        </w:tblPrEx>
        <w:trPr>
          <w:trHeight w:val="289" w:hRule="atLeast"/>
          <w:jc w:val="center"/>
        </w:trPr>
        <w:tc>
          <w:tcPr>
            <w:tcW w:w="0" w:type="auto"/>
            <w:vMerge w:val="continue"/>
            <w:vAlign w:val="center"/>
          </w:tcPr>
          <w:p>
            <w:pPr>
              <w:widowControl/>
              <w:spacing w:line="240" w:lineRule="auto"/>
              <w:jc w:val="left"/>
              <w:rPr>
                <w:rFonts w:ascii="仿宋" w:hAnsi="仿宋" w:eastAsia="仿宋" w:cs="仿宋"/>
                <w:b/>
                <w:bCs/>
                <w:kern w:val="0"/>
                <w:sz w:val="22"/>
                <w:szCs w:val="22"/>
              </w:rPr>
            </w:pP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资金投入（4分）</w:t>
            </w: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预算编制科学性（4分）</w:t>
            </w: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2.00</w:t>
            </w:r>
          </w:p>
        </w:tc>
      </w:tr>
      <w:tr>
        <w:tblPrEx>
          <w:tblCellMar>
            <w:top w:w="0" w:type="dxa"/>
            <w:left w:w="108" w:type="dxa"/>
            <w:bottom w:w="0" w:type="dxa"/>
            <w:right w:w="108" w:type="dxa"/>
          </w:tblCellMar>
        </w:tblPrEx>
        <w:trPr>
          <w:trHeight w:val="289" w:hRule="atLeast"/>
          <w:jc w:val="center"/>
        </w:trPr>
        <w:tc>
          <w:tcPr>
            <w:tcW w:w="0" w:type="auto"/>
            <w:vMerge w:val="restart"/>
            <w:shd w:val="clear" w:color="auto" w:fill="auto"/>
            <w:noWrap/>
            <w:vAlign w:val="center"/>
          </w:tcPr>
          <w:p>
            <w:pPr>
              <w:widowControl/>
              <w:spacing w:line="240" w:lineRule="auto"/>
              <w:jc w:val="center"/>
              <w:rPr>
                <w:rFonts w:ascii="仿宋" w:hAnsi="仿宋" w:eastAsia="仿宋" w:cs="仿宋"/>
                <w:b/>
                <w:bCs/>
                <w:kern w:val="0"/>
                <w:sz w:val="22"/>
                <w:szCs w:val="22"/>
              </w:rPr>
            </w:pPr>
            <w:r>
              <w:rPr>
                <w:rFonts w:hint="eastAsia" w:ascii="Times New Roman" w:hAnsi="Times New Roman" w:eastAsia="仿宋" w:cs="仿宋"/>
                <w:b/>
                <w:bCs/>
                <w:kern w:val="0"/>
                <w:sz w:val="22"/>
                <w:szCs w:val="22"/>
              </w:rPr>
              <w:t>过程指标（20分）</w:t>
            </w:r>
          </w:p>
        </w:tc>
        <w:tc>
          <w:tcPr>
            <w:tcW w:w="0" w:type="auto"/>
            <w:vMerge w:val="restart"/>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资金管理（10分）</w:t>
            </w: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预算执行率（5分）</w:t>
            </w: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5.00</w:t>
            </w:r>
          </w:p>
        </w:tc>
      </w:tr>
      <w:tr>
        <w:tblPrEx>
          <w:tblCellMar>
            <w:top w:w="0" w:type="dxa"/>
            <w:left w:w="108" w:type="dxa"/>
            <w:bottom w:w="0" w:type="dxa"/>
            <w:right w:w="108" w:type="dxa"/>
          </w:tblCellMar>
        </w:tblPrEx>
        <w:trPr>
          <w:trHeight w:val="289" w:hRule="atLeast"/>
          <w:jc w:val="center"/>
        </w:trPr>
        <w:tc>
          <w:tcPr>
            <w:tcW w:w="0" w:type="auto"/>
            <w:vMerge w:val="continue"/>
            <w:vAlign w:val="center"/>
          </w:tcPr>
          <w:p>
            <w:pPr>
              <w:widowControl/>
              <w:spacing w:line="240" w:lineRule="auto"/>
              <w:jc w:val="left"/>
              <w:rPr>
                <w:rFonts w:ascii="仿宋" w:hAnsi="仿宋" w:eastAsia="仿宋" w:cs="仿宋"/>
                <w:b/>
                <w:bCs/>
                <w:kern w:val="0"/>
                <w:sz w:val="22"/>
                <w:szCs w:val="22"/>
              </w:rPr>
            </w:pPr>
          </w:p>
        </w:tc>
        <w:tc>
          <w:tcPr>
            <w:tcW w:w="0" w:type="auto"/>
            <w:vMerge w:val="continue"/>
            <w:vAlign w:val="center"/>
          </w:tcPr>
          <w:p>
            <w:pPr>
              <w:widowControl/>
              <w:spacing w:line="240" w:lineRule="auto"/>
              <w:jc w:val="left"/>
              <w:rPr>
                <w:rFonts w:ascii="仿宋" w:hAnsi="仿宋" w:eastAsia="仿宋" w:cs="仿宋"/>
                <w:kern w:val="0"/>
                <w:sz w:val="22"/>
                <w:szCs w:val="22"/>
              </w:rPr>
            </w:pP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资金使用合规性（5分）</w:t>
            </w: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5.00</w:t>
            </w:r>
          </w:p>
        </w:tc>
      </w:tr>
      <w:tr>
        <w:tblPrEx>
          <w:tblCellMar>
            <w:top w:w="0" w:type="dxa"/>
            <w:left w:w="108" w:type="dxa"/>
            <w:bottom w:w="0" w:type="dxa"/>
            <w:right w:w="108" w:type="dxa"/>
          </w:tblCellMar>
        </w:tblPrEx>
        <w:trPr>
          <w:trHeight w:val="289" w:hRule="atLeast"/>
          <w:jc w:val="center"/>
        </w:trPr>
        <w:tc>
          <w:tcPr>
            <w:tcW w:w="0" w:type="auto"/>
            <w:vMerge w:val="continue"/>
            <w:vAlign w:val="center"/>
          </w:tcPr>
          <w:p>
            <w:pPr>
              <w:widowControl/>
              <w:spacing w:line="240" w:lineRule="auto"/>
              <w:jc w:val="left"/>
              <w:rPr>
                <w:rFonts w:ascii="仿宋" w:hAnsi="仿宋" w:eastAsia="仿宋" w:cs="仿宋"/>
                <w:b/>
                <w:bCs/>
                <w:kern w:val="0"/>
                <w:sz w:val="22"/>
                <w:szCs w:val="22"/>
              </w:rPr>
            </w:pPr>
          </w:p>
        </w:tc>
        <w:tc>
          <w:tcPr>
            <w:tcW w:w="0" w:type="auto"/>
            <w:vMerge w:val="restart"/>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组织实施（10分）</w:t>
            </w: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管理制度健全性（5分）</w:t>
            </w: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5.00</w:t>
            </w:r>
          </w:p>
        </w:tc>
      </w:tr>
      <w:tr>
        <w:tblPrEx>
          <w:tblCellMar>
            <w:top w:w="0" w:type="dxa"/>
            <w:left w:w="108" w:type="dxa"/>
            <w:bottom w:w="0" w:type="dxa"/>
            <w:right w:w="108" w:type="dxa"/>
          </w:tblCellMar>
        </w:tblPrEx>
        <w:trPr>
          <w:trHeight w:val="289" w:hRule="atLeast"/>
          <w:jc w:val="center"/>
        </w:trPr>
        <w:tc>
          <w:tcPr>
            <w:tcW w:w="0" w:type="auto"/>
            <w:vMerge w:val="continue"/>
            <w:vAlign w:val="center"/>
          </w:tcPr>
          <w:p>
            <w:pPr>
              <w:widowControl/>
              <w:spacing w:line="240" w:lineRule="auto"/>
              <w:jc w:val="left"/>
              <w:rPr>
                <w:rFonts w:ascii="仿宋" w:hAnsi="仿宋" w:eastAsia="仿宋" w:cs="仿宋"/>
                <w:b/>
                <w:bCs/>
                <w:kern w:val="0"/>
                <w:sz w:val="22"/>
                <w:szCs w:val="22"/>
              </w:rPr>
            </w:pPr>
          </w:p>
        </w:tc>
        <w:tc>
          <w:tcPr>
            <w:tcW w:w="0" w:type="auto"/>
            <w:vMerge w:val="continue"/>
            <w:vAlign w:val="center"/>
          </w:tcPr>
          <w:p>
            <w:pPr>
              <w:widowControl/>
              <w:spacing w:line="240" w:lineRule="auto"/>
              <w:jc w:val="left"/>
              <w:rPr>
                <w:rFonts w:ascii="仿宋" w:hAnsi="仿宋" w:eastAsia="仿宋" w:cs="仿宋"/>
                <w:kern w:val="0"/>
                <w:sz w:val="22"/>
                <w:szCs w:val="22"/>
              </w:rPr>
            </w:pP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制度执行有效性（5分）</w:t>
            </w:r>
          </w:p>
        </w:tc>
        <w:tc>
          <w:tcPr>
            <w:tcW w:w="0" w:type="auto"/>
            <w:shd w:val="clear" w:color="auto" w:fill="auto"/>
            <w:noWrap/>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5.00</w:t>
            </w:r>
          </w:p>
        </w:tc>
      </w:tr>
      <w:tr>
        <w:tblPrEx>
          <w:tblCellMar>
            <w:top w:w="0" w:type="dxa"/>
            <w:left w:w="108" w:type="dxa"/>
            <w:bottom w:w="0" w:type="dxa"/>
            <w:right w:w="108" w:type="dxa"/>
          </w:tblCellMar>
        </w:tblPrEx>
        <w:trPr>
          <w:trHeight w:val="289" w:hRule="atLeast"/>
          <w:jc w:val="center"/>
        </w:trPr>
        <w:tc>
          <w:tcPr>
            <w:tcW w:w="0" w:type="auto"/>
            <w:vMerge w:val="restart"/>
            <w:shd w:val="clear" w:color="auto" w:fill="auto"/>
            <w:vAlign w:val="center"/>
          </w:tcPr>
          <w:p>
            <w:pPr>
              <w:widowControl/>
              <w:spacing w:line="240" w:lineRule="auto"/>
              <w:jc w:val="center"/>
              <w:rPr>
                <w:rFonts w:ascii="仿宋" w:hAnsi="仿宋" w:eastAsia="仿宋" w:cs="仿宋"/>
                <w:b/>
                <w:bCs/>
                <w:kern w:val="0"/>
                <w:sz w:val="22"/>
                <w:szCs w:val="22"/>
              </w:rPr>
            </w:pPr>
            <w:r>
              <w:rPr>
                <w:rFonts w:hint="eastAsia" w:ascii="Times New Roman" w:hAnsi="Times New Roman" w:eastAsia="仿宋" w:cs="仿宋"/>
                <w:b/>
                <w:bCs/>
                <w:kern w:val="0"/>
                <w:sz w:val="22"/>
                <w:szCs w:val="22"/>
              </w:rPr>
              <w:t>产出指标（40分）</w:t>
            </w:r>
          </w:p>
        </w:tc>
        <w:tc>
          <w:tcPr>
            <w:tcW w:w="0" w:type="auto"/>
            <w:vMerge w:val="restart"/>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数量指标（10分）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在职人员参保人数（5分）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5.00</w:t>
            </w:r>
          </w:p>
        </w:tc>
      </w:tr>
      <w:tr>
        <w:tblPrEx>
          <w:tblCellMar>
            <w:top w:w="0" w:type="dxa"/>
            <w:left w:w="108" w:type="dxa"/>
            <w:bottom w:w="0" w:type="dxa"/>
            <w:right w:w="108" w:type="dxa"/>
          </w:tblCellMar>
        </w:tblPrEx>
        <w:trPr>
          <w:trHeight w:val="289" w:hRule="atLeast"/>
          <w:jc w:val="center"/>
        </w:trPr>
        <w:tc>
          <w:tcPr>
            <w:tcW w:w="0" w:type="auto"/>
            <w:vMerge w:val="continue"/>
            <w:vAlign w:val="center"/>
          </w:tcPr>
          <w:p>
            <w:pPr>
              <w:widowControl/>
              <w:spacing w:line="240" w:lineRule="auto"/>
              <w:jc w:val="left"/>
              <w:rPr>
                <w:rFonts w:ascii="仿宋" w:hAnsi="仿宋" w:eastAsia="仿宋" w:cs="仿宋"/>
                <w:b/>
                <w:bCs/>
                <w:kern w:val="0"/>
                <w:sz w:val="22"/>
                <w:szCs w:val="22"/>
              </w:rPr>
            </w:pPr>
          </w:p>
        </w:tc>
        <w:tc>
          <w:tcPr>
            <w:tcW w:w="0" w:type="auto"/>
            <w:vMerge w:val="continue"/>
            <w:vAlign w:val="center"/>
          </w:tcPr>
          <w:p>
            <w:pPr>
              <w:widowControl/>
              <w:spacing w:line="240" w:lineRule="auto"/>
              <w:jc w:val="left"/>
              <w:rPr>
                <w:rFonts w:ascii="仿宋" w:hAnsi="仿宋" w:eastAsia="仿宋" w:cs="仿宋"/>
                <w:kern w:val="0"/>
                <w:sz w:val="22"/>
                <w:szCs w:val="22"/>
              </w:rPr>
            </w:pP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退休人员待遇领取人数（5分）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1.00</w:t>
            </w:r>
          </w:p>
        </w:tc>
      </w:tr>
      <w:tr>
        <w:tblPrEx>
          <w:tblCellMar>
            <w:top w:w="0" w:type="dxa"/>
            <w:left w:w="108" w:type="dxa"/>
            <w:bottom w:w="0" w:type="dxa"/>
            <w:right w:w="108" w:type="dxa"/>
          </w:tblCellMar>
        </w:tblPrEx>
        <w:trPr>
          <w:trHeight w:val="289" w:hRule="atLeast"/>
          <w:jc w:val="center"/>
        </w:trPr>
        <w:tc>
          <w:tcPr>
            <w:tcW w:w="0" w:type="auto"/>
            <w:vMerge w:val="continue"/>
            <w:vAlign w:val="center"/>
          </w:tcPr>
          <w:p>
            <w:pPr>
              <w:widowControl/>
              <w:spacing w:line="240" w:lineRule="auto"/>
              <w:jc w:val="left"/>
              <w:rPr>
                <w:rFonts w:ascii="仿宋" w:hAnsi="仿宋" w:eastAsia="仿宋" w:cs="仿宋"/>
                <w:b/>
                <w:bCs/>
                <w:kern w:val="0"/>
                <w:sz w:val="22"/>
                <w:szCs w:val="22"/>
              </w:rPr>
            </w:pPr>
          </w:p>
        </w:tc>
        <w:tc>
          <w:tcPr>
            <w:tcW w:w="0" w:type="auto"/>
            <w:vMerge w:val="restart"/>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质量指标（10分）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养老保险收入收缴率（5分）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5.00</w:t>
            </w:r>
          </w:p>
        </w:tc>
      </w:tr>
      <w:tr>
        <w:tblPrEx>
          <w:tblCellMar>
            <w:top w:w="0" w:type="dxa"/>
            <w:left w:w="108" w:type="dxa"/>
            <w:bottom w:w="0" w:type="dxa"/>
            <w:right w:w="108" w:type="dxa"/>
          </w:tblCellMar>
        </w:tblPrEx>
        <w:trPr>
          <w:trHeight w:val="289" w:hRule="atLeast"/>
          <w:jc w:val="center"/>
        </w:trPr>
        <w:tc>
          <w:tcPr>
            <w:tcW w:w="0" w:type="auto"/>
            <w:vMerge w:val="continue"/>
            <w:vAlign w:val="center"/>
          </w:tcPr>
          <w:p>
            <w:pPr>
              <w:widowControl/>
              <w:spacing w:line="240" w:lineRule="auto"/>
              <w:jc w:val="left"/>
              <w:rPr>
                <w:rFonts w:ascii="仿宋" w:hAnsi="仿宋" w:eastAsia="仿宋" w:cs="仿宋"/>
                <w:b/>
                <w:bCs/>
                <w:kern w:val="0"/>
                <w:sz w:val="22"/>
                <w:szCs w:val="22"/>
              </w:rPr>
            </w:pPr>
          </w:p>
        </w:tc>
        <w:tc>
          <w:tcPr>
            <w:tcW w:w="0" w:type="auto"/>
            <w:vMerge w:val="continue"/>
            <w:vAlign w:val="center"/>
          </w:tcPr>
          <w:p>
            <w:pPr>
              <w:widowControl/>
              <w:spacing w:line="240" w:lineRule="auto"/>
              <w:jc w:val="left"/>
              <w:rPr>
                <w:rFonts w:ascii="仿宋" w:hAnsi="仿宋" w:eastAsia="仿宋" w:cs="仿宋"/>
                <w:kern w:val="0"/>
                <w:sz w:val="22"/>
                <w:szCs w:val="22"/>
              </w:rPr>
            </w:pP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养老金按月足额发放（5分）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5.00</w:t>
            </w:r>
          </w:p>
        </w:tc>
      </w:tr>
      <w:tr>
        <w:tblPrEx>
          <w:tblCellMar>
            <w:top w:w="0" w:type="dxa"/>
            <w:left w:w="108" w:type="dxa"/>
            <w:bottom w:w="0" w:type="dxa"/>
            <w:right w:w="108" w:type="dxa"/>
          </w:tblCellMar>
        </w:tblPrEx>
        <w:trPr>
          <w:trHeight w:val="289" w:hRule="atLeast"/>
          <w:jc w:val="center"/>
        </w:trPr>
        <w:tc>
          <w:tcPr>
            <w:tcW w:w="0" w:type="auto"/>
            <w:vMerge w:val="continue"/>
            <w:vAlign w:val="center"/>
          </w:tcPr>
          <w:p>
            <w:pPr>
              <w:widowControl/>
              <w:spacing w:line="240" w:lineRule="auto"/>
              <w:jc w:val="left"/>
              <w:rPr>
                <w:rFonts w:ascii="仿宋" w:hAnsi="仿宋" w:eastAsia="仿宋" w:cs="仿宋"/>
                <w:b/>
                <w:bCs/>
                <w:kern w:val="0"/>
                <w:sz w:val="22"/>
                <w:szCs w:val="22"/>
              </w:rPr>
            </w:pP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时效指标（10分）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资金到位率（10分）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10.00</w:t>
            </w:r>
          </w:p>
        </w:tc>
      </w:tr>
      <w:tr>
        <w:tblPrEx>
          <w:tblCellMar>
            <w:top w:w="0" w:type="dxa"/>
            <w:left w:w="108" w:type="dxa"/>
            <w:bottom w:w="0" w:type="dxa"/>
            <w:right w:w="108" w:type="dxa"/>
          </w:tblCellMar>
        </w:tblPrEx>
        <w:trPr>
          <w:trHeight w:val="289" w:hRule="atLeast"/>
          <w:jc w:val="center"/>
        </w:trPr>
        <w:tc>
          <w:tcPr>
            <w:tcW w:w="0" w:type="auto"/>
            <w:vMerge w:val="continue"/>
            <w:vAlign w:val="center"/>
          </w:tcPr>
          <w:p>
            <w:pPr>
              <w:widowControl/>
              <w:spacing w:line="240" w:lineRule="auto"/>
              <w:jc w:val="left"/>
              <w:rPr>
                <w:rFonts w:ascii="仿宋" w:hAnsi="仿宋" w:eastAsia="仿宋" w:cs="仿宋"/>
                <w:b/>
                <w:bCs/>
                <w:kern w:val="0"/>
                <w:sz w:val="22"/>
                <w:szCs w:val="22"/>
              </w:rPr>
            </w:pP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成本指标（10分）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项目资金投入（10分）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10.00</w:t>
            </w:r>
          </w:p>
        </w:tc>
      </w:tr>
      <w:tr>
        <w:tblPrEx>
          <w:tblCellMar>
            <w:top w:w="0" w:type="dxa"/>
            <w:left w:w="108" w:type="dxa"/>
            <w:bottom w:w="0" w:type="dxa"/>
            <w:right w:w="108" w:type="dxa"/>
          </w:tblCellMar>
        </w:tblPrEx>
        <w:trPr>
          <w:trHeight w:val="289" w:hRule="atLeast"/>
          <w:jc w:val="center"/>
        </w:trPr>
        <w:tc>
          <w:tcPr>
            <w:tcW w:w="0" w:type="auto"/>
            <w:vMerge w:val="restart"/>
            <w:shd w:val="clear" w:color="auto" w:fill="auto"/>
            <w:vAlign w:val="center"/>
          </w:tcPr>
          <w:p>
            <w:pPr>
              <w:widowControl/>
              <w:spacing w:line="240" w:lineRule="auto"/>
              <w:jc w:val="center"/>
              <w:rPr>
                <w:rFonts w:ascii="仿宋" w:hAnsi="仿宋" w:eastAsia="仿宋" w:cs="仿宋"/>
                <w:b/>
                <w:bCs/>
                <w:kern w:val="0"/>
                <w:sz w:val="22"/>
                <w:szCs w:val="22"/>
              </w:rPr>
            </w:pPr>
            <w:r>
              <w:rPr>
                <w:rFonts w:hint="eastAsia" w:ascii="Times New Roman" w:hAnsi="Times New Roman" w:eastAsia="仿宋" w:cs="仿宋"/>
                <w:b/>
                <w:bCs/>
                <w:kern w:val="0"/>
                <w:sz w:val="22"/>
                <w:szCs w:val="22"/>
              </w:rPr>
              <w:t>效益指标（20分）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社会效益（10分）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参保率（10分）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10.00</w:t>
            </w:r>
          </w:p>
        </w:tc>
      </w:tr>
      <w:tr>
        <w:tblPrEx>
          <w:tblCellMar>
            <w:top w:w="0" w:type="dxa"/>
            <w:left w:w="108" w:type="dxa"/>
            <w:bottom w:w="0" w:type="dxa"/>
            <w:right w:w="108" w:type="dxa"/>
          </w:tblCellMar>
        </w:tblPrEx>
        <w:trPr>
          <w:trHeight w:val="289" w:hRule="atLeast"/>
          <w:jc w:val="center"/>
        </w:trPr>
        <w:tc>
          <w:tcPr>
            <w:tcW w:w="0" w:type="auto"/>
            <w:vMerge w:val="continue"/>
            <w:vAlign w:val="center"/>
          </w:tcPr>
          <w:p>
            <w:pPr>
              <w:widowControl/>
              <w:spacing w:line="240" w:lineRule="auto"/>
              <w:jc w:val="left"/>
              <w:rPr>
                <w:rFonts w:ascii="仿宋" w:hAnsi="仿宋" w:eastAsia="仿宋" w:cs="仿宋"/>
                <w:b/>
                <w:bCs/>
                <w:kern w:val="0"/>
                <w:sz w:val="22"/>
                <w:szCs w:val="22"/>
              </w:rPr>
            </w:pP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可持续影响（5分）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退休人员持续领取待遇（5分）</w:t>
            </w:r>
          </w:p>
        </w:tc>
        <w:tc>
          <w:tcPr>
            <w:tcW w:w="0" w:type="auto"/>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5.00</w:t>
            </w:r>
          </w:p>
        </w:tc>
      </w:tr>
      <w:tr>
        <w:tblPrEx>
          <w:tblCellMar>
            <w:top w:w="0" w:type="dxa"/>
            <w:left w:w="108" w:type="dxa"/>
            <w:bottom w:w="0" w:type="dxa"/>
            <w:right w:w="108" w:type="dxa"/>
          </w:tblCellMar>
        </w:tblPrEx>
        <w:trPr>
          <w:trHeight w:val="289" w:hRule="atLeast"/>
          <w:jc w:val="center"/>
        </w:trPr>
        <w:tc>
          <w:tcPr>
            <w:tcW w:w="0" w:type="auto"/>
            <w:vMerge w:val="continue"/>
            <w:tcBorders>
              <w:bottom w:val="single" w:color="auto" w:sz="4" w:space="0"/>
            </w:tcBorders>
            <w:vAlign w:val="center"/>
          </w:tcPr>
          <w:p>
            <w:pPr>
              <w:widowControl/>
              <w:spacing w:line="240" w:lineRule="auto"/>
              <w:jc w:val="left"/>
              <w:rPr>
                <w:rFonts w:ascii="仿宋" w:hAnsi="仿宋" w:eastAsia="仿宋" w:cs="仿宋"/>
                <w:b/>
                <w:bCs/>
                <w:kern w:val="0"/>
                <w:sz w:val="22"/>
                <w:szCs w:val="22"/>
              </w:rPr>
            </w:pPr>
          </w:p>
        </w:tc>
        <w:tc>
          <w:tcPr>
            <w:tcW w:w="0" w:type="auto"/>
            <w:tcBorders>
              <w:bottom w:val="single" w:color="auto" w:sz="4" w:space="0"/>
            </w:tcBorders>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满意度（5分）</w:t>
            </w:r>
          </w:p>
        </w:tc>
        <w:tc>
          <w:tcPr>
            <w:tcW w:w="0" w:type="auto"/>
            <w:tcBorders>
              <w:bottom w:val="single" w:color="auto" w:sz="4" w:space="0"/>
            </w:tcBorders>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群众满意度（5分）</w:t>
            </w:r>
          </w:p>
        </w:tc>
        <w:tc>
          <w:tcPr>
            <w:tcW w:w="0" w:type="auto"/>
            <w:tcBorders>
              <w:bottom w:val="single" w:color="auto" w:sz="4" w:space="0"/>
            </w:tcBorders>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5.00</w:t>
            </w:r>
          </w:p>
        </w:tc>
      </w:tr>
      <w:tr>
        <w:tblPrEx>
          <w:tblCellMar>
            <w:top w:w="0" w:type="dxa"/>
            <w:left w:w="108" w:type="dxa"/>
            <w:bottom w:w="0" w:type="dxa"/>
            <w:right w:w="108" w:type="dxa"/>
          </w:tblCellMar>
        </w:tblPrEx>
        <w:trPr>
          <w:trHeight w:val="289" w:hRule="atLeast"/>
          <w:jc w:val="center"/>
        </w:trPr>
        <w:tc>
          <w:tcPr>
            <w:tcW w:w="0" w:type="auto"/>
            <w:gridSpan w:val="3"/>
            <w:tcBorders>
              <w:top w:val="single" w:color="auto" w:sz="4" w:space="0"/>
              <w:bottom w:val="single" w:color="auto" w:sz="12" w:space="0"/>
            </w:tcBorders>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总分</w:t>
            </w:r>
          </w:p>
        </w:tc>
        <w:tc>
          <w:tcPr>
            <w:tcW w:w="0" w:type="auto"/>
            <w:tcBorders>
              <w:top w:val="single" w:color="auto" w:sz="4" w:space="0"/>
              <w:bottom w:val="single" w:color="auto" w:sz="12" w:space="0"/>
            </w:tcBorders>
            <w:shd w:val="clear" w:color="auto" w:fill="auto"/>
            <w:vAlign w:val="center"/>
          </w:tcPr>
          <w:p>
            <w:pPr>
              <w:widowControl/>
              <w:spacing w:line="240" w:lineRule="auto"/>
              <w:jc w:val="center"/>
              <w:rPr>
                <w:rFonts w:ascii="仿宋" w:hAnsi="仿宋" w:eastAsia="仿宋" w:cs="仿宋"/>
                <w:kern w:val="0"/>
                <w:sz w:val="22"/>
                <w:szCs w:val="22"/>
              </w:rPr>
            </w:pPr>
            <w:r>
              <w:rPr>
                <w:rFonts w:hint="eastAsia" w:ascii="Times New Roman" w:hAnsi="Times New Roman" w:eastAsia="仿宋" w:cs="仿宋"/>
                <w:kern w:val="0"/>
                <w:sz w:val="22"/>
                <w:szCs w:val="22"/>
              </w:rPr>
              <w:t>94.00</w:t>
            </w:r>
          </w:p>
        </w:tc>
      </w:tr>
    </w:tbl>
    <w:p>
      <w:pPr>
        <w:rPr>
          <w:rFonts w:ascii="Times New Roman" w:hAnsi="Times New Roman" w:eastAsia="仿宋" w:cs="仿宋"/>
          <w:b/>
          <w:bCs/>
          <w:sz w:val="24"/>
        </w:rPr>
      </w:pPr>
    </w:p>
    <w:p>
      <w:pPr>
        <w:spacing w:before="156" w:beforeLines="50" w:after="156" w:afterLines="50"/>
        <w:ind w:firstLine="643" w:firstLineChars="200"/>
        <w:outlineLvl w:val="1"/>
        <w:rPr>
          <w:rFonts w:ascii="Times New Roman" w:hAnsi="Times New Roman" w:eastAsia="仿宋" w:cs="仿宋"/>
          <w:b/>
          <w:bCs/>
          <w:sz w:val="32"/>
          <w:szCs w:val="32"/>
        </w:rPr>
      </w:pPr>
      <w:bookmarkStart w:id="73" w:name="_Toc124892217"/>
      <w:bookmarkStart w:id="74" w:name="_Toc1517595374"/>
      <w:bookmarkStart w:id="75" w:name="_Toc21210"/>
      <w:r>
        <w:rPr>
          <w:rFonts w:hint="eastAsia" w:ascii="Times New Roman" w:hAnsi="Times New Roman" w:eastAsia="仿宋" w:cs="仿宋"/>
          <w:b/>
          <w:bCs/>
          <w:sz w:val="32"/>
          <w:szCs w:val="32"/>
        </w:rPr>
        <w:t>二、绩效评价指标分析</w:t>
      </w:r>
      <w:bookmarkEnd w:id="73"/>
      <w:bookmarkEnd w:id="74"/>
      <w:bookmarkEnd w:id="75"/>
    </w:p>
    <w:p>
      <w:pPr>
        <w:ind w:firstLine="560" w:firstLineChars="200"/>
        <w:rPr>
          <w:rFonts w:ascii="Times New Roman" w:hAnsi="Times New Roman" w:eastAsia="仿宋" w:cs="仿宋"/>
          <w:szCs w:val="28"/>
        </w:rPr>
      </w:pPr>
      <w:r>
        <w:rPr>
          <w:rFonts w:hint="eastAsia" w:ascii="Times New Roman" w:hAnsi="Times New Roman" w:eastAsia="仿宋" w:cs="仿宋"/>
          <w:szCs w:val="28"/>
        </w:rPr>
        <w:t>从整体来看，2021-2022年惠安县机关事业养老保险专项资金运作较规范，资金使用及时，整体实施情况良好，较好地完成了项目设定的各项目标。下面从项目决策、过程、产出、效益四个维度具体分析项目运行情况：</w:t>
      </w:r>
    </w:p>
    <w:p>
      <w:pPr>
        <w:ind w:firstLine="562" w:firstLineChars="200"/>
        <w:outlineLvl w:val="2"/>
        <w:rPr>
          <w:rFonts w:ascii="Times New Roman" w:hAnsi="Times New Roman" w:eastAsia="仿宋" w:cs="仿宋"/>
          <w:b/>
          <w:bCs/>
          <w:szCs w:val="28"/>
        </w:rPr>
      </w:pPr>
      <w:bookmarkStart w:id="76" w:name="_Toc2455"/>
      <w:bookmarkStart w:id="77" w:name="_Toc124892218"/>
      <w:bookmarkStart w:id="78" w:name="_Toc406714302"/>
      <w:r>
        <w:rPr>
          <w:rFonts w:hint="eastAsia" w:ascii="Times New Roman" w:hAnsi="Times New Roman" w:eastAsia="仿宋" w:cs="仿宋"/>
          <w:b/>
          <w:bCs/>
          <w:szCs w:val="28"/>
        </w:rPr>
        <w:t>（一）项目决策情况</w:t>
      </w:r>
      <w:bookmarkEnd w:id="76"/>
      <w:bookmarkEnd w:id="77"/>
      <w:bookmarkEnd w:id="78"/>
    </w:p>
    <w:p>
      <w:pPr>
        <w:ind w:firstLine="560" w:firstLineChars="200"/>
        <w:rPr>
          <w:rFonts w:ascii="Times New Roman" w:hAnsi="Times New Roman" w:eastAsia="仿宋"/>
          <w:shd w:val="clear" w:color="auto" w:fill="FFFFFF"/>
        </w:rPr>
      </w:pPr>
      <w:r>
        <w:rPr>
          <w:rFonts w:hint="eastAsia" w:ascii="Times New Roman" w:hAnsi="Times New Roman" w:eastAsia="仿宋" w:cs="仿宋"/>
          <w:szCs w:val="28"/>
        </w:rPr>
        <w:t>项目决策维度的评价主要从项目立项、绩效目标和资金投入三个方面展开。</w:t>
      </w:r>
      <w:r>
        <w:rPr>
          <w:rFonts w:hint="eastAsia" w:ascii="Times New Roman" w:hAnsi="Times New Roman" w:eastAsia="仿宋"/>
          <w:shd w:val="clear" w:color="auto" w:fill="FFFFFF"/>
        </w:rPr>
        <w:t>项目资金管理合规，组织实施有据可依，绩效指标明确具体。该部分总分</w:t>
      </w:r>
      <w:r>
        <w:rPr>
          <w:rFonts w:ascii="Times New Roman" w:hAnsi="Times New Roman" w:eastAsia="仿宋" w:cs="Times New Roman"/>
          <w:shd w:val="clear" w:color="auto" w:fill="FFFFFF"/>
        </w:rPr>
        <w:t>20</w:t>
      </w:r>
      <w:r>
        <w:rPr>
          <w:rFonts w:hint="eastAsia" w:ascii="Times New Roman" w:hAnsi="Times New Roman" w:eastAsia="仿宋"/>
          <w:shd w:val="clear" w:color="auto" w:fill="FFFFFF"/>
        </w:rPr>
        <w:t>分，得分18分，扣分2分。</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专项资金从项目立项起便依据</w:t>
      </w:r>
      <w:r>
        <w:rPr>
          <w:rFonts w:hint="eastAsia" w:ascii="Times New Roman" w:hAnsi="Times New Roman" w:eastAsia="仿宋" w:cs="仿宋"/>
        </w:rPr>
        <w:t>《财政部关于机关事业单位实施养老保险制度改革有关预算管理问题的通知》（财预〔2016〕36号）、关于印发《贯彻落实&lt;国务院关于机关事业单位工作人员养老保险制度改革的决定&gt;实施办法》的通知（闽政〔2015〕48号）</w:t>
      </w:r>
      <w:r>
        <w:rPr>
          <w:rFonts w:hint="eastAsia" w:ascii="Times New Roman" w:hAnsi="Times New Roman" w:eastAsia="仿宋" w:cs="仿宋"/>
          <w:szCs w:val="28"/>
        </w:rPr>
        <w:t>等政策文件，项目按照规定的程序申请设立；审批文件、材料符合相关要求；事前已经过必要的可行性研究和集体决策。</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在绩效目标设置上，项目绩效目标与实际工作内容具有相关性；项目预期产出效益和效果符合正常的业绩水平；与预算确定的项目投资额或资金量相匹配，该项目绩效目标已细化分解为具体的绩效指标，与项目目标任务数或计划数相对应，指标值清晰可衡量。</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在资金投入方面，预算编制经过科学论证，预算内容与项目内容匹配，预算确定的项目投资额或资金量与工作任务相匹配，但2021年由于当年度退休人员数量变化较大，导致年初预算当年度退休人员人数有一定偏差，进而导致成本控制不准确，因此该项扣2分。2021-2022年惠安县机关事业养老保险专项资金立项依据充分，绩效目标和资金投入方案合理。</w:t>
      </w:r>
    </w:p>
    <w:p>
      <w:pPr>
        <w:autoSpaceDE w:val="0"/>
        <w:ind w:firstLine="562"/>
        <w:outlineLvl w:val="2"/>
        <w:rPr>
          <w:rFonts w:ascii="Times New Roman" w:hAnsi="Times New Roman" w:eastAsia="仿宋" w:cs="仿宋"/>
          <w:b/>
          <w:bCs/>
          <w:szCs w:val="28"/>
        </w:rPr>
      </w:pPr>
      <w:bookmarkStart w:id="79" w:name="_Toc119967329"/>
      <w:bookmarkStart w:id="80" w:name="_Toc5648"/>
      <w:bookmarkStart w:id="81" w:name="_Toc124892219"/>
      <w:r>
        <w:rPr>
          <w:rFonts w:hint="eastAsia" w:ascii="Times New Roman" w:hAnsi="Times New Roman" w:eastAsia="仿宋" w:cs="仿宋"/>
          <w:b/>
          <w:bCs/>
        </w:rPr>
        <w:t>（二）项目过程情况</w:t>
      </w:r>
      <w:bookmarkEnd w:id="79"/>
      <w:bookmarkEnd w:id="80"/>
      <w:bookmarkEnd w:id="81"/>
    </w:p>
    <w:p>
      <w:pPr>
        <w:ind w:firstLine="560" w:firstLineChars="200"/>
        <w:rPr>
          <w:rFonts w:ascii="Times New Roman" w:hAnsi="Times New Roman" w:eastAsia="仿宋" w:cs="仿宋"/>
          <w:szCs w:val="28"/>
        </w:rPr>
      </w:pPr>
      <w:r>
        <w:rPr>
          <w:rFonts w:hint="eastAsia" w:ascii="Times New Roman" w:hAnsi="Times New Roman" w:eastAsia="仿宋" w:cs="仿宋"/>
          <w:szCs w:val="28"/>
        </w:rPr>
        <w:t>项目过程维度的评价主要从资金管理和组织实施两个方面展开，资金管理程序完整，组织实施制度完善。该部分总分20分，得分20分，扣分0分。</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在资金管理上，2021年的预算执行率为100%，2022年的预算执行率为104.77%，2022年的预算执行率较高是因为养老保险收入在月底完成，养老保险支出在月初完成，导致12月支出时12月的收入还没有到位，还存在缺口，于是追加预算831万元，全年财政的总预算较年初相比有所提高；资金使用符合国家财经法规和财务管理制度以及有关专项资金管理办法的规定；资金的拨付有完整的审批程序和手续；资金使用符合项目资金批复或合同规定的用途；不存在挤占、挪用、虚列支出等情况。</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在组织实施上，已具有相应的财务和业务管理制度；财务和业务管理制度合法、合规、完整，对项目顺利实施提供了保障。实施单位依据相关法律法规和相关管理规定实施项目；项目资金申报表、技术鉴定等资料齐全并及时归档；拟补助单位的审核摸排等工作实施到位，项目实施的人员条件、场地设备、信息支撑等落实到位。</w:t>
      </w:r>
    </w:p>
    <w:p>
      <w:pPr>
        <w:autoSpaceDE w:val="0"/>
        <w:ind w:firstLine="562"/>
        <w:outlineLvl w:val="2"/>
        <w:rPr>
          <w:rFonts w:ascii="Times New Roman" w:hAnsi="Times New Roman" w:eastAsia="仿宋" w:cs="仿宋"/>
          <w:b/>
          <w:bCs/>
          <w:szCs w:val="28"/>
        </w:rPr>
      </w:pPr>
      <w:bookmarkStart w:id="82" w:name="_Toc119967330"/>
      <w:bookmarkStart w:id="83" w:name="_Toc24520"/>
      <w:bookmarkStart w:id="84" w:name="_Toc124892220"/>
      <w:r>
        <w:rPr>
          <w:rFonts w:hint="eastAsia" w:ascii="Times New Roman" w:hAnsi="Times New Roman" w:eastAsia="仿宋" w:cs="仿宋"/>
          <w:b/>
          <w:bCs/>
        </w:rPr>
        <w:t>（三）项目产出情况</w:t>
      </w:r>
      <w:bookmarkEnd w:id="82"/>
      <w:bookmarkEnd w:id="83"/>
      <w:bookmarkEnd w:id="84"/>
    </w:p>
    <w:p>
      <w:pPr>
        <w:ind w:firstLine="560" w:firstLineChars="200"/>
        <w:rPr>
          <w:rFonts w:ascii="Times New Roman" w:hAnsi="Times New Roman" w:eastAsia="仿宋" w:cs="仿宋"/>
          <w:szCs w:val="28"/>
        </w:rPr>
      </w:pPr>
      <w:r>
        <w:rPr>
          <w:rFonts w:hint="eastAsia" w:ascii="Times New Roman" w:hAnsi="Times New Roman" w:eastAsia="仿宋" w:cs="仿宋"/>
          <w:szCs w:val="28"/>
        </w:rPr>
        <w:t>项目产出维度的评价主要从项目产出数量、质量、时效和成本四个方面展开，项目产出数量完成情况较好，产出质量优秀，时效性强，成本控制合理。该部分总分40分，得分36分，扣分4分。</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数量上，2021年在职人员实际参保人数11964人，2022年在职人员实际参保人数12258人，两年均达成预期目标；2021年退休人员待遇领取人数目标值为5735人，实际为5637人，退休人员待遇领取人数未达到目标值的原因是新增退休人数较少，而退休人员中的离世人数较多，导致2</w:t>
      </w:r>
      <w:r>
        <w:rPr>
          <w:rFonts w:ascii="Times New Roman" w:hAnsi="Times New Roman" w:eastAsia="仿宋" w:cs="仿宋"/>
          <w:szCs w:val="28"/>
        </w:rPr>
        <w:t>021</w:t>
      </w:r>
      <w:r>
        <w:rPr>
          <w:rFonts w:hint="eastAsia" w:ascii="Times New Roman" w:hAnsi="Times New Roman" w:eastAsia="仿宋" w:cs="仿宋"/>
          <w:szCs w:val="28"/>
        </w:rPr>
        <w:t>年退休人员待遇领取人数有所下降，较上年减少98人，因此该项扣4分。2022年退休人员待遇领取人数目标值为5795人，实际5849人，该年度实现预期目标。</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质量上，机关事业养老保险专项资金的养老保险收入收缴率两年均达到100%，养老金均按月足额发放。</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时效上，项目按年度计划按时完成，资金到位迅速。</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成本上，该项目资金投入合理。</w:t>
      </w:r>
    </w:p>
    <w:p>
      <w:pPr>
        <w:autoSpaceDE w:val="0"/>
        <w:ind w:firstLine="562"/>
        <w:outlineLvl w:val="2"/>
        <w:rPr>
          <w:rFonts w:ascii="Times New Roman" w:hAnsi="Times New Roman" w:eastAsia="仿宋" w:cs="仿宋"/>
          <w:b/>
          <w:bCs/>
          <w:szCs w:val="28"/>
        </w:rPr>
      </w:pPr>
      <w:bookmarkStart w:id="85" w:name="_Toc119967331"/>
      <w:bookmarkStart w:id="86" w:name="_Toc124892221"/>
      <w:bookmarkStart w:id="87" w:name="_Toc29091"/>
      <w:r>
        <w:rPr>
          <w:rFonts w:hint="eastAsia" w:ascii="Times New Roman" w:hAnsi="Times New Roman" w:eastAsia="仿宋" w:cs="仿宋"/>
          <w:b/>
          <w:bCs/>
        </w:rPr>
        <w:t>（四）项目效益情况</w:t>
      </w:r>
      <w:bookmarkEnd w:id="85"/>
      <w:bookmarkEnd w:id="86"/>
      <w:bookmarkEnd w:id="87"/>
    </w:p>
    <w:p>
      <w:pPr>
        <w:ind w:firstLine="560" w:firstLineChars="200"/>
        <w:rPr>
          <w:rFonts w:ascii="Times New Roman" w:hAnsi="Times New Roman" w:eastAsia="仿宋" w:cs="仿宋"/>
          <w:szCs w:val="28"/>
        </w:rPr>
      </w:pPr>
      <w:r>
        <w:rPr>
          <w:rFonts w:hint="eastAsia" w:ascii="Times New Roman" w:hAnsi="Times New Roman" w:eastAsia="仿宋" w:cs="仿宋"/>
          <w:szCs w:val="28"/>
        </w:rPr>
        <w:t>项目效益维度的评价主要从项目社会效益、可持续影响和满意度三个方面展开。社会效益方面较高程度上保障了退休人员的权益，可持续影响上能让退休人员持续领取退休待遇，群众满意度评价较高，该部分满分20分，得分20分，扣分0分。</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社会效益上，惠安县2021和2022年参保率均达到100%，项目资金落到实处，退休人员权益保障程度较高。</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可持续影响上，实际发放待遇人数占应拨付待遇总人数100%，健在的退休人员能够持续领取退休待遇。</w:t>
      </w:r>
    </w:p>
    <w:p>
      <w:pPr>
        <w:ind w:firstLine="560" w:firstLineChars="200"/>
        <w:rPr>
          <w:rFonts w:ascii="Times New Roman" w:hAnsi="Times New Roman" w:eastAsia="仿宋" w:cs="仿宋"/>
          <w:szCs w:val="28"/>
        </w:rPr>
      </w:pPr>
      <w:r>
        <w:rPr>
          <w:rFonts w:hint="eastAsia" w:ascii="Times New Roman" w:hAnsi="Times New Roman" w:eastAsia="仿宋" w:cs="仿宋"/>
          <w:szCs w:val="28"/>
        </w:rPr>
        <w:t>满意度上，通过整理项目绩效评价材料得2021和2022年度机关事业养老保险专项资金服务对象满意度达95%，从效益角度来看，该专项资金均满足预期目标。</w:t>
      </w:r>
      <w:r>
        <w:rPr>
          <w:rFonts w:hint="eastAsia" w:ascii="Times New Roman" w:hAnsi="Times New Roman" w:eastAsia="仿宋" w:cs="仿宋"/>
        </w:rPr>
        <w:br w:type="page"/>
      </w:r>
    </w:p>
    <w:p>
      <w:pPr>
        <w:ind w:firstLine="560"/>
        <w:rPr>
          <w:rFonts w:ascii="Times New Roman" w:hAnsi="Times New Roman" w:eastAsia="仿宋" w:cs="仿宋"/>
          <w:szCs w:val="28"/>
        </w:rPr>
      </w:pPr>
    </w:p>
    <w:p>
      <w:pPr>
        <w:numPr>
          <w:ilvl w:val="0"/>
          <w:numId w:val="1"/>
        </w:numPr>
        <w:ind w:firstLine="723" w:firstLineChars="200"/>
        <w:jc w:val="center"/>
        <w:outlineLvl w:val="0"/>
        <w:rPr>
          <w:rFonts w:ascii="Times New Roman" w:hAnsi="Times New Roman" w:eastAsia="仿宋" w:cs="仿宋"/>
          <w:b/>
          <w:bCs/>
          <w:sz w:val="36"/>
          <w:szCs w:val="36"/>
        </w:rPr>
      </w:pPr>
      <w:bookmarkStart w:id="88" w:name="_Toc124892222"/>
      <w:bookmarkStart w:id="89" w:name="_Toc119967332"/>
      <w:bookmarkStart w:id="90" w:name="_Toc31163"/>
      <w:r>
        <w:rPr>
          <w:rFonts w:hint="eastAsia" w:ascii="Times New Roman" w:hAnsi="Times New Roman" w:eastAsia="仿宋" w:cs="仿宋"/>
          <w:b/>
          <w:bCs/>
          <w:sz w:val="36"/>
          <w:szCs w:val="36"/>
        </w:rPr>
        <w:t>存在主要问题</w:t>
      </w:r>
      <w:bookmarkEnd w:id="88"/>
      <w:bookmarkEnd w:id="89"/>
      <w:bookmarkEnd w:id="90"/>
    </w:p>
    <w:p>
      <w:pPr>
        <w:rPr>
          <w:rFonts w:ascii="Times New Roman" w:hAnsi="Times New Roman" w:eastAsia="仿宋" w:cs="仿宋"/>
          <w:szCs w:val="28"/>
        </w:rPr>
      </w:pPr>
    </w:p>
    <w:p>
      <w:pPr>
        <w:spacing w:before="156" w:beforeLines="50" w:after="156" w:afterLines="50"/>
        <w:ind w:firstLine="643" w:firstLineChars="200"/>
        <w:outlineLvl w:val="1"/>
        <w:rPr>
          <w:rFonts w:ascii="Times New Roman" w:hAnsi="Times New Roman" w:eastAsia="仿宋" w:cs="仿宋"/>
          <w:b/>
          <w:bCs/>
          <w:sz w:val="32"/>
          <w:szCs w:val="32"/>
        </w:rPr>
      </w:pPr>
      <w:bookmarkStart w:id="91" w:name="_Toc18541"/>
      <w:r>
        <w:rPr>
          <w:rFonts w:hint="eastAsia" w:ascii="Times New Roman" w:hAnsi="Times New Roman" w:eastAsia="仿宋" w:cs="仿宋"/>
          <w:b/>
          <w:bCs/>
          <w:sz w:val="32"/>
          <w:szCs w:val="32"/>
        </w:rPr>
        <w:t>一、预算绩效管理工作有待进一步提高</w:t>
      </w:r>
      <w:bookmarkEnd w:id="91"/>
    </w:p>
    <w:p>
      <w:pPr>
        <w:ind w:firstLine="560" w:firstLineChars="200"/>
        <w:rPr>
          <w:rFonts w:ascii="Times New Roman" w:hAnsi="Times New Roman" w:eastAsia="仿宋" w:cs="仿宋"/>
          <w:szCs w:val="28"/>
        </w:rPr>
      </w:pPr>
      <w:r>
        <w:rPr>
          <w:rFonts w:hint="eastAsia" w:ascii="Times New Roman" w:hAnsi="Times New Roman" w:eastAsia="仿宋" w:cs="仿宋"/>
          <w:szCs w:val="28"/>
        </w:rPr>
        <w:t>2021年和2022年的惠安县机关事业养老保险专项资金预算准确性有待加强，例如退休人员人数的预算安排有偏差，影响预算资金执行效率，导致成本控制不够准确。此外，2022年的专项自评表的绩效评价指标体系满分设置有误，绩效自评工作还需进一步规范。建议加强本部门预算绩效管理，提前做好摸底规划工作，提高项目预算和绩效评价的准确性，合理使用当年度预算资金，提高资金的使用效率。</w:t>
      </w:r>
    </w:p>
    <w:p>
      <w:pPr>
        <w:spacing w:before="156" w:beforeLines="50" w:after="156" w:afterLines="50"/>
        <w:ind w:firstLine="643" w:firstLineChars="200"/>
        <w:outlineLvl w:val="1"/>
        <w:rPr>
          <w:rFonts w:ascii="Times New Roman" w:hAnsi="Times New Roman" w:eastAsia="仿宋" w:cs="仿宋"/>
          <w:b/>
          <w:bCs/>
          <w:sz w:val="32"/>
          <w:szCs w:val="32"/>
        </w:rPr>
      </w:pPr>
      <w:bookmarkStart w:id="92" w:name="_Toc1943"/>
      <w:r>
        <w:rPr>
          <w:rFonts w:hint="eastAsia" w:ascii="Times New Roman" w:hAnsi="Times New Roman" w:eastAsia="仿宋" w:cs="仿宋"/>
          <w:b/>
          <w:bCs/>
          <w:sz w:val="32"/>
          <w:szCs w:val="32"/>
        </w:rPr>
        <w:t>二、基金赤字逐年提高，部分事业单位财政压力增大</w:t>
      </w:r>
      <w:bookmarkEnd w:id="92"/>
    </w:p>
    <w:p>
      <w:pPr>
        <w:ind w:firstLine="560" w:firstLineChars="200"/>
        <w:rPr>
          <w:rFonts w:ascii="Times New Roman" w:hAnsi="Times New Roman" w:eastAsia="仿宋" w:cs="仿宋"/>
          <w:szCs w:val="28"/>
        </w:rPr>
      </w:pPr>
      <w:r>
        <w:rPr>
          <w:rFonts w:hint="eastAsia" w:ascii="Times New Roman" w:hAnsi="Times New Roman" w:eastAsia="仿宋" w:cs="仿宋"/>
          <w:szCs w:val="28"/>
        </w:rPr>
        <w:t>从近年趋势来看，退休人员的待遇水平稳中有升，而财政收入相应增长速度较慢，导致基金赤字逐渐拉大，2022年机关事业养老保险专项资金的资金缺口达到1.3亿元。此外，退休人员新增每月生活补贴达2000元，且未能在专项资金中列支，须由事业单位直接支付，给事业单位带来了一定的财政压力。</w:t>
      </w:r>
    </w:p>
    <w:p>
      <w:pPr>
        <w:spacing w:before="156" w:beforeLines="50" w:after="156" w:afterLines="50"/>
        <w:ind w:firstLine="643" w:firstLineChars="200"/>
        <w:outlineLvl w:val="1"/>
        <w:rPr>
          <w:rFonts w:ascii="Times New Roman" w:hAnsi="Times New Roman" w:eastAsia="仿宋" w:cs="仿宋"/>
          <w:b/>
          <w:bCs/>
          <w:sz w:val="32"/>
          <w:szCs w:val="32"/>
        </w:rPr>
      </w:pPr>
      <w:bookmarkStart w:id="93" w:name="_Toc26565"/>
      <w:r>
        <w:rPr>
          <w:rFonts w:hint="eastAsia" w:ascii="Times New Roman" w:hAnsi="Times New Roman" w:eastAsia="仿宋" w:cs="仿宋"/>
          <w:b/>
          <w:bCs/>
          <w:sz w:val="32"/>
          <w:szCs w:val="32"/>
        </w:rPr>
        <w:t>三、业务和财务数据衔接存在时间差，影响时效性</w:t>
      </w:r>
      <w:bookmarkEnd w:id="93"/>
    </w:p>
    <w:p>
      <w:pPr>
        <w:ind w:firstLine="560" w:firstLineChars="200"/>
        <w:rPr>
          <w:rFonts w:ascii="Times New Roman" w:hAnsi="Times New Roman" w:eastAsia="仿宋" w:cs="仿宋"/>
          <w:szCs w:val="28"/>
        </w:rPr>
      </w:pPr>
      <w:r>
        <w:rPr>
          <w:rFonts w:hint="eastAsia" w:ascii="Times New Roman" w:hAnsi="Times New Roman" w:eastAsia="仿宋" w:cs="仿宋"/>
          <w:szCs w:val="28"/>
        </w:rPr>
        <w:t>惠安县机关社保中心在进行机关事业养老保险资金的有关项目时，往往会存在业务已经发生，但财务数据未及时更新的问题，这会使导致资金的流转与拨付不够迅速，容易使退休人员福利待遇的领取出现滞后，降低养老保险的服务效率，对基金赤字缺口的推算也会受到影响。</w:t>
      </w:r>
    </w:p>
    <w:p>
      <w:pPr>
        <w:widowControl/>
        <w:spacing w:line="240" w:lineRule="auto"/>
        <w:jc w:val="left"/>
        <w:rPr>
          <w:rFonts w:ascii="Times New Roman" w:hAnsi="Times New Roman" w:eastAsia="仿宋" w:cs="仿宋"/>
          <w:szCs w:val="28"/>
        </w:rPr>
      </w:pPr>
      <w:bookmarkStart w:id="94" w:name="_Hlk125147498"/>
      <w:r>
        <w:rPr>
          <w:rFonts w:hint="eastAsia" w:ascii="Times New Roman" w:hAnsi="Times New Roman" w:eastAsia="仿宋" w:cs="仿宋"/>
          <w:szCs w:val="28"/>
        </w:rPr>
        <w:br w:type="page"/>
      </w:r>
    </w:p>
    <w:p>
      <w:pPr>
        <w:widowControl/>
        <w:spacing w:line="240" w:lineRule="auto"/>
        <w:jc w:val="left"/>
        <w:rPr>
          <w:rFonts w:ascii="Times New Roman" w:hAnsi="Times New Roman" w:eastAsia="仿宋" w:cs="仿宋"/>
          <w:szCs w:val="28"/>
        </w:rPr>
      </w:pPr>
    </w:p>
    <w:p>
      <w:pPr>
        <w:numPr>
          <w:ilvl w:val="0"/>
          <w:numId w:val="1"/>
        </w:numPr>
        <w:ind w:firstLine="723" w:firstLineChars="200"/>
        <w:jc w:val="center"/>
        <w:outlineLvl w:val="0"/>
        <w:rPr>
          <w:rFonts w:ascii="Times New Roman" w:hAnsi="Times New Roman" w:eastAsia="仿宋" w:cs="仿宋"/>
          <w:b/>
          <w:bCs/>
          <w:sz w:val="36"/>
          <w:szCs w:val="36"/>
        </w:rPr>
      </w:pPr>
      <w:bookmarkStart w:id="95" w:name="_Toc124892225"/>
      <w:bookmarkStart w:id="96" w:name="_Toc20454"/>
      <w:r>
        <w:rPr>
          <w:rFonts w:hint="eastAsia" w:ascii="Times New Roman" w:hAnsi="Times New Roman" w:eastAsia="仿宋" w:cs="仿宋"/>
          <w:b/>
          <w:bCs/>
          <w:sz w:val="36"/>
          <w:szCs w:val="36"/>
        </w:rPr>
        <w:t>改进措施与管理建议</w:t>
      </w:r>
      <w:bookmarkEnd w:id="95"/>
      <w:bookmarkEnd w:id="96"/>
    </w:p>
    <w:p>
      <w:pPr>
        <w:ind w:firstLine="560"/>
        <w:rPr>
          <w:rFonts w:ascii="Times New Roman" w:hAnsi="Times New Roman" w:eastAsia="仿宋" w:cs="仿宋"/>
          <w:szCs w:val="28"/>
        </w:rPr>
      </w:pPr>
    </w:p>
    <w:p>
      <w:pPr>
        <w:spacing w:before="156" w:beforeLines="50" w:after="156" w:afterLines="50"/>
        <w:ind w:firstLine="643" w:firstLineChars="200"/>
        <w:outlineLvl w:val="1"/>
        <w:rPr>
          <w:rFonts w:ascii="Times New Roman" w:hAnsi="Times New Roman" w:eastAsia="仿宋" w:cs="仿宋"/>
          <w:b/>
          <w:bCs/>
          <w:sz w:val="32"/>
          <w:szCs w:val="32"/>
        </w:rPr>
      </w:pPr>
      <w:bookmarkStart w:id="97" w:name="_Toc6262"/>
      <w:r>
        <w:rPr>
          <w:rFonts w:hint="eastAsia" w:ascii="Times New Roman" w:hAnsi="Times New Roman" w:eastAsia="仿宋" w:cs="仿宋"/>
          <w:b/>
          <w:bCs/>
          <w:sz w:val="32"/>
          <w:szCs w:val="32"/>
        </w:rPr>
        <w:t>一、优化预算编制，有序执行预算</w:t>
      </w:r>
      <w:bookmarkEnd w:id="97"/>
    </w:p>
    <w:p>
      <w:pPr>
        <w:ind w:firstLine="560" w:firstLineChars="200"/>
        <w:rPr>
          <w:rFonts w:ascii="Times New Roman" w:hAnsi="Times New Roman" w:eastAsia="仿宋" w:cs="仿宋"/>
          <w:szCs w:val="28"/>
        </w:rPr>
      </w:pPr>
      <w:r>
        <w:rPr>
          <w:rFonts w:hint="eastAsia" w:ascii="Times New Roman" w:hAnsi="Times New Roman" w:eastAsia="仿宋" w:cs="仿宋"/>
          <w:szCs w:val="28"/>
        </w:rPr>
        <w:t>保障机关事业养老保险专项资金预算执行的平稳有序，需要做好前期工作，加强本部门预算管理，及时跟进专项资金的支付进度，继续</w:t>
      </w:r>
      <w:r>
        <w:rPr>
          <w:rFonts w:hint="eastAsia" w:ascii="Times New Roman" w:hAnsi="Times New Roman" w:eastAsia="仿宋" w:cs="仿宋"/>
          <w:kern w:val="0"/>
          <w:szCs w:val="32"/>
        </w:rPr>
        <w:t>坚持</w:t>
      </w:r>
      <w:r>
        <w:rPr>
          <w:rFonts w:hint="eastAsia" w:ascii="Times New Roman" w:hAnsi="Times New Roman" w:eastAsia="仿宋" w:cs="仿宋"/>
        </w:rPr>
        <w:t>资</w:t>
      </w:r>
      <w:r>
        <w:rPr>
          <w:rFonts w:hint="eastAsia" w:ascii="Times New Roman" w:hAnsi="Times New Roman" w:eastAsia="仿宋" w:cs="仿宋"/>
          <w:kern w:val="0"/>
          <w:szCs w:val="32"/>
        </w:rPr>
        <w:t>金使用公平、公开、公正原则，</w:t>
      </w:r>
      <w:r>
        <w:rPr>
          <w:rFonts w:hint="eastAsia" w:ascii="Times New Roman" w:hAnsi="Times New Roman" w:eastAsia="仿宋" w:cs="仿宋"/>
          <w:szCs w:val="28"/>
        </w:rPr>
        <w:t>合理使用当年度预算资金，提高对各指标的预测的准确性，进而制定更精准的部门预算，降低预算偏差程度。</w:t>
      </w:r>
    </w:p>
    <w:p>
      <w:pPr>
        <w:spacing w:before="156" w:beforeLines="50" w:after="156" w:afterLines="50"/>
        <w:ind w:firstLine="643" w:firstLineChars="200"/>
        <w:outlineLvl w:val="1"/>
        <w:rPr>
          <w:rFonts w:ascii="Times New Roman" w:hAnsi="Times New Roman" w:eastAsia="仿宋" w:cs="仿宋"/>
          <w:b/>
          <w:bCs/>
          <w:sz w:val="32"/>
          <w:szCs w:val="32"/>
        </w:rPr>
      </w:pPr>
      <w:bookmarkStart w:id="98" w:name="_Toc11039"/>
      <w:r>
        <w:rPr>
          <w:rFonts w:hint="eastAsia" w:ascii="Times New Roman" w:hAnsi="Times New Roman" w:eastAsia="仿宋" w:cs="仿宋"/>
          <w:b/>
          <w:bCs/>
          <w:sz w:val="32"/>
          <w:szCs w:val="32"/>
        </w:rPr>
        <w:t>二、合理编制绩效目标，强化绩效自评工作</w:t>
      </w:r>
      <w:bookmarkEnd w:id="98"/>
    </w:p>
    <w:p>
      <w:pPr>
        <w:ind w:firstLine="560" w:firstLineChars="200"/>
        <w:rPr>
          <w:rFonts w:ascii="Times New Roman" w:hAnsi="Times New Roman" w:eastAsia="仿宋" w:cs="仿宋"/>
          <w:szCs w:val="28"/>
        </w:rPr>
      </w:pPr>
      <w:r>
        <w:rPr>
          <w:rFonts w:hint="eastAsia" w:ascii="Times New Roman" w:hAnsi="Times New Roman" w:eastAsia="仿宋" w:cs="仿宋"/>
          <w:szCs w:val="28"/>
        </w:rPr>
        <w:t>惠安县机关社保中心在进行绩效目标编制时需更加严格要求自身，旨在持续进步，加强为民办实事的服务效率；同时，</w:t>
      </w:r>
      <w:r>
        <w:rPr>
          <w:rFonts w:hint="eastAsia" w:ascii="Times New Roman" w:hAnsi="Times New Roman" w:eastAsia="仿宋" w:cs="仿宋"/>
          <w:shd w:val="clear" w:color="auto" w:fill="FFFFFF"/>
        </w:rPr>
        <w:t>强化绩效自评工作</w:t>
      </w:r>
      <w:r>
        <w:rPr>
          <w:rFonts w:hint="eastAsia" w:ascii="Times New Roman" w:hAnsi="Times New Roman" w:eastAsia="仿宋" w:cs="仿宋"/>
          <w:szCs w:val="28"/>
        </w:rPr>
        <w:t>，增强绩效自评的准确性和谨慎性，</w:t>
      </w:r>
      <w:r>
        <w:rPr>
          <w:rFonts w:hint="eastAsia" w:ascii="Times New Roman" w:hAnsi="Times New Roman" w:eastAsia="仿宋" w:cs="仿宋"/>
          <w:shd w:val="clear" w:color="auto" w:fill="FFFFFF"/>
        </w:rPr>
        <w:t>建立完善的绩效评价指标体系，提高绩效自评质量。</w:t>
      </w:r>
    </w:p>
    <w:p>
      <w:pPr>
        <w:spacing w:before="156" w:beforeLines="50" w:after="156" w:afterLines="50"/>
        <w:ind w:firstLine="643" w:firstLineChars="200"/>
        <w:outlineLvl w:val="1"/>
        <w:rPr>
          <w:rFonts w:ascii="Times New Roman" w:hAnsi="Times New Roman" w:eastAsia="仿宋" w:cs="仿宋"/>
          <w:b/>
          <w:bCs/>
          <w:sz w:val="32"/>
          <w:szCs w:val="32"/>
        </w:rPr>
      </w:pPr>
      <w:bookmarkStart w:id="99" w:name="_Toc8326"/>
      <w:r>
        <w:rPr>
          <w:rFonts w:hint="eastAsia" w:ascii="Times New Roman" w:hAnsi="Times New Roman" w:eastAsia="仿宋" w:cs="仿宋"/>
          <w:b/>
          <w:bCs/>
          <w:sz w:val="32"/>
          <w:szCs w:val="32"/>
        </w:rPr>
        <w:t>三、保持退休人员适度待遇水平，缩小基金赤字缺口</w:t>
      </w:r>
      <w:bookmarkEnd w:id="99"/>
    </w:p>
    <w:p>
      <w:pPr>
        <w:ind w:firstLine="560" w:firstLineChars="200"/>
        <w:rPr>
          <w:rFonts w:ascii="Times New Roman" w:hAnsi="Times New Roman" w:eastAsia="仿宋" w:cs="仿宋"/>
          <w:szCs w:val="28"/>
        </w:rPr>
      </w:pPr>
      <w:r>
        <w:rPr>
          <w:rFonts w:hint="eastAsia" w:ascii="Times New Roman" w:hAnsi="Times New Roman" w:eastAsia="仿宋" w:cs="仿宋"/>
          <w:szCs w:val="28"/>
        </w:rPr>
        <w:t>从当前情况来看，目前退休人员的待遇水平提升速度和财政收入增速存在矛盾，导致部分县市的财政压力较大。基于这一现象，需要在维持退休人员的基本生活需求基础上，对退休人员待遇的增长速度进行控制，保持退休人员适度待遇水平，使退休人员的待遇水平趋于更加的公平和合理，与财政收入的增长情况相匹配，进而缩小基金的赤字缺口。</w:t>
      </w:r>
    </w:p>
    <w:p>
      <w:pPr>
        <w:spacing w:before="156" w:beforeLines="50" w:after="156" w:afterLines="50"/>
        <w:ind w:firstLine="643" w:firstLineChars="200"/>
        <w:outlineLvl w:val="1"/>
        <w:rPr>
          <w:rFonts w:ascii="Times New Roman" w:hAnsi="Times New Roman" w:eastAsia="仿宋" w:cs="仿宋"/>
          <w:b/>
          <w:bCs/>
          <w:sz w:val="32"/>
          <w:szCs w:val="32"/>
        </w:rPr>
      </w:pPr>
      <w:bookmarkStart w:id="100" w:name="_Toc8411"/>
      <w:r>
        <w:rPr>
          <w:rFonts w:hint="eastAsia" w:ascii="Times New Roman" w:hAnsi="Times New Roman" w:eastAsia="仿宋" w:cs="仿宋"/>
          <w:b/>
          <w:bCs/>
          <w:sz w:val="32"/>
          <w:szCs w:val="32"/>
        </w:rPr>
        <w:t>四、提高有关人员业务水平，提高工作衔接效率</w:t>
      </w:r>
      <w:bookmarkEnd w:id="100"/>
    </w:p>
    <w:p>
      <w:pPr>
        <w:ind w:firstLine="560" w:firstLineChars="200"/>
        <w:rPr>
          <w:rFonts w:ascii="Times New Roman" w:hAnsi="Times New Roman" w:eastAsia="仿宋" w:cs="仿宋"/>
          <w:szCs w:val="28"/>
        </w:rPr>
      </w:pPr>
      <w:r>
        <w:rPr>
          <w:rFonts w:hint="eastAsia" w:ascii="Times New Roman" w:hAnsi="Times New Roman" w:eastAsia="仿宋" w:cs="仿宋"/>
          <w:szCs w:val="28"/>
        </w:rPr>
        <w:t>惠安县机关社保中心需要“业务”和“财务”两头抓，让业务人员和财务人员的技能水平同步提升，使在业务发生的同时，提高财务数据的更新频率，对资金流转实现提速，保障退休人员的退休权益，优化养老保险服务流程，强化基金赤字缺口计算的及时性。</w:t>
      </w:r>
    </w:p>
    <w:p>
      <w:pPr>
        <w:ind w:firstLine="560" w:firstLineChars="200"/>
        <w:rPr>
          <w:rFonts w:ascii="Times New Roman" w:hAnsi="Times New Roman" w:eastAsia="仿宋" w:cs="仿宋"/>
          <w:szCs w:val="28"/>
        </w:rPr>
      </w:pPr>
    </w:p>
    <w:bookmarkEnd w:id="94"/>
    <w:p>
      <w:pPr>
        <w:ind w:firstLine="560" w:firstLineChars="200"/>
        <w:rPr>
          <w:rFonts w:ascii="Times New Roman" w:hAnsi="Times New Roman" w:eastAsia="仿宋" w:cs="仿宋"/>
          <w:szCs w:val="28"/>
        </w:rPr>
      </w:pPr>
      <w:r>
        <w:rPr>
          <w:rFonts w:hint="eastAsia" w:ascii="Times New Roman" w:hAnsi="Times New Roman" w:eastAsia="仿宋" w:cs="仿宋"/>
          <w:szCs w:val="28"/>
        </w:rPr>
        <w:br w:type="page"/>
      </w:r>
    </w:p>
    <w:p>
      <w:pPr>
        <w:ind w:firstLine="560"/>
        <w:outlineLvl w:val="0"/>
        <w:rPr>
          <w:rFonts w:ascii="Times New Roman" w:hAnsi="Times New Roman" w:eastAsia="仿宋" w:cs="仿宋"/>
          <w:b/>
          <w:bCs/>
          <w:szCs w:val="36"/>
        </w:rPr>
      </w:pPr>
      <w:bookmarkStart w:id="101" w:name="_Toc119967348"/>
      <w:bookmarkStart w:id="102" w:name="_Toc124892229"/>
      <w:bookmarkStart w:id="103" w:name="_Toc3006"/>
      <w:bookmarkStart w:id="104" w:name="_Toc117458371"/>
      <w:bookmarkStart w:id="105" w:name="_Toc70354055"/>
      <w:bookmarkStart w:id="106" w:name="_Toc1074"/>
      <w:r>
        <w:rPr>
          <w:rFonts w:hint="eastAsia" w:ascii="Times New Roman" w:hAnsi="Times New Roman" w:eastAsia="仿宋" w:cs="仿宋"/>
          <w:b/>
          <w:bCs/>
          <w:szCs w:val="36"/>
        </w:rPr>
        <w:t>附件：</w:t>
      </w:r>
      <w:bookmarkEnd w:id="101"/>
      <w:bookmarkEnd w:id="102"/>
      <w:bookmarkEnd w:id="103"/>
      <w:bookmarkEnd w:id="104"/>
      <w:bookmarkEnd w:id="105"/>
      <w:bookmarkEnd w:id="106"/>
    </w:p>
    <w:p>
      <w:pPr>
        <w:spacing w:before="156" w:beforeLines="50" w:after="156" w:afterLines="50"/>
        <w:ind w:firstLine="643"/>
        <w:jc w:val="center"/>
        <w:rPr>
          <w:rFonts w:ascii="Times New Roman" w:hAnsi="Times New Roman" w:eastAsia="仿宋" w:cs="仿宋"/>
          <w:b/>
          <w:sz w:val="32"/>
          <w:szCs w:val="32"/>
        </w:rPr>
      </w:pPr>
      <w:r>
        <w:rPr>
          <w:rFonts w:hint="eastAsia" w:ascii="Times New Roman" w:hAnsi="Times New Roman" w:eastAsia="仿宋" w:cs="仿宋"/>
          <w:b/>
          <w:sz w:val="32"/>
          <w:szCs w:val="32"/>
        </w:rPr>
        <w:t>惠安县2021-2022年机关事业养老保险专项资金</w:t>
      </w:r>
    </w:p>
    <w:p>
      <w:pPr>
        <w:spacing w:before="156" w:beforeLines="50" w:after="156" w:afterLines="50"/>
        <w:ind w:firstLine="643"/>
        <w:jc w:val="center"/>
        <w:outlineLvl w:val="0"/>
        <w:rPr>
          <w:rFonts w:ascii="仿宋" w:hAnsi="仿宋" w:eastAsia="仿宋" w:cs="仿宋"/>
          <w:szCs w:val="28"/>
        </w:rPr>
      </w:pPr>
      <w:bookmarkStart w:id="107" w:name="_Toc23385"/>
      <w:bookmarkStart w:id="108" w:name="_Toc17745"/>
      <w:r>
        <w:rPr>
          <w:rFonts w:hint="eastAsia" w:ascii="Times New Roman" w:hAnsi="Times New Roman" w:eastAsia="仿宋" w:cs="仿宋"/>
          <w:b/>
          <w:sz w:val="32"/>
          <w:szCs w:val="32"/>
        </w:rPr>
        <w:t>绩效评价表</w:t>
      </w:r>
      <w:bookmarkEnd w:id="107"/>
      <w:bookmarkEnd w:id="108"/>
    </w:p>
    <w:tbl>
      <w:tblPr>
        <w:tblStyle w:val="10"/>
        <w:tblW w:w="8522" w:type="dxa"/>
        <w:tblInd w:w="0" w:type="dxa"/>
        <w:tblLayout w:type="autofit"/>
        <w:tblCellMar>
          <w:top w:w="0" w:type="dxa"/>
          <w:left w:w="108" w:type="dxa"/>
          <w:bottom w:w="0" w:type="dxa"/>
          <w:right w:w="108" w:type="dxa"/>
        </w:tblCellMar>
      </w:tblPr>
      <w:tblGrid>
        <w:gridCol w:w="578"/>
        <w:gridCol w:w="957"/>
        <w:gridCol w:w="2117"/>
        <w:gridCol w:w="3394"/>
        <w:gridCol w:w="720"/>
        <w:gridCol w:w="756"/>
      </w:tblGrid>
      <w:tr>
        <w:tblPrEx>
          <w:tblCellMar>
            <w:top w:w="0" w:type="dxa"/>
            <w:left w:w="108" w:type="dxa"/>
            <w:bottom w:w="0" w:type="dxa"/>
            <w:right w:w="108" w:type="dxa"/>
          </w:tblCellMar>
        </w:tblPrEx>
        <w:trPr>
          <w:trHeight w:val="737" w:hRule="atLeast"/>
          <w:tblHeader/>
        </w:trPr>
        <w:tc>
          <w:tcPr>
            <w:tcW w:w="578"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18"/>
                <w:szCs w:val="18"/>
              </w:rPr>
            </w:pPr>
            <w:r>
              <w:rPr>
                <w:rFonts w:hint="eastAsia" w:ascii="Times New Roman" w:hAnsi="Times New Roman" w:eastAsia="仿宋" w:cs="仿宋"/>
                <w:b/>
                <w:bCs/>
                <w:kern w:val="0"/>
                <w:sz w:val="18"/>
                <w:szCs w:val="18"/>
              </w:rPr>
              <w:t>一级指标</w:t>
            </w:r>
          </w:p>
        </w:tc>
        <w:tc>
          <w:tcPr>
            <w:tcW w:w="957"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18"/>
                <w:szCs w:val="18"/>
              </w:rPr>
            </w:pPr>
            <w:r>
              <w:rPr>
                <w:rFonts w:hint="eastAsia" w:ascii="Times New Roman" w:hAnsi="Times New Roman" w:eastAsia="仿宋" w:cs="仿宋"/>
                <w:b/>
                <w:bCs/>
                <w:kern w:val="0"/>
                <w:sz w:val="18"/>
                <w:szCs w:val="18"/>
              </w:rPr>
              <w:t>二级指标</w:t>
            </w:r>
          </w:p>
        </w:tc>
        <w:tc>
          <w:tcPr>
            <w:tcW w:w="2117"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18"/>
                <w:szCs w:val="18"/>
              </w:rPr>
            </w:pPr>
            <w:r>
              <w:rPr>
                <w:rFonts w:hint="eastAsia" w:ascii="Times New Roman" w:hAnsi="Times New Roman" w:eastAsia="仿宋" w:cs="仿宋"/>
                <w:b/>
                <w:bCs/>
                <w:kern w:val="0"/>
                <w:sz w:val="18"/>
                <w:szCs w:val="18"/>
              </w:rPr>
              <w:t>三级指标</w:t>
            </w:r>
          </w:p>
        </w:tc>
        <w:tc>
          <w:tcPr>
            <w:tcW w:w="3394"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18"/>
                <w:szCs w:val="18"/>
              </w:rPr>
            </w:pPr>
            <w:r>
              <w:rPr>
                <w:rFonts w:hint="eastAsia" w:ascii="Times New Roman" w:hAnsi="Times New Roman" w:eastAsia="仿宋" w:cs="仿宋"/>
                <w:b/>
                <w:bCs/>
                <w:kern w:val="0"/>
                <w:sz w:val="18"/>
                <w:szCs w:val="18"/>
              </w:rPr>
              <w:t>评分规则</w:t>
            </w:r>
          </w:p>
        </w:tc>
        <w:tc>
          <w:tcPr>
            <w:tcW w:w="720"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18"/>
                <w:szCs w:val="18"/>
              </w:rPr>
            </w:pPr>
            <w:r>
              <w:rPr>
                <w:rFonts w:hint="eastAsia" w:ascii="Times New Roman" w:hAnsi="Times New Roman" w:eastAsia="仿宋" w:cs="仿宋"/>
                <w:b/>
                <w:bCs/>
                <w:kern w:val="0"/>
                <w:sz w:val="18"/>
                <w:szCs w:val="18"/>
              </w:rPr>
              <w:t>评分</w:t>
            </w:r>
          </w:p>
        </w:tc>
        <w:tc>
          <w:tcPr>
            <w:tcW w:w="756"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18"/>
                <w:szCs w:val="18"/>
              </w:rPr>
            </w:pPr>
            <w:r>
              <w:rPr>
                <w:rFonts w:hint="eastAsia" w:ascii="Times New Roman" w:hAnsi="Times New Roman" w:eastAsia="仿宋" w:cs="仿宋"/>
                <w:b/>
                <w:bCs/>
                <w:kern w:val="0"/>
                <w:sz w:val="18"/>
                <w:szCs w:val="18"/>
              </w:rPr>
              <w:t>扣分原因</w:t>
            </w:r>
          </w:p>
        </w:tc>
      </w:tr>
      <w:tr>
        <w:tblPrEx>
          <w:tblCellMar>
            <w:top w:w="0" w:type="dxa"/>
            <w:left w:w="108" w:type="dxa"/>
            <w:bottom w:w="0" w:type="dxa"/>
            <w:right w:w="108" w:type="dxa"/>
          </w:tblCellMar>
        </w:tblPrEx>
        <w:trPr>
          <w:trHeight w:val="2016" w:hRule="atLeast"/>
        </w:trPr>
        <w:tc>
          <w:tcPr>
            <w:tcW w:w="5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18"/>
                <w:szCs w:val="18"/>
              </w:rPr>
            </w:pPr>
            <w:r>
              <w:rPr>
                <w:rFonts w:hint="eastAsia" w:ascii="Times New Roman" w:hAnsi="Times New Roman" w:eastAsia="仿宋" w:cs="仿宋"/>
                <w:b/>
                <w:bCs/>
                <w:kern w:val="0"/>
                <w:sz w:val="18"/>
                <w:szCs w:val="18"/>
              </w:rPr>
              <w:t>决策指标（20分）</w:t>
            </w:r>
          </w:p>
        </w:tc>
        <w:tc>
          <w:tcPr>
            <w:tcW w:w="95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项目立项（8分）</w:t>
            </w:r>
          </w:p>
        </w:tc>
        <w:tc>
          <w:tcPr>
            <w:tcW w:w="21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立项依据充分性（4分）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1.项目立项是否符合法律、法规、规章或者省委省政府规范性文件情况；2.项目立项是否与部门职责范围相符，属于部门履职所需；3.项目是否属于公共财政支持范围，是否符合中央、地方事权支出责任划分原则；4.项目是否与相关部门同类项目或部门内部相关项目重复。一项不符合扣1分。</w:t>
            </w:r>
          </w:p>
        </w:tc>
        <w:tc>
          <w:tcPr>
            <w:tcW w:w="72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4.00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737" w:hRule="atLeast"/>
        </w:trPr>
        <w:tc>
          <w:tcPr>
            <w:tcW w:w="578"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p>
        </w:tc>
        <w:tc>
          <w:tcPr>
            <w:tcW w:w="21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立项程序规范性（4分）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1.项目是否按照规定的程序申请设立；2.审批文件、材料是否符合相关要求。一项不符合扣2分。</w:t>
            </w:r>
          </w:p>
        </w:tc>
        <w:tc>
          <w:tcPr>
            <w:tcW w:w="72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4.00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1078" w:hRule="atLeast"/>
        </w:trPr>
        <w:tc>
          <w:tcPr>
            <w:tcW w:w="578"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绩效目标（8分）</w:t>
            </w:r>
          </w:p>
        </w:tc>
        <w:tc>
          <w:tcPr>
            <w:tcW w:w="21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绩效目标合理性（4分）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1.目标设置应细化、量化、可考核；2.目标内容与预算申请匹配性；3.目标内容与预算申请相关性；4.目标实现可能性。一项不符合扣1分。</w:t>
            </w:r>
          </w:p>
        </w:tc>
        <w:tc>
          <w:tcPr>
            <w:tcW w:w="72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4.00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737" w:hRule="atLeast"/>
        </w:trPr>
        <w:tc>
          <w:tcPr>
            <w:tcW w:w="578"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p>
        </w:tc>
        <w:tc>
          <w:tcPr>
            <w:tcW w:w="21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绩效指标明确性（4分）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1.将项目绩效目标细化分解为具体的绩效指标；2.通过清晰、可衡量的指标值予以体现，与项目目标任务数或计划数相对应。一项不符合扣2分。</w:t>
            </w:r>
          </w:p>
        </w:tc>
        <w:tc>
          <w:tcPr>
            <w:tcW w:w="72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4.00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737" w:hRule="atLeast"/>
        </w:trPr>
        <w:tc>
          <w:tcPr>
            <w:tcW w:w="578"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资金投入（4分）</w:t>
            </w:r>
          </w:p>
        </w:tc>
        <w:tc>
          <w:tcPr>
            <w:tcW w:w="21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预算编制科学性（4分）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1.预算内容与项目内容是否匹配；2.预算确定的项目投资额或资金量是否与工作任务相匹配。一项不符合扣2分。</w:t>
            </w:r>
          </w:p>
        </w:tc>
        <w:tc>
          <w:tcPr>
            <w:tcW w:w="72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2.00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2021年年初预算出现偏差</w:t>
            </w:r>
          </w:p>
        </w:tc>
      </w:tr>
      <w:tr>
        <w:tblPrEx>
          <w:tblCellMar>
            <w:top w:w="0" w:type="dxa"/>
            <w:left w:w="108" w:type="dxa"/>
            <w:bottom w:w="0" w:type="dxa"/>
            <w:right w:w="108" w:type="dxa"/>
          </w:tblCellMar>
        </w:tblPrEx>
        <w:trPr>
          <w:trHeight w:val="737" w:hRule="atLeast"/>
        </w:trPr>
        <w:tc>
          <w:tcPr>
            <w:tcW w:w="5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18"/>
                <w:szCs w:val="18"/>
              </w:rPr>
            </w:pPr>
            <w:r>
              <w:rPr>
                <w:rFonts w:hint="eastAsia" w:ascii="Times New Roman" w:hAnsi="Times New Roman" w:eastAsia="仿宋" w:cs="仿宋"/>
                <w:b/>
                <w:bCs/>
                <w:kern w:val="0"/>
                <w:sz w:val="18"/>
                <w:szCs w:val="18"/>
              </w:rPr>
              <w:t>过程指标（20分）</w:t>
            </w:r>
          </w:p>
        </w:tc>
        <w:tc>
          <w:tcPr>
            <w:tcW w:w="9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资金管理（10分）</w:t>
            </w:r>
          </w:p>
        </w:tc>
        <w:tc>
          <w:tcPr>
            <w:tcW w:w="21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预算执行率（5分）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（实际支出资金/实际到位资金）*100%*满分。</w:t>
            </w:r>
          </w:p>
        </w:tc>
        <w:tc>
          <w:tcPr>
            <w:tcW w:w="72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5.00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ascii="仿宋" w:hAnsi="仿宋" w:eastAsia="仿宋" w:cs="仿宋"/>
                <w:kern w:val="0"/>
                <w:sz w:val="18"/>
                <w:szCs w:val="18"/>
              </w:rPr>
            </w:pPr>
          </w:p>
        </w:tc>
      </w:tr>
      <w:tr>
        <w:tblPrEx>
          <w:tblCellMar>
            <w:top w:w="0" w:type="dxa"/>
            <w:left w:w="108" w:type="dxa"/>
            <w:bottom w:w="0" w:type="dxa"/>
            <w:right w:w="108" w:type="dxa"/>
          </w:tblCellMar>
        </w:tblPrEx>
        <w:trPr>
          <w:trHeight w:val="1806" w:hRule="atLeast"/>
        </w:trPr>
        <w:tc>
          <w:tcPr>
            <w:tcW w:w="578"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p>
        </w:tc>
        <w:tc>
          <w:tcPr>
            <w:tcW w:w="21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资金使用合规性（5分）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1.是否符合国家财经法规和财务管理制度以及有关专项资金管理办法的规定；2.资金的拨付是否有完整的审批程序和手续；3.符合项目预算批复或合同规定的用途；4.是否存在截留、挤占、挪用、虚列支出、资金沉淀等情况。发现存在一项不符合扣1.25分。</w:t>
            </w:r>
          </w:p>
        </w:tc>
        <w:tc>
          <w:tcPr>
            <w:tcW w:w="72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5.00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1022" w:hRule="atLeast"/>
        </w:trPr>
        <w:tc>
          <w:tcPr>
            <w:tcW w:w="578"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组织实施（10分）</w:t>
            </w:r>
          </w:p>
        </w:tc>
        <w:tc>
          <w:tcPr>
            <w:tcW w:w="21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管理制度健全性（5分）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1.是否已制定或具有相应的管理办法、财务和业务管理制度；2.管理办法、财务和业务管理制度是否合法、合规、完善。一项不符合扣2.5分。</w:t>
            </w:r>
          </w:p>
        </w:tc>
        <w:tc>
          <w:tcPr>
            <w:tcW w:w="72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5.00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370" w:hRule="atLeast"/>
        </w:trPr>
        <w:tc>
          <w:tcPr>
            <w:tcW w:w="578"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p>
        </w:tc>
        <w:tc>
          <w:tcPr>
            <w:tcW w:w="21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制度执行有效性（5分）</w:t>
            </w:r>
          </w:p>
        </w:tc>
        <w:tc>
          <w:tcPr>
            <w:tcW w:w="3394" w:type="dxa"/>
            <w:tcBorders>
              <w:top w:val="nil"/>
              <w:left w:val="nil"/>
              <w:bottom w:val="single" w:color="auto" w:sz="4" w:space="0"/>
              <w:right w:val="single" w:color="auto"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1.是否遵循相关法律法规和业务管理规定；2.项目调整及支出调整手续是否完备；3.项目合同书、验收报告、技术鉴定等资料是否齐全并及时归档；4.项目实施的人员条件、场地设备、信息支撑等是否落实到位。一项不符合扣1.25分。</w:t>
            </w:r>
          </w:p>
        </w:tc>
        <w:tc>
          <w:tcPr>
            <w:tcW w:w="72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5.00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737" w:hRule="atLeast"/>
        </w:trPr>
        <w:tc>
          <w:tcPr>
            <w:tcW w:w="578"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18"/>
                <w:szCs w:val="18"/>
              </w:rPr>
            </w:pPr>
            <w:r>
              <w:rPr>
                <w:rFonts w:hint="eastAsia" w:ascii="Times New Roman" w:hAnsi="Times New Roman" w:eastAsia="仿宋" w:cs="仿宋"/>
                <w:b/>
                <w:bCs/>
                <w:kern w:val="0"/>
                <w:sz w:val="18"/>
                <w:szCs w:val="18"/>
              </w:rPr>
              <w:t>产出指标（40分）</w:t>
            </w:r>
          </w:p>
        </w:tc>
        <w:tc>
          <w:tcPr>
            <w:tcW w:w="957"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数量指标（10分）</w:t>
            </w:r>
          </w:p>
        </w:tc>
        <w:tc>
          <w:tcPr>
            <w:tcW w:w="2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在职人员参保人数（5分）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2021年实际在职参保人数大于11808人，得满分；每减少100人，扣2分；减少400人以上不得分。2022年实际在职参保人数大于11978人，得满分；每减少100人，扣2分；减少400人以上不得分。</w:t>
            </w:r>
          </w:p>
        </w:tc>
        <w:tc>
          <w:tcPr>
            <w:tcW w:w="7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5.00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737" w:hRule="atLeast"/>
        </w:trPr>
        <w:tc>
          <w:tcPr>
            <w:tcW w:w="578"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p>
        </w:tc>
        <w:tc>
          <w:tcPr>
            <w:tcW w:w="2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退休人员待遇领取人数（5分）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2021年实际退休人员领取待遇人数大于5735人，得满分；每减少50人，扣2分；减少200人以上，不得分。2022年实际退休人员领取待遇人数大于5795人，得满分；每减少50人，扣2分；减少200人以上，不得分。</w:t>
            </w:r>
          </w:p>
        </w:tc>
        <w:tc>
          <w:tcPr>
            <w:tcW w:w="7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1.00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2021年离退休人员减少98人</w:t>
            </w:r>
          </w:p>
        </w:tc>
      </w:tr>
      <w:tr>
        <w:tblPrEx>
          <w:tblCellMar>
            <w:top w:w="0" w:type="dxa"/>
            <w:left w:w="108" w:type="dxa"/>
            <w:bottom w:w="0" w:type="dxa"/>
            <w:right w:w="108" w:type="dxa"/>
          </w:tblCellMar>
        </w:tblPrEx>
        <w:trPr>
          <w:trHeight w:val="737" w:hRule="atLeast"/>
        </w:trPr>
        <w:tc>
          <w:tcPr>
            <w:tcW w:w="578"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质量指标（10分）</w:t>
            </w:r>
          </w:p>
        </w:tc>
        <w:tc>
          <w:tcPr>
            <w:tcW w:w="2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养老保险收入收缴率（5分）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收缴率大于等于99%得满分；90%-99%得2分；90%以下不得分。</w:t>
            </w:r>
          </w:p>
        </w:tc>
        <w:tc>
          <w:tcPr>
            <w:tcW w:w="7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5.00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737" w:hRule="atLeast"/>
        </w:trPr>
        <w:tc>
          <w:tcPr>
            <w:tcW w:w="578"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p>
        </w:tc>
        <w:tc>
          <w:tcPr>
            <w:tcW w:w="2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养老金按月足额发放（5分）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每月100%发放则得满分，发放比例每低1%扣2分，发放比例低于95%则不得分。</w:t>
            </w:r>
          </w:p>
        </w:tc>
        <w:tc>
          <w:tcPr>
            <w:tcW w:w="7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5.00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737" w:hRule="atLeast"/>
        </w:trPr>
        <w:tc>
          <w:tcPr>
            <w:tcW w:w="578"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时效指标（10分）</w:t>
            </w:r>
          </w:p>
        </w:tc>
        <w:tc>
          <w:tcPr>
            <w:tcW w:w="2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资金到位率（10分）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资金全额到账则得满分，到账每低5%扣1分，以此类推。低于70%则不得分。</w:t>
            </w:r>
          </w:p>
        </w:tc>
        <w:tc>
          <w:tcPr>
            <w:tcW w:w="7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10.00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737" w:hRule="atLeast"/>
        </w:trPr>
        <w:tc>
          <w:tcPr>
            <w:tcW w:w="578" w:type="dxa"/>
            <w:vMerge w:val="continue"/>
            <w:tcBorders>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成本指标（10分）</w:t>
            </w:r>
          </w:p>
        </w:tc>
        <w:tc>
          <w:tcPr>
            <w:tcW w:w="2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项目资金投入（10分）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2021年项目资金投入大于等于15365万元，得满分；项目资金投入每减少1000万元扣1分；低于10000万元不得分。2022年项目资金投入大于等于17405.18万元，得满分；项目资金投入每减少1000万元扣1分；低于12000万元不得分。</w:t>
            </w:r>
          </w:p>
        </w:tc>
        <w:tc>
          <w:tcPr>
            <w:tcW w:w="7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10.00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p>
        </w:tc>
      </w:tr>
      <w:tr>
        <w:tblPrEx>
          <w:tblCellMar>
            <w:top w:w="0" w:type="dxa"/>
            <w:left w:w="108" w:type="dxa"/>
            <w:bottom w:w="0" w:type="dxa"/>
            <w:right w:w="108" w:type="dxa"/>
          </w:tblCellMar>
        </w:tblPrEx>
        <w:trPr>
          <w:trHeight w:val="764" w:hRule="atLeast"/>
        </w:trPr>
        <w:tc>
          <w:tcPr>
            <w:tcW w:w="578"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b/>
                <w:bCs/>
                <w:kern w:val="0"/>
                <w:sz w:val="18"/>
                <w:szCs w:val="18"/>
              </w:rPr>
            </w:pPr>
            <w:r>
              <w:rPr>
                <w:rFonts w:hint="eastAsia" w:ascii="Times New Roman" w:hAnsi="Times New Roman" w:eastAsia="仿宋" w:cs="仿宋"/>
                <w:b/>
                <w:bCs/>
                <w:kern w:val="0"/>
                <w:sz w:val="18"/>
                <w:szCs w:val="18"/>
              </w:rPr>
              <w:t>效益指标（20分）</w:t>
            </w:r>
          </w:p>
        </w:tc>
        <w:tc>
          <w:tcPr>
            <w:tcW w:w="9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社会效益（10分）</w:t>
            </w:r>
          </w:p>
        </w:tc>
        <w:tc>
          <w:tcPr>
            <w:tcW w:w="2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参保率（10分）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参保率大于等于99%得满分；90%-99%得5分；90%及以下不得分。</w:t>
            </w:r>
          </w:p>
        </w:tc>
        <w:tc>
          <w:tcPr>
            <w:tcW w:w="7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10.00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737" w:hRule="atLeast"/>
        </w:trPr>
        <w:tc>
          <w:tcPr>
            <w:tcW w:w="57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可持续影响（5分）</w:t>
            </w:r>
          </w:p>
        </w:tc>
        <w:tc>
          <w:tcPr>
            <w:tcW w:w="2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退休人员持续领取待遇（5分）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实际发放待遇人数占应拨付待遇总人数100%得满分；95%-99%得1.25分；95%（含）以下不得分。</w:t>
            </w:r>
          </w:p>
        </w:tc>
        <w:tc>
          <w:tcPr>
            <w:tcW w:w="7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5.00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737" w:hRule="atLeast"/>
        </w:trPr>
        <w:tc>
          <w:tcPr>
            <w:tcW w:w="57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b/>
                <w:bCs/>
                <w:kern w:val="0"/>
                <w:sz w:val="18"/>
                <w:szCs w:val="18"/>
              </w:rPr>
            </w:pPr>
          </w:p>
        </w:tc>
        <w:tc>
          <w:tcPr>
            <w:tcW w:w="9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满意度（5分）</w:t>
            </w:r>
          </w:p>
        </w:tc>
        <w:tc>
          <w:tcPr>
            <w:tcW w:w="2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群众满意度（5分）</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全年满意度大于等于90%得满分，小于90%且大于80%得4分，低于80%则不得分。</w:t>
            </w:r>
          </w:p>
        </w:tc>
        <w:tc>
          <w:tcPr>
            <w:tcW w:w="7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5.00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r>
        <w:tblPrEx>
          <w:tblCellMar>
            <w:top w:w="0" w:type="dxa"/>
            <w:left w:w="108" w:type="dxa"/>
            <w:bottom w:w="0" w:type="dxa"/>
            <w:right w:w="108" w:type="dxa"/>
          </w:tblCellMar>
        </w:tblPrEx>
        <w:trPr>
          <w:trHeight w:val="624" w:hRule="atLeast"/>
        </w:trPr>
        <w:tc>
          <w:tcPr>
            <w:tcW w:w="7046"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总分</w:t>
            </w:r>
          </w:p>
        </w:tc>
        <w:tc>
          <w:tcPr>
            <w:tcW w:w="7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kern w:val="0"/>
                <w:sz w:val="18"/>
                <w:szCs w:val="18"/>
              </w:rPr>
            </w:pPr>
            <w:r>
              <w:rPr>
                <w:rFonts w:hint="eastAsia" w:ascii="Times New Roman" w:hAnsi="Times New Roman" w:eastAsia="仿宋" w:cs="仿宋"/>
                <w:kern w:val="0"/>
                <w:sz w:val="18"/>
                <w:szCs w:val="18"/>
              </w:rPr>
              <w:t>94.00</w:t>
            </w:r>
          </w:p>
        </w:tc>
        <w:tc>
          <w:tcPr>
            <w:tcW w:w="75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仿宋"/>
                <w:kern w:val="0"/>
                <w:sz w:val="18"/>
                <w:szCs w:val="18"/>
              </w:rPr>
            </w:pPr>
            <w:r>
              <w:rPr>
                <w:rFonts w:hint="eastAsia" w:ascii="Times New Roman" w:hAnsi="Times New Roman" w:eastAsia="仿宋" w:cs="仿宋"/>
                <w:kern w:val="0"/>
                <w:sz w:val="18"/>
                <w:szCs w:val="18"/>
              </w:rPr>
              <w:t>　</w:t>
            </w:r>
          </w:p>
        </w:tc>
      </w:tr>
    </w:tbl>
    <w:p>
      <w:pPr>
        <w:widowControl/>
        <w:spacing w:line="240" w:lineRule="auto"/>
        <w:jc w:val="left"/>
        <w:rPr>
          <w:rFonts w:ascii="Times New Roman" w:hAnsi="Times New Roman" w:eastAsia="仿宋" w:cs="仿宋"/>
          <w:szCs w:val="28"/>
        </w:rPr>
      </w:pPr>
    </w:p>
    <w:p>
      <w:pPr>
        <w:widowControl/>
        <w:spacing w:line="240" w:lineRule="auto"/>
        <w:jc w:val="left"/>
        <w:rPr>
          <w:rFonts w:ascii="Times New Roman" w:hAnsi="Times New Roman" w:eastAsia="仿宋" w:cs="仿宋"/>
          <w:szCs w:val="28"/>
        </w:rPr>
      </w:pPr>
    </w:p>
    <w:p>
      <w:pPr>
        <w:widowControl/>
        <w:spacing w:line="240" w:lineRule="auto"/>
        <w:jc w:val="left"/>
        <w:rPr>
          <w:rFonts w:ascii="Times New Roman" w:hAnsi="Times New Roman" w:eastAsia="仿宋" w:cs="仿宋"/>
          <w:szCs w:val="28"/>
        </w:rPr>
      </w:pPr>
    </w:p>
    <w:sectPr>
      <w:footerReference r:id="rId7"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光楷体一_CNKI">
    <w:panose1 w:val="02000500000000000000"/>
    <w:charset w:val="86"/>
    <w:family w:val="auto"/>
    <w:pitch w:val="default"/>
    <w:sig w:usb0="8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9535233"/>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BBC67D"/>
    <w:multiLevelType w:val="singleLevel"/>
    <w:tmpl w:val="37BBC67D"/>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hNGJiMWVmZTg4ZjFhYWZhYWFiMzBkODkwYWRkZmUifQ=="/>
  </w:docVars>
  <w:rsids>
    <w:rsidRoot w:val="00AD0053"/>
    <w:rsid w:val="00036EC3"/>
    <w:rsid w:val="000B48D0"/>
    <w:rsid w:val="000E091A"/>
    <w:rsid w:val="000E33E8"/>
    <w:rsid w:val="000F4489"/>
    <w:rsid w:val="000F68A0"/>
    <w:rsid w:val="001044E9"/>
    <w:rsid w:val="001110A7"/>
    <w:rsid w:val="00111A61"/>
    <w:rsid w:val="00130057"/>
    <w:rsid w:val="00146DF9"/>
    <w:rsid w:val="00152E56"/>
    <w:rsid w:val="00161632"/>
    <w:rsid w:val="001746DE"/>
    <w:rsid w:val="001857CD"/>
    <w:rsid w:val="001A4831"/>
    <w:rsid w:val="001C742A"/>
    <w:rsid w:val="001E1475"/>
    <w:rsid w:val="001F5D13"/>
    <w:rsid w:val="002235C3"/>
    <w:rsid w:val="002244D3"/>
    <w:rsid w:val="00245399"/>
    <w:rsid w:val="0024597C"/>
    <w:rsid w:val="00251847"/>
    <w:rsid w:val="00256038"/>
    <w:rsid w:val="002B0CA0"/>
    <w:rsid w:val="002E0F67"/>
    <w:rsid w:val="002E1FA3"/>
    <w:rsid w:val="002F2860"/>
    <w:rsid w:val="00321B05"/>
    <w:rsid w:val="0034075E"/>
    <w:rsid w:val="0034771D"/>
    <w:rsid w:val="00393E65"/>
    <w:rsid w:val="0039740C"/>
    <w:rsid w:val="003A007D"/>
    <w:rsid w:val="003C1F4A"/>
    <w:rsid w:val="003D35AC"/>
    <w:rsid w:val="003F1038"/>
    <w:rsid w:val="00401AB1"/>
    <w:rsid w:val="004036FD"/>
    <w:rsid w:val="0041339F"/>
    <w:rsid w:val="004339AA"/>
    <w:rsid w:val="00433F66"/>
    <w:rsid w:val="00442A9D"/>
    <w:rsid w:val="004805E6"/>
    <w:rsid w:val="00497C89"/>
    <w:rsid w:val="004A065A"/>
    <w:rsid w:val="004C33F1"/>
    <w:rsid w:val="004C5E38"/>
    <w:rsid w:val="004D7470"/>
    <w:rsid w:val="00530C43"/>
    <w:rsid w:val="00564175"/>
    <w:rsid w:val="0057045B"/>
    <w:rsid w:val="005810A2"/>
    <w:rsid w:val="005D2FA8"/>
    <w:rsid w:val="00604346"/>
    <w:rsid w:val="00606B79"/>
    <w:rsid w:val="006231C4"/>
    <w:rsid w:val="00624385"/>
    <w:rsid w:val="00624F76"/>
    <w:rsid w:val="006352C2"/>
    <w:rsid w:val="00637123"/>
    <w:rsid w:val="00641CED"/>
    <w:rsid w:val="00647C29"/>
    <w:rsid w:val="0066085E"/>
    <w:rsid w:val="006817B5"/>
    <w:rsid w:val="00686820"/>
    <w:rsid w:val="006B16BB"/>
    <w:rsid w:val="006E73A7"/>
    <w:rsid w:val="006F0A3D"/>
    <w:rsid w:val="006F2201"/>
    <w:rsid w:val="006F3493"/>
    <w:rsid w:val="00707DA0"/>
    <w:rsid w:val="00711382"/>
    <w:rsid w:val="00750193"/>
    <w:rsid w:val="00764307"/>
    <w:rsid w:val="00767BC1"/>
    <w:rsid w:val="00783AA4"/>
    <w:rsid w:val="007A016E"/>
    <w:rsid w:val="007A7259"/>
    <w:rsid w:val="007D1DE2"/>
    <w:rsid w:val="00805AA7"/>
    <w:rsid w:val="00810096"/>
    <w:rsid w:val="00833A1C"/>
    <w:rsid w:val="00840D85"/>
    <w:rsid w:val="00853313"/>
    <w:rsid w:val="008679E5"/>
    <w:rsid w:val="00874049"/>
    <w:rsid w:val="008772DE"/>
    <w:rsid w:val="00877792"/>
    <w:rsid w:val="008864DF"/>
    <w:rsid w:val="0089118C"/>
    <w:rsid w:val="00906C55"/>
    <w:rsid w:val="0092599C"/>
    <w:rsid w:val="0094641B"/>
    <w:rsid w:val="00951AAE"/>
    <w:rsid w:val="009710EF"/>
    <w:rsid w:val="00981DCA"/>
    <w:rsid w:val="00983304"/>
    <w:rsid w:val="009B1FF5"/>
    <w:rsid w:val="009C28DB"/>
    <w:rsid w:val="009C5066"/>
    <w:rsid w:val="009E0EA0"/>
    <w:rsid w:val="00A07611"/>
    <w:rsid w:val="00A17E9D"/>
    <w:rsid w:val="00A27029"/>
    <w:rsid w:val="00A47F59"/>
    <w:rsid w:val="00A62741"/>
    <w:rsid w:val="00A66A9B"/>
    <w:rsid w:val="00AA1783"/>
    <w:rsid w:val="00AA4490"/>
    <w:rsid w:val="00AB33C7"/>
    <w:rsid w:val="00AC5C38"/>
    <w:rsid w:val="00AC784C"/>
    <w:rsid w:val="00AD0053"/>
    <w:rsid w:val="00AD4C05"/>
    <w:rsid w:val="00AD7841"/>
    <w:rsid w:val="00B43847"/>
    <w:rsid w:val="00B5298B"/>
    <w:rsid w:val="00B60328"/>
    <w:rsid w:val="00B71FB2"/>
    <w:rsid w:val="00B85D74"/>
    <w:rsid w:val="00BA1E83"/>
    <w:rsid w:val="00BA25B6"/>
    <w:rsid w:val="00BB3B2E"/>
    <w:rsid w:val="00BC0B19"/>
    <w:rsid w:val="00BC3190"/>
    <w:rsid w:val="00BC4A18"/>
    <w:rsid w:val="00C30279"/>
    <w:rsid w:val="00C464ED"/>
    <w:rsid w:val="00C738B2"/>
    <w:rsid w:val="00C7584B"/>
    <w:rsid w:val="00C75A19"/>
    <w:rsid w:val="00C76EDD"/>
    <w:rsid w:val="00C77A3B"/>
    <w:rsid w:val="00C8225A"/>
    <w:rsid w:val="00C945FA"/>
    <w:rsid w:val="00CB3231"/>
    <w:rsid w:val="00CB61B0"/>
    <w:rsid w:val="00CE6FA9"/>
    <w:rsid w:val="00D173B5"/>
    <w:rsid w:val="00D24EBF"/>
    <w:rsid w:val="00D60706"/>
    <w:rsid w:val="00D73544"/>
    <w:rsid w:val="00DA3DB8"/>
    <w:rsid w:val="00DC0AFD"/>
    <w:rsid w:val="00DD74DC"/>
    <w:rsid w:val="00DF0599"/>
    <w:rsid w:val="00E40EDF"/>
    <w:rsid w:val="00E4659B"/>
    <w:rsid w:val="00E50E7A"/>
    <w:rsid w:val="00E67321"/>
    <w:rsid w:val="00E77A9D"/>
    <w:rsid w:val="00EA03C3"/>
    <w:rsid w:val="00EB0AD0"/>
    <w:rsid w:val="00EC6D42"/>
    <w:rsid w:val="00EC79C3"/>
    <w:rsid w:val="00EE0DEE"/>
    <w:rsid w:val="00EE2BE4"/>
    <w:rsid w:val="00EF11BC"/>
    <w:rsid w:val="00EF7089"/>
    <w:rsid w:val="00F2516E"/>
    <w:rsid w:val="00F26650"/>
    <w:rsid w:val="00F4072A"/>
    <w:rsid w:val="00F45C21"/>
    <w:rsid w:val="00F54484"/>
    <w:rsid w:val="00F61466"/>
    <w:rsid w:val="00F81CE3"/>
    <w:rsid w:val="00F853D4"/>
    <w:rsid w:val="00F93DEA"/>
    <w:rsid w:val="00FB0739"/>
    <w:rsid w:val="00FE2945"/>
    <w:rsid w:val="01E03EA8"/>
    <w:rsid w:val="02246ECF"/>
    <w:rsid w:val="03661E7E"/>
    <w:rsid w:val="04BD65BA"/>
    <w:rsid w:val="04E0470D"/>
    <w:rsid w:val="05582BDA"/>
    <w:rsid w:val="05AD1FB2"/>
    <w:rsid w:val="06150573"/>
    <w:rsid w:val="06820D72"/>
    <w:rsid w:val="06FE5FE8"/>
    <w:rsid w:val="074E4CE4"/>
    <w:rsid w:val="09887162"/>
    <w:rsid w:val="0A266660"/>
    <w:rsid w:val="0A325A62"/>
    <w:rsid w:val="0A9C042F"/>
    <w:rsid w:val="0B8620C4"/>
    <w:rsid w:val="0D19427E"/>
    <w:rsid w:val="0D514E6A"/>
    <w:rsid w:val="0F0F7410"/>
    <w:rsid w:val="10611473"/>
    <w:rsid w:val="10ED1C4B"/>
    <w:rsid w:val="11542DB7"/>
    <w:rsid w:val="13385CD5"/>
    <w:rsid w:val="13C64A76"/>
    <w:rsid w:val="151F5F31"/>
    <w:rsid w:val="175963B8"/>
    <w:rsid w:val="17627DD8"/>
    <w:rsid w:val="18B355FE"/>
    <w:rsid w:val="19645CFD"/>
    <w:rsid w:val="1996307C"/>
    <w:rsid w:val="1A175295"/>
    <w:rsid w:val="1AEB1774"/>
    <w:rsid w:val="1BB847F5"/>
    <w:rsid w:val="1CB0381F"/>
    <w:rsid w:val="1F2D33CA"/>
    <w:rsid w:val="20024388"/>
    <w:rsid w:val="22943C7D"/>
    <w:rsid w:val="253829AC"/>
    <w:rsid w:val="2A685EFA"/>
    <w:rsid w:val="2B067A32"/>
    <w:rsid w:val="2BF917E7"/>
    <w:rsid w:val="2DA74499"/>
    <w:rsid w:val="2F622FA8"/>
    <w:rsid w:val="3047606D"/>
    <w:rsid w:val="30D33D26"/>
    <w:rsid w:val="31BF0628"/>
    <w:rsid w:val="31E07AC6"/>
    <w:rsid w:val="358B3EE4"/>
    <w:rsid w:val="364B0154"/>
    <w:rsid w:val="395135FF"/>
    <w:rsid w:val="39A80255"/>
    <w:rsid w:val="39E04AA4"/>
    <w:rsid w:val="3C13464D"/>
    <w:rsid w:val="3E5F442B"/>
    <w:rsid w:val="3EED2916"/>
    <w:rsid w:val="3F3F2E1B"/>
    <w:rsid w:val="3FE21025"/>
    <w:rsid w:val="3FF87BDF"/>
    <w:rsid w:val="42B66918"/>
    <w:rsid w:val="42E80D3D"/>
    <w:rsid w:val="45050471"/>
    <w:rsid w:val="46050649"/>
    <w:rsid w:val="4792295D"/>
    <w:rsid w:val="48E91676"/>
    <w:rsid w:val="49B42203"/>
    <w:rsid w:val="4A3A1323"/>
    <w:rsid w:val="4A43449E"/>
    <w:rsid w:val="4A4F262A"/>
    <w:rsid w:val="4AA3689C"/>
    <w:rsid w:val="4BEF0A41"/>
    <w:rsid w:val="4C9C0B75"/>
    <w:rsid w:val="50F02B87"/>
    <w:rsid w:val="513759E0"/>
    <w:rsid w:val="53745D4C"/>
    <w:rsid w:val="55AE4859"/>
    <w:rsid w:val="568374DD"/>
    <w:rsid w:val="57CC57E6"/>
    <w:rsid w:val="58AF6785"/>
    <w:rsid w:val="5AC40FFA"/>
    <w:rsid w:val="5B9D699E"/>
    <w:rsid w:val="5C5F10B5"/>
    <w:rsid w:val="5D212959"/>
    <w:rsid w:val="5D563D07"/>
    <w:rsid w:val="5DAF5613"/>
    <w:rsid w:val="5DDA5DDC"/>
    <w:rsid w:val="5EEE3CE2"/>
    <w:rsid w:val="5FCD42C2"/>
    <w:rsid w:val="60E27A91"/>
    <w:rsid w:val="61AF58DF"/>
    <w:rsid w:val="65054288"/>
    <w:rsid w:val="650D7881"/>
    <w:rsid w:val="6517106F"/>
    <w:rsid w:val="66DA61AF"/>
    <w:rsid w:val="681F4BDC"/>
    <w:rsid w:val="694425E6"/>
    <w:rsid w:val="69922138"/>
    <w:rsid w:val="6AF44665"/>
    <w:rsid w:val="6C4C6CCE"/>
    <w:rsid w:val="71E172B9"/>
    <w:rsid w:val="7389599C"/>
    <w:rsid w:val="758D5349"/>
    <w:rsid w:val="75F82C44"/>
    <w:rsid w:val="761C0B1D"/>
    <w:rsid w:val="7658694D"/>
    <w:rsid w:val="77324E93"/>
    <w:rsid w:val="77F16032"/>
    <w:rsid w:val="79EB3BC3"/>
    <w:rsid w:val="7B424733"/>
    <w:rsid w:val="7BE314A7"/>
    <w:rsid w:val="7CD06209"/>
    <w:rsid w:val="7D4F7907"/>
    <w:rsid w:val="7FAF7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eastAsia="宋体" w:asciiTheme="minorHAnsi" w:hAnsiTheme="minorHAnsi" w:cstheme="minorBidi"/>
      <w:kern w:val="2"/>
      <w:sz w:val="28"/>
      <w:szCs w:val="24"/>
      <w:lang w:val="en-US" w:eastAsia="zh-CN" w:bidi="ar-SA"/>
    </w:rPr>
  </w:style>
  <w:style w:type="paragraph" w:styleId="2">
    <w:name w:val="heading 1"/>
    <w:basedOn w:val="1"/>
    <w:next w:val="1"/>
    <w:link w:val="18"/>
    <w:autoRedefine/>
    <w:qFormat/>
    <w:uiPriority w:val="9"/>
    <w:pPr>
      <w:keepNext/>
      <w:keepLines/>
      <w:spacing w:before="340" w:after="330" w:line="578" w:lineRule="auto"/>
      <w:outlineLvl w:val="0"/>
    </w:pPr>
    <w:rPr>
      <w:b/>
      <w:bCs/>
      <w:kern w:val="44"/>
      <w:sz w:val="44"/>
      <w:szCs w:val="44"/>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link w:val="17"/>
    <w:autoRedefine/>
    <w:qFormat/>
    <w:uiPriority w:val="0"/>
    <w:pPr>
      <w:spacing w:line="240" w:lineRule="auto"/>
      <w:ind w:left="810"/>
    </w:pPr>
    <w:rPr>
      <w:rFonts w:ascii="仿宋_GB2312" w:hAnsi="Times New Roman" w:eastAsia="仿宋_GB2312" w:cs="Times New Roman"/>
      <w:sz w:val="32"/>
    </w:rPr>
  </w:style>
  <w:style w:type="paragraph" w:styleId="4">
    <w:name w:val="toc 3"/>
    <w:basedOn w:val="1"/>
    <w:next w:val="1"/>
    <w:autoRedefine/>
    <w:unhideWhenUsed/>
    <w:qFormat/>
    <w:uiPriority w:val="39"/>
    <w:pPr>
      <w:ind w:left="840" w:leftChars="400"/>
    </w:pPr>
  </w:style>
  <w:style w:type="paragraph" w:styleId="5">
    <w:name w:val="footer"/>
    <w:basedOn w:val="1"/>
    <w:link w:val="14"/>
    <w:autoRedefine/>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unhideWhenUsed/>
    <w:qFormat/>
    <w:uiPriority w:val="39"/>
  </w:style>
  <w:style w:type="paragraph" w:styleId="8">
    <w:name w:val="toc 2"/>
    <w:basedOn w:val="1"/>
    <w:next w:val="1"/>
    <w:unhideWhenUsed/>
    <w:qFormat/>
    <w:uiPriority w:val="39"/>
    <w:pPr>
      <w:ind w:left="420" w:leftChars="200"/>
    </w:pPr>
  </w:style>
  <w:style w:type="paragraph" w:styleId="9">
    <w:name w:val="Normal (Web)"/>
    <w:basedOn w:val="1"/>
    <w:unhideWhenUsed/>
    <w:qFormat/>
    <w:uiPriority w:val="99"/>
    <w:pPr>
      <w:widowControl/>
      <w:spacing w:before="100" w:beforeAutospacing="1" w:after="100" w:afterAutospacing="1" w:line="240" w:lineRule="auto"/>
      <w:jc w:val="left"/>
    </w:pPr>
    <w:rPr>
      <w:rFonts w:ascii="宋体" w:hAnsi="宋体" w:cs="宋体"/>
      <w:kern w:val="0"/>
      <w:sz w:val="24"/>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customStyle="1" w:styleId="13">
    <w:name w:val="页眉 字符"/>
    <w:basedOn w:val="11"/>
    <w:link w:val="6"/>
    <w:qFormat/>
    <w:uiPriority w:val="99"/>
    <w:rPr>
      <w:sz w:val="18"/>
      <w:szCs w:val="18"/>
    </w:rPr>
  </w:style>
  <w:style w:type="character" w:customStyle="1" w:styleId="14">
    <w:name w:val="页脚 字符"/>
    <w:basedOn w:val="11"/>
    <w:link w:val="5"/>
    <w:qFormat/>
    <w:uiPriority w:val="99"/>
    <w:rPr>
      <w:sz w:val="18"/>
      <w:szCs w:val="18"/>
    </w:rPr>
  </w:style>
  <w:style w:type="character" w:customStyle="1" w:styleId="15">
    <w:name w:val="NormalCharacter"/>
    <w:semiHidden/>
    <w:qFormat/>
    <w:uiPriority w:val="0"/>
  </w:style>
  <w:style w:type="paragraph" w:styleId="16">
    <w:name w:val="List Paragraph"/>
    <w:basedOn w:val="1"/>
    <w:qFormat/>
    <w:uiPriority w:val="34"/>
    <w:pPr>
      <w:ind w:firstLine="420" w:firstLineChars="200"/>
    </w:pPr>
  </w:style>
  <w:style w:type="character" w:customStyle="1" w:styleId="17">
    <w:name w:val="正文文本缩进 字符"/>
    <w:basedOn w:val="11"/>
    <w:link w:val="3"/>
    <w:qFormat/>
    <w:uiPriority w:val="0"/>
    <w:rPr>
      <w:rFonts w:ascii="仿宋_GB2312" w:hAnsi="Times New Roman" w:eastAsia="仿宋_GB2312" w:cs="Times New Roman"/>
      <w:sz w:val="32"/>
      <w:szCs w:val="24"/>
    </w:rPr>
  </w:style>
  <w:style w:type="character" w:customStyle="1" w:styleId="18">
    <w:name w:val="标题 1 字符"/>
    <w:basedOn w:val="11"/>
    <w:link w:val="2"/>
    <w:qFormat/>
    <w:uiPriority w:val="9"/>
    <w:rPr>
      <w:rFonts w:eastAsia="宋体"/>
      <w:b/>
      <w:bCs/>
      <w:kern w:val="44"/>
      <w:sz w:val="44"/>
      <w:szCs w:val="44"/>
    </w:rPr>
  </w:style>
  <w:style w:type="paragraph" w:customStyle="1" w:styleId="19">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20">
    <w:name w:val="修订1"/>
    <w:hidden/>
    <w:unhideWhenUsed/>
    <w:qFormat/>
    <w:uiPriority w:val="99"/>
    <w:rPr>
      <w:rFonts w:eastAsia="宋体" w:asciiTheme="minorHAnsi" w:hAnsiTheme="minorHAnsi" w:cstheme="minorBidi"/>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GI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8B635-0C58-4B4F-B670-D60595BDB78C}">
  <ds:schemaRefs/>
</ds:datastoreItem>
</file>

<file path=docProps/app.xml><?xml version="1.0" encoding="utf-8"?>
<Properties xmlns="http://schemas.openxmlformats.org/officeDocument/2006/extended-properties" xmlns:vt="http://schemas.openxmlformats.org/officeDocument/2006/docPropsVTypes">
  <Template>Normal</Template>
  <Pages>32</Pages>
  <Words>2481</Words>
  <Characters>14148</Characters>
  <Lines>117</Lines>
  <Paragraphs>33</Paragraphs>
  <TotalTime>0</TotalTime>
  <ScaleCrop>false</ScaleCrop>
  <LinksUpToDate>false</LinksUpToDate>
  <CharactersWithSpaces>16596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2023-11-29T01:46:00Z</dcterms:created>
  <dc:creator>苏 晓</dc:creator>
  <cp:lastModifiedBy>七十八</cp:lastModifiedBy>
  <dcterms:modified xsi:type="dcterms:W3CDTF">2024-02-07T14:57:22Z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55FE52DA49E84E9BB7093F3D404ABE46_13</vt:lpwstr>
  </property>
</Properties>
</file>