
<file path=[Content_Types].xml><?xml version="1.0" encoding="utf-8"?>
<Types xmlns="http://schemas.openxmlformats.org/package/2006/content-types">
  <Default Extension="xml" ContentType="application/xml"/>
  <Default Extension="gif" ContentType="image/gi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rPr>
          <w:rFonts w:hint="eastAsia" w:ascii="仿宋" w:hAnsi="仿宋" w:eastAsia="仿宋" w:cs="仿宋"/>
          <w:sz w:val="21"/>
          <w:lang w:val="en-US" w:eastAsia="zh-CN"/>
        </w:rPr>
      </w:pPr>
      <w:bookmarkStart w:id="0" w:name="_Hlk123500218"/>
      <w:bookmarkStart w:id="1" w:name="_Hlk123584271"/>
    </w:p>
    <w:p>
      <w:pPr>
        <w:spacing w:line="240" w:lineRule="auto"/>
        <w:rPr>
          <w:rFonts w:ascii="仿宋" w:hAnsi="仿宋" w:eastAsia="仿宋" w:cs="仿宋"/>
          <w:sz w:val="21"/>
        </w:rPr>
      </w:pPr>
    </w:p>
    <w:p>
      <w:pPr>
        <w:spacing w:line="240" w:lineRule="auto"/>
        <w:rPr>
          <w:rFonts w:ascii="仿宋" w:hAnsi="仿宋" w:eastAsia="仿宋" w:cs="仿宋"/>
          <w:sz w:val="21"/>
        </w:rPr>
      </w:pPr>
    </w:p>
    <w:p>
      <w:pPr>
        <w:spacing w:line="240" w:lineRule="auto"/>
        <w:rPr>
          <w:rFonts w:ascii="仿宋" w:hAnsi="仿宋" w:eastAsia="仿宋" w:cs="仿宋"/>
          <w:sz w:val="21"/>
        </w:rPr>
      </w:pPr>
    </w:p>
    <w:p>
      <w:pPr>
        <w:spacing w:line="240" w:lineRule="auto"/>
        <w:rPr>
          <w:rFonts w:ascii="仿宋" w:hAnsi="仿宋" w:eastAsia="仿宋" w:cs="仿宋"/>
          <w:sz w:val="21"/>
        </w:rPr>
      </w:pPr>
    </w:p>
    <w:p>
      <w:pPr>
        <w:spacing w:line="240" w:lineRule="auto"/>
        <w:rPr>
          <w:rFonts w:ascii="仿宋" w:hAnsi="仿宋" w:eastAsia="仿宋" w:cs="仿宋"/>
          <w:sz w:val="21"/>
        </w:rPr>
      </w:pPr>
    </w:p>
    <w:p>
      <w:pPr>
        <w:spacing w:line="240" w:lineRule="auto"/>
        <w:rPr>
          <w:rFonts w:ascii="仿宋" w:hAnsi="仿宋" w:eastAsia="仿宋" w:cs="仿宋"/>
          <w:sz w:val="21"/>
        </w:rPr>
      </w:pPr>
    </w:p>
    <w:p>
      <w:pPr>
        <w:jc w:val="center"/>
        <w:rPr>
          <w:rFonts w:ascii="仿宋" w:hAnsi="仿宋" w:eastAsia="仿宋" w:cs="仿宋"/>
          <w:b/>
          <w:bCs/>
          <w:sz w:val="44"/>
          <w:szCs w:val="44"/>
        </w:rPr>
      </w:pPr>
      <w:r>
        <w:rPr>
          <w:rFonts w:hint="eastAsia" w:ascii="仿宋" w:hAnsi="仿宋" w:eastAsia="仿宋" w:cs="Times New Roman"/>
          <w:b/>
          <w:bCs/>
          <w:sz w:val="44"/>
          <w:szCs w:val="44"/>
        </w:rPr>
        <w:t>福建省惠安县</w:t>
      </w:r>
      <w:r>
        <w:rPr>
          <w:rFonts w:hint="eastAsia" w:ascii="Times New Roman" w:hAnsi="Times New Roman" w:eastAsia="仿宋" w:cs="Times New Roman"/>
          <w:b/>
          <w:bCs/>
          <w:sz w:val="44"/>
          <w:szCs w:val="44"/>
        </w:rPr>
        <w:t>2021-2022</w:t>
      </w:r>
      <w:r>
        <w:rPr>
          <w:rFonts w:hint="eastAsia" w:ascii="仿宋" w:hAnsi="仿宋" w:eastAsia="仿宋" w:cs="仿宋"/>
          <w:b/>
          <w:bCs/>
          <w:sz w:val="44"/>
          <w:szCs w:val="44"/>
        </w:rPr>
        <w:t>年度</w:t>
      </w:r>
    </w:p>
    <w:p>
      <w:pPr>
        <w:jc w:val="center"/>
        <w:rPr>
          <w:rFonts w:ascii="仿宋" w:hAnsi="仿宋" w:eastAsia="仿宋" w:cs="仿宋"/>
          <w:b/>
          <w:bCs/>
          <w:sz w:val="44"/>
          <w:szCs w:val="44"/>
        </w:rPr>
      </w:pPr>
      <w:r>
        <w:rPr>
          <w:rFonts w:hint="eastAsia" w:ascii="仿宋" w:hAnsi="仿宋" w:eastAsia="仿宋" w:cs="仿宋"/>
          <w:b/>
          <w:bCs/>
          <w:sz w:val="44"/>
          <w:szCs w:val="44"/>
        </w:rPr>
        <w:t>建设体育基础设施专项资金</w:t>
      </w:r>
    </w:p>
    <w:p>
      <w:pPr>
        <w:jc w:val="center"/>
        <w:rPr>
          <w:rFonts w:ascii="仿宋" w:hAnsi="仿宋" w:eastAsia="仿宋" w:cs="仿宋"/>
          <w:b/>
          <w:bCs/>
          <w:sz w:val="44"/>
          <w:szCs w:val="44"/>
        </w:rPr>
      </w:pPr>
      <w:r>
        <w:rPr>
          <w:rFonts w:hint="eastAsia" w:ascii="仿宋" w:hAnsi="仿宋" w:eastAsia="仿宋" w:cs="仿宋"/>
          <w:b/>
          <w:bCs/>
          <w:sz w:val="44"/>
          <w:szCs w:val="44"/>
          <w:lang w:val="en-US" w:eastAsia="zh-CN"/>
        </w:rPr>
        <w:t>重点</w:t>
      </w:r>
      <w:r>
        <w:rPr>
          <w:rFonts w:hint="eastAsia" w:ascii="仿宋" w:hAnsi="仿宋" w:eastAsia="仿宋" w:cs="仿宋"/>
          <w:b/>
          <w:bCs/>
          <w:sz w:val="44"/>
          <w:szCs w:val="44"/>
        </w:rPr>
        <w:t>绩效评价报告</w:t>
      </w:r>
    </w:p>
    <w:p>
      <w:pPr>
        <w:spacing w:line="240" w:lineRule="auto"/>
        <w:rPr>
          <w:rFonts w:ascii="仿宋" w:hAnsi="仿宋" w:eastAsia="仿宋" w:cs="仿宋"/>
          <w:sz w:val="21"/>
        </w:rPr>
      </w:pPr>
    </w:p>
    <w:p>
      <w:pPr>
        <w:spacing w:line="240" w:lineRule="auto"/>
        <w:rPr>
          <w:rFonts w:ascii="仿宋" w:hAnsi="仿宋" w:eastAsia="仿宋" w:cs="仿宋"/>
          <w:sz w:val="21"/>
        </w:rPr>
      </w:pPr>
    </w:p>
    <w:p>
      <w:pPr>
        <w:spacing w:line="240" w:lineRule="auto"/>
        <w:rPr>
          <w:rFonts w:ascii="仿宋" w:hAnsi="仿宋" w:eastAsia="仿宋" w:cs="仿宋"/>
          <w:sz w:val="21"/>
        </w:rPr>
      </w:pPr>
    </w:p>
    <w:p>
      <w:pPr>
        <w:spacing w:line="240" w:lineRule="auto"/>
        <w:rPr>
          <w:rFonts w:ascii="仿宋" w:hAnsi="仿宋" w:eastAsia="仿宋" w:cs="仿宋"/>
          <w:sz w:val="21"/>
        </w:rPr>
      </w:pPr>
    </w:p>
    <w:p>
      <w:pPr>
        <w:spacing w:line="240" w:lineRule="auto"/>
        <w:rPr>
          <w:rFonts w:ascii="仿宋" w:hAnsi="仿宋" w:eastAsia="仿宋" w:cs="仿宋"/>
          <w:sz w:val="21"/>
        </w:rPr>
      </w:pPr>
    </w:p>
    <w:p>
      <w:pPr>
        <w:spacing w:line="240" w:lineRule="auto"/>
        <w:rPr>
          <w:rFonts w:ascii="仿宋" w:hAnsi="仿宋" w:eastAsia="仿宋" w:cs="仿宋"/>
          <w:sz w:val="21"/>
        </w:rPr>
      </w:pPr>
    </w:p>
    <w:p>
      <w:pPr>
        <w:spacing w:line="240" w:lineRule="auto"/>
        <w:rPr>
          <w:rFonts w:ascii="仿宋" w:hAnsi="仿宋" w:eastAsia="仿宋" w:cs="仿宋"/>
          <w:sz w:val="21"/>
        </w:rPr>
      </w:pPr>
    </w:p>
    <w:p>
      <w:pPr>
        <w:spacing w:line="240" w:lineRule="auto"/>
        <w:rPr>
          <w:rFonts w:ascii="仿宋" w:hAnsi="仿宋" w:eastAsia="仿宋" w:cs="仿宋"/>
          <w:sz w:val="21"/>
        </w:rPr>
      </w:pPr>
    </w:p>
    <w:p>
      <w:pPr>
        <w:spacing w:line="240" w:lineRule="auto"/>
        <w:rPr>
          <w:rFonts w:ascii="仿宋" w:hAnsi="仿宋" w:eastAsia="仿宋" w:cs="仿宋"/>
          <w:sz w:val="21"/>
        </w:rPr>
      </w:pPr>
    </w:p>
    <w:p>
      <w:pPr>
        <w:spacing w:line="240" w:lineRule="auto"/>
        <w:rPr>
          <w:rFonts w:ascii="仿宋" w:hAnsi="仿宋" w:eastAsia="仿宋" w:cs="仿宋"/>
          <w:sz w:val="21"/>
        </w:rPr>
      </w:pPr>
    </w:p>
    <w:p>
      <w:pPr>
        <w:spacing w:line="240" w:lineRule="auto"/>
        <w:rPr>
          <w:rFonts w:ascii="仿宋" w:hAnsi="仿宋" w:eastAsia="仿宋" w:cs="仿宋"/>
          <w:sz w:val="21"/>
        </w:rPr>
      </w:pPr>
    </w:p>
    <w:p>
      <w:pPr>
        <w:spacing w:line="240" w:lineRule="auto"/>
        <w:rPr>
          <w:rFonts w:ascii="仿宋" w:hAnsi="仿宋" w:eastAsia="仿宋" w:cs="仿宋"/>
          <w:sz w:val="21"/>
        </w:rPr>
      </w:pPr>
    </w:p>
    <w:p>
      <w:pPr>
        <w:spacing w:line="240" w:lineRule="auto"/>
        <w:rPr>
          <w:rFonts w:ascii="仿宋" w:hAnsi="仿宋" w:eastAsia="仿宋" w:cs="仿宋"/>
          <w:sz w:val="21"/>
        </w:rPr>
      </w:pPr>
    </w:p>
    <w:p>
      <w:pPr>
        <w:spacing w:line="240" w:lineRule="auto"/>
        <w:rPr>
          <w:rFonts w:ascii="仿宋" w:hAnsi="仿宋" w:eastAsia="仿宋" w:cs="仿宋"/>
          <w:sz w:val="21"/>
        </w:rPr>
      </w:pPr>
    </w:p>
    <w:p>
      <w:pPr>
        <w:spacing w:line="240" w:lineRule="auto"/>
        <w:rPr>
          <w:rFonts w:ascii="仿宋" w:hAnsi="仿宋" w:eastAsia="仿宋" w:cs="仿宋"/>
          <w:sz w:val="21"/>
        </w:rPr>
      </w:pPr>
    </w:p>
    <w:p>
      <w:pPr>
        <w:spacing w:line="240" w:lineRule="auto"/>
        <w:rPr>
          <w:rFonts w:ascii="仿宋" w:hAnsi="仿宋" w:eastAsia="仿宋" w:cs="仿宋"/>
          <w:sz w:val="21"/>
        </w:rPr>
      </w:pPr>
    </w:p>
    <w:p>
      <w:pPr>
        <w:spacing w:line="240" w:lineRule="auto"/>
        <w:rPr>
          <w:rFonts w:ascii="仿宋" w:hAnsi="仿宋" w:eastAsia="仿宋" w:cs="仿宋"/>
          <w:sz w:val="21"/>
        </w:rPr>
      </w:pPr>
    </w:p>
    <w:p>
      <w:pPr>
        <w:spacing w:line="240" w:lineRule="auto"/>
        <w:rPr>
          <w:rFonts w:ascii="仿宋" w:hAnsi="仿宋" w:eastAsia="仿宋" w:cs="仿宋"/>
          <w:sz w:val="21"/>
        </w:rPr>
      </w:pPr>
    </w:p>
    <w:p>
      <w:pPr>
        <w:spacing w:line="240" w:lineRule="auto"/>
        <w:rPr>
          <w:rFonts w:ascii="仿宋" w:hAnsi="仿宋" w:eastAsia="仿宋" w:cs="仿宋"/>
          <w:sz w:val="21"/>
        </w:rPr>
      </w:pPr>
    </w:p>
    <w:p>
      <w:pPr>
        <w:spacing w:line="240" w:lineRule="auto"/>
        <w:jc w:val="center"/>
        <w:rPr>
          <w:rFonts w:hint="eastAsia" w:ascii="仿宋" w:hAnsi="仿宋" w:eastAsia="仿宋" w:cs="楷体"/>
          <w:bCs/>
          <w:sz w:val="32"/>
          <w:szCs w:val="32"/>
          <w:lang w:val="en-US" w:eastAsia="zh-CN"/>
        </w:rPr>
      </w:pPr>
      <w:r>
        <w:rPr>
          <w:rFonts w:hint="eastAsia" w:ascii="仿宋" w:hAnsi="仿宋" w:eastAsia="仿宋" w:cs="楷体"/>
          <w:bCs/>
          <w:sz w:val="32"/>
          <w:szCs w:val="32"/>
          <w:lang w:val="en-US" w:eastAsia="zh-CN"/>
        </w:rPr>
        <w:t>福州市韦兰信息科技有限公司</w:t>
      </w:r>
    </w:p>
    <w:p>
      <w:pPr>
        <w:spacing w:line="240" w:lineRule="auto"/>
        <w:jc w:val="center"/>
        <w:rPr>
          <w:rFonts w:hint="eastAsia" w:ascii="仿宋" w:hAnsi="仿宋" w:eastAsia="仿宋" w:cs="楷体"/>
          <w:bCs/>
          <w:sz w:val="32"/>
          <w:szCs w:val="32"/>
        </w:rPr>
      </w:pPr>
      <w:r>
        <w:rPr>
          <w:rFonts w:hint="default" w:ascii="Times New Roman" w:hAnsi="Times New Roman" w:eastAsia="仿宋" w:cs="Times New Roman"/>
          <w:bCs/>
          <w:sz w:val="32"/>
          <w:szCs w:val="32"/>
        </w:rPr>
        <w:t>2023</w:t>
      </w:r>
      <w:r>
        <w:rPr>
          <w:rFonts w:hint="eastAsia" w:ascii="仿宋" w:hAnsi="仿宋" w:eastAsia="仿宋" w:cs="楷体"/>
          <w:bCs/>
          <w:sz w:val="32"/>
          <w:szCs w:val="32"/>
        </w:rPr>
        <w:t>年</w:t>
      </w:r>
      <w:r>
        <w:rPr>
          <w:rFonts w:hint="default" w:ascii="Times New Roman" w:hAnsi="Times New Roman" w:eastAsia="仿宋" w:cs="Times New Roman"/>
          <w:bCs/>
          <w:sz w:val="32"/>
          <w:szCs w:val="32"/>
        </w:rPr>
        <w:t>11</w:t>
      </w:r>
      <w:r>
        <w:rPr>
          <w:rFonts w:hint="eastAsia" w:ascii="仿宋" w:hAnsi="仿宋" w:eastAsia="仿宋" w:cs="楷体"/>
          <w:bCs/>
          <w:sz w:val="32"/>
          <w:szCs w:val="32"/>
        </w:rPr>
        <w:t>月</w:t>
      </w:r>
    </w:p>
    <w:p>
      <w:pPr>
        <w:spacing w:line="240" w:lineRule="auto"/>
        <w:jc w:val="center"/>
        <w:rPr>
          <w:rFonts w:ascii="仿宋" w:hAnsi="仿宋" w:eastAsia="仿宋" w:cs="仿宋"/>
          <w:sz w:val="24"/>
        </w:rPr>
        <w:sectPr>
          <w:headerReference r:id="rId5" w:type="default"/>
          <w:footerReference r:id="rId6" w:type="default"/>
          <w:pgSz w:w="11906" w:h="16838"/>
          <w:pgMar w:top="1440" w:right="1800" w:bottom="1440" w:left="1800" w:header="851" w:footer="992" w:gutter="0"/>
          <w:pgNumType w:fmt="upperRoman" w:start="1"/>
          <w:cols w:space="425" w:num="1"/>
          <w:docGrid w:type="lines" w:linePitch="312" w:charSpace="0"/>
        </w:sectPr>
      </w:pPr>
    </w:p>
    <w:p>
      <w:pPr>
        <w:adjustRightInd w:val="0"/>
        <w:snapToGrid w:val="0"/>
        <w:rPr>
          <w:rFonts w:ascii="仿宋" w:hAnsi="仿宋" w:eastAsia="仿宋" w:cs="仿宋"/>
          <w:b/>
          <w:sz w:val="36"/>
          <w:szCs w:val="36"/>
        </w:rPr>
      </w:pPr>
      <w:r>
        <w:rPr>
          <w:rFonts w:hint="eastAsia" w:ascii="仿宋" w:hAnsi="仿宋" w:eastAsia="仿宋" w:cs="仿宋"/>
          <w:sz w:val="24"/>
        </w:rPr>
        <w:br w:type="page"/>
      </w:r>
      <w:r>
        <w:rPr>
          <w:rFonts w:hint="eastAsia" w:ascii="仿宋" w:hAnsi="仿宋" w:eastAsia="仿宋" w:cs="仿宋"/>
          <w:sz w:val="20"/>
          <w:szCs w:val="20"/>
        </w:rPr>
        <w:t xml:space="preserve">                                                   </w:t>
      </w:r>
    </w:p>
    <w:p>
      <w:pPr>
        <w:adjustRightInd w:val="0"/>
        <w:snapToGrid w:val="0"/>
        <w:jc w:val="left"/>
        <w:rPr>
          <w:rFonts w:ascii="仿宋" w:hAnsi="仿宋" w:eastAsia="仿宋" w:cs="仿宋"/>
          <w:sz w:val="24"/>
        </w:rPr>
      </w:pPr>
      <w:r>
        <w:rPr>
          <w:rFonts w:hint="eastAsia" w:ascii="仿宋" w:hAnsi="仿宋" w:eastAsia="仿宋" w:cs="仿宋"/>
          <w:sz w:val="24"/>
        </w:rPr>
        <w:drawing>
          <wp:inline distT="0" distB="0" distL="114300" distR="114300">
            <wp:extent cx="38100" cy="76200"/>
            <wp:effectExtent l="0" t="0" r="0" b="0"/>
            <wp:docPr id="11"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IMG_256"/>
                    <pic:cNvPicPr>
                      <a:picLocks noChangeAspect="1"/>
                    </pic:cNvPicPr>
                  </pic:nvPicPr>
                  <pic:blipFill>
                    <a:blip r:embed="rId9"/>
                    <a:stretch>
                      <a:fillRect/>
                    </a:stretch>
                  </pic:blipFill>
                  <pic:spPr>
                    <a:xfrm>
                      <a:off x="0" y="0"/>
                      <a:ext cx="38100" cy="76200"/>
                    </a:xfrm>
                    <a:prstGeom prst="rect">
                      <a:avLst/>
                    </a:prstGeom>
                    <a:noFill/>
                    <a:ln w="9525">
                      <a:noFill/>
                    </a:ln>
                  </pic:spPr>
                </pic:pic>
              </a:graphicData>
            </a:graphic>
          </wp:inline>
        </w:drawing>
      </w:r>
      <w:r>
        <w:rPr>
          <w:rFonts w:hint="eastAsia" w:ascii="仿宋" w:hAnsi="仿宋" w:eastAsia="仿宋" w:cs="仿宋"/>
          <w:sz w:val="24"/>
        </w:rPr>
        <w:drawing>
          <wp:inline distT="0" distB="0" distL="114300" distR="114300">
            <wp:extent cx="38100" cy="76200"/>
            <wp:effectExtent l="0" t="0" r="0" b="0"/>
            <wp:docPr id="13" name="图片 1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IMG_256"/>
                    <pic:cNvPicPr>
                      <a:picLocks noChangeAspect="1"/>
                    </pic:cNvPicPr>
                  </pic:nvPicPr>
                  <pic:blipFill>
                    <a:blip r:embed="rId9"/>
                    <a:stretch>
                      <a:fillRect/>
                    </a:stretch>
                  </pic:blipFill>
                  <pic:spPr>
                    <a:xfrm>
                      <a:off x="0" y="0"/>
                      <a:ext cx="38100" cy="76200"/>
                    </a:xfrm>
                    <a:prstGeom prst="rect">
                      <a:avLst/>
                    </a:prstGeom>
                    <a:noFill/>
                    <a:ln w="9525">
                      <a:noFill/>
                    </a:ln>
                  </pic:spPr>
                </pic:pic>
              </a:graphicData>
            </a:graphic>
          </wp:inline>
        </w:drawing>
      </w:r>
    </w:p>
    <w:p>
      <w:pPr>
        <w:adjustRightInd w:val="0"/>
        <w:snapToGrid w:val="0"/>
        <w:jc w:val="left"/>
        <w:rPr>
          <w:rFonts w:ascii="仿宋" w:hAnsi="仿宋" w:eastAsia="仿宋" w:cs="仿宋"/>
          <w:sz w:val="24"/>
        </w:rPr>
      </w:pPr>
    </w:p>
    <w:p>
      <w:pPr>
        <w:adjustRightInd w:val="0"/>
        <w:snapToGrid w:val="0"/>
        <w:jc w:val="left"/>
        <w:rPr>
          <w:rFonts w:ascii="仿宋" w:hAnsi="仿宋" w:eastAsia="仿宋" w:cs="仿宋"/>
          <w:sz w:val="24"/>
        </w:rPr>
      </w:pPr>
    </w:p>
    <w:p>
      <w:pPr>
        <w:adjustRightInd w:val="0"/>
        <w:snapToGrid w:val="0"/>
        <w:ind w:firstLine="1400" w:firstLineChars="500"/>
        <w:jc w:val="left"/>
        <w:rPr>
          <w:rFonts w:hint="eastAsia" w:ascii="仿宋" w:hAnsi="仿宋" w:eastAsia="仿宋" w:cs="华光楷体一_CNKI"/>
          <w:bCs/>
          <w:color w:val="000000" w:themeColor="text1"/>
          <w:szCs w:val="28"/>
          <w:lang w:eastAsia="zh-CN"/>
          <w14:textFill>
            <w14:solidFill>
              <w14:schemeClr w14:val="tx1"/>
            </w14:solidFill>
          </w14:textFill>
        </w:rPr>
      </w:pPr>
      <w:r>
        <w:rPr>
          <w:rFonts w:hint="eastAsia" w:ascii="仿宋" w:hAnsi="仿宋" w:eastAsia="仿宋" w:cs="华光楷体一_CNKI"/>
          <w:bCs/>
          <w:color w:val="000000" w:themeColor="text1"/>
          <w:szCs w:val="28"/>
          <w:lang w:eastAsia="zh-CN"/>
          <w14:textFill>
            <w14:solidFill>
              <w14:schemeClr w14:val="tx1"/>
            </w14:solidFill>
          </w14:textFill>
        </w:rPr>
        <w:drawing>
          <wp:inline distT="0" distB="0" distL="114300" distR="114300">
            <wp:extent cx="922020" cy="854710"/>
            <wp:effectExtent l="0" t="0" r="5080" b="8890"/>
            <wp:docPr id="3" name="图片 3" descr="1701352455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701352455002"/>
                    <pic:cNvPicPr>
                      <a:picLocks noChangeAspect="1"/>
                    </pic:cNvPicPr>
                  </pic:nvPicPr>
                  <pic:blipFill>
                    <a:blip r:embed="rId10"/>
                    <a:stretch>
                      <a:fillRect/>
                    </a:stretch>
                  </pic:blipFill>
                  <pic:spPr>
                    <a:xfrm>
                      <a:off x="0" y="0"/>
                      <a:ext cx="922020" cy="854710"/>
                    </a:xfrm>
                    <a:prstGeom prst="rect">
                      <a:avLst/>
                    </a:prstGeom>
                  </pic:spPr>
                </pic:pic>
              </a:graphicData>
            </a:graphic>
          </wp:inline>
        </w:drawing>
      </w:r>
      <w:r>
        <w:rPr>
          <w:rFonts w:hint="eastAsia" w:ascii="仿宋" w:hAnsi="仿宋" w:eastAsia="仿宋" w:cs="华光楷体一_CNKI"/>
          <w:bCs/>
          <w:color w:val="000000" w:themeColor="text1"/>
          <w:szCs w:val="28"/>
          <w:lang w:eastAsia="zh-CN"/>
          <w14:textFill>
            <w14:solidFill>
              <w14:schemeClr w14:val="tx1"/>
            </w14:solidFill>
          </w14:textFill>
        </w:rPr>
        <w:drawing>
          <wp:inline distT="0" distB="0" distL="114300" distR="114300">
            <wp:extent cx="3230880" cy="377190"/>
            <wp:effectExtent l="0" t="0" r="7620" b="3810"/>
            <wp:docPr id="4" name="图片 4" descr="1701352479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701352479443"/>
                    <pic:cNvPicPr>
                      <a:picLocks noChangeAspect="1"/>
                    </pic:cNvPicPr>
                  </pic:nvPicPr>
                  <pic:blipFill>
                    <a:blip r:embed="rId11"/>
                    <a:stretch>
                      <a:fillRect/>
                    </a:stretch>
                  </pic:blipFill>
                  <pic:spPr>
                    <a:xfrm>
                      <a:off x="0" y="0"/>
                      <a:ext cx="3230880" cy="377190"/>
                    </a:xfrm>
                    <a:prstGeom prst="rect">
                      <a:avLst/>
                    </a:prstGeom>
                  </pic:spPr>
                </pic:pic>
              </a:graphicData>
            </a:graphic>
          </wp:inline>
        </w:drawing>
      </w:r>
    </w:p>
    <w:p>
      <w:pPr>
        <w:adjustRightInd w:val="0"/>
        <w:snapToGrid w:val="0"/>
        <w:ind w:firstLine="1400" w:firstLineChars="500"/>
        <w:jc w:val="left"/>
        <w:rPr>
          <w:rFonts w:ascii="仿宋" w:hAnsi="仿宋" w:eastAsia="仿宋" w:cs="华光楷体一_CNKI"/>
          <w:bCs/>
          <w:color w:val="000000" w:themeColor="text1"/>
          <w:szCs w:val="28"/>
          <w14:textFill>
            <w14:solidFill>
              <w14:schemeClr w14:val="tx1"/>
            </w14:solidFill>
          </w14:textFill>
        </w:rPr>
      </w:pPr>
    </w:p>
    <w:p>
      <w:pPr>
        <w:adjustRightInd w:val="0"/>
        <w:snapToGrid w:val="0"/>
        <w:ind w:firstLine="1400" w:firstLineChars="500"/>
        <w:jc w:val="left"/>
        <w:rPr>
          <w:rFonts w:ascii="仿宋" w:hAnsi="仿宋" w:eastAsia="仿宋" w:cs="华光楷体一_CNKI"/>
          <w:bCs/>
          <w:szCs w:val="28"/>
        </w:rPr>
      </w:pPr>
    </w:p>
    <w:p>
      <w:pPr>
        <w:adjustRightInd w:val="0"/>
        <w:snapToGrid w:val="0"/>
        <w:jc w:val="left"/>
        <w:rPr>
          <w:rFonts w:ascii="仿宋" w:hAnsi="仿宋" w:eastAsia="仿宋" w:cs="仿宋"/>
          <w:bCs/>
          <w:szCs w:val="28"/>
        </w:rPr>
      </w:pPr>
    </w:p>
    <w:p>
      <w:pPr>
        <w:adjustRightInd w:val="0"/>
        <w:snapToGrid w:val="0"/>
        <w:ind w:firstLine="1400" w:firstLineChars="500"/>
        <w:jc w:val="left"/>
        <w:rPr>
          <w:rFonts w:ascii="仿宋" w:hAnsi="仿宋" w:eastAsia="仿宋" w:cs="仿宋"/>
          <w:bCs/>
          <w:szCs w:val="28"/>
        </w:rPr>
      </w:pPr>
    </w:p>
    <w:p>
      <w:pPr>
        <w:adjustRightInd w:val="0"/>
        <w:snapToGrid w:val="0"/>
        <w:ind w:firstLine="1400" w:firstLineChars="500"/>
        <w:jc w:val="left"/>
        <w:rPr>
          <w:rFonts w:ascii="仿宋" w:hAnsi="仿宋" w:eastAsia="仿宋" w:cs="仿宋"/>
          <w:bCs/>
          <w:szCs w:val="28"/>
        </w:rPr>
      </w:pPr>
    </w:p>
    <w:p>
      <w:pPr>
        <w:adjustRightInd w:val="0"/>
        <w:snapToGrid w:val="0"/>
        <w:ind w:firstLine="1400" w:firstLineChars="500"/>
        <w:jc w:val="left"/>
        <w:rPr>
          <w:rFonts w:ascii="仿宋" w:hAnsi="仿宋" w:eastAsia="仿宋" w:cs="仿宋"/>
          <w:bCs/>
          <w:szCs w:val="28"/>
        </w:rPr>
      </w:pPr>
    </w:p>
    <w:p>
      <w:pPr>
        <w:adjustRightInd w:val="0"/>
        <w:snapToGrid w:val="0"/>
        <w:ind w:firstLine="1400" w:firstLineChars="500"/>
        <w:jc w:val="left"/>
        <w:rPr>
          <w:rFonts w:ascii="仿宋" w:hAnsi="仿宋" w:eastAsia="仿宋" w:cs="仿宋"/>
          <w:bCs/>
          <w:szCs w:val="28"/>
        </w:rPr>
      </w:pPr>
    </w:p>
    <w:p>
      <w:pPr>
        <w:adjustRightInd w:val="0"/>
        <w:snapToGrid w:val="0"/>
        <w:ind w:firstLine="1400" w:firstLineChars="500"/>
        <w:jc w:val="left"/>
        <w:rPr>
          <w:rFonts w:ascii="仿宋" w:hAnsi="仿宋" w:eastAsia="仿宋" w:cs="仿宋"/>
          <w:bCs/>
          <w:szCs w:val="28"/>
        </w:rPr>
      </w:pPr>
    </w:p>
    <w:p>
      <w:pPr>
        <w:pStyle w:val="2"/>
        <w:ind w:left="0" w:leftChars="0" w:firstLine="0" w:firstLineChars="0"/>
        <w:rPr>
          <w:rFonts w:ascii="仿宋" w:hAnsi="仿宋" w:eastAsia="仿宋" w:cs="仿宋"/>
          <w:bCs/>
          <w:szCs w:val="28"/>
        </w:rPr>
      </w:pPr>
      <w:bookmarkStart w:id="242" w:name="_GoBack"/>
      <w:bookmarkEnd w:id="242"/>
    </w:p>
    <w:p>
      <w:pPr>
        <w:adjustRightInd w:val="0"/>
        <w:snapToGrid w:val="0"/>
        <w:ind w:firstLine="1200" w:firstLineChars="500"/>
        <w:jc w:val="left"/>
        <w:rPr>
          <w:rFonts w:ascii="仿宋" w:hAnsi="仿宋" w:eastAsia="仿宋" w:cs="仿宋"/>
          <w:bCs/>
          <w:sz w:val="24"/>
          <w:szCs w:val="24"/>
        </w:rPr>
      </w:pPr>
    </w:p>
    <w:p>
      <w:pPr>
        <w:adjustRightInd w:val="0"/>
        <w:snapToGrid w:val="0"/>
        <w:ind w:firstLine="1200" w:firstLineChars="500"/>
        <w:jc w:val="left"/>
        <w:rPr>
          <w:rFonts w:ascii="仿宋" w:hAnsi="仿宋" w:eastAsia="仿宋" w:cs="仿宋"/>
          <w:bCs/>
          <w:sz w:val="24"/>
          <w:szCs w:val="24"/>
        </w:rPr>
      </w:pPr>
      <w:r>
        <w:rPr>
          <w:rFonts w:hint="eastAsia" w:ascii="仿宋" w:hAnsi="仿宋" w:eastAsia="仿宋" w:cs="仿宋"/>
          <w:bCs/>
          <w:sz w:val="24"/>
          <w:szCs w:val="24"/>
        </w:rPr>
        <w:t xml:space="preserve">主评人签字：刘琨  </w:t>
      </w:r>
    </w:p>
    <w:p>
      <w:pPr>
        <w:adjustRightInd w:val="0"/>
        <w:snapToGrid w:val="0"/>
        <w:ind w:firstLine="1200" w:firstLineChars="500"/>
        <w:jc w:val="center"/>
        <w:rPr>
          <w:rFonts w:ascii="仿宋" w:hAnsi="仿宋" w:eastAsia="仿宋" w:cs="仿宋"/>
          <w:bCs/>
          <w:sz w:val="24"/>
          <w:szCs w:val="24"/>
        </w:rPr>
      </w:pPr>
    </w:p>
    <w:p>
      <w:pPr>
        <w:adjustRightInd w:val="0"/>
        <w:snapToGrid w:val="0"/>
        <w:ind w:firstLine="1200" w:firstLineChars="500"/>
        <w:jc w:val="left"/>
        <w:rPr>
          <w:rFonts w:ascii="仿宋" w:hAnsi="仿宋" w:eastAsia="仿宋" w:cs="Times New Roman"/>
          <w:b/>
          <w:sz w:val="24"/>
          <w:szCs w:val="32"/>
        </w:rPr>
      </w:pPr>
      <w:r>
        <w:rPr>
          <w:rFonts w:hint="eastAsia" w:ascii="仿宋" w:hAnsi="仿宋" w:eastAsia="仿宋" w:cs="仿宋"/>
          <w:bCs/>
          <w:sz w:val="24"/>
          <w:szCs w:val="24"/>
        </w:rPr>
        <w:t>组       员：</w:t>
      </w:r>
      <w:r>
        <w:rPr>
          <w:rFonts w:hint="eastAsia" w:ascii="仿宋" w:hAnsi="仿宋" w:eastAsia="仿宋" w:cs="楷体"/>
          <w:bCs/>
          <w:sz w:val="24"/>
          <w:szCs w:val="24"/>
        </w:rPr>
        <w:t xml:space="preserve">廖昕怡 </w:t>
      </w:r>
      <w:r>
        <w:rPr>
          <w:rFonts w:ascii="仿宋" w:hAnsi="仿宋" w:eastAsia="仿宋" w:cs="楷体"/>
          <w:bCs/>
          <w:sz w:val="24"/>
          <w:szCs w:val="24"/>
        </w:rPr>
        <w:t xml:space="preserve">苏晓 </w:t>
      </w:r>
      <w:r>
        <w:rPr>
          <w:rFonts w:hint="eastAsia" w:ascii="仿宋" w:hAnsi="仿宋" w:eastAsia="仿宋" w:cs="楷体"/>
          <w:bCs/>
          <w:sz w:val="24"/>
          <w:szCs w:val="24"/>
        </w:rPr>
        <w:t>江萍 赖浏安 朱瑛 李桐 潘键群</w:t>
      </w:r>
    </w:p>
    <w:p>
      <w:pPr>
        <w:adjustRightInd w:val="0"/>
        <w:snapToGrid w:val="0"/>
        <w:ind w:firstLine="1405" w:firstLineChars="500"/>
        <w:jc w:val="left"/>
        <w:rPr>
          <w:rFonts w:ascii="仿宋" w:hAnsi="仿宋" w:eastAsia="仿宋" w:cs="仿宋"/>
          <w:b/>
          <w:szCs w:val="36"/>
        </w:rPr>
      </w:pP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jc w:val="left"/>
        <w:rPr>
          <w:rFonts w:ascii="仿宋" w:hAnsi="仿宋" w:eastAsia="仿宋" w:cs="仿宋"/>
          <w:b/>
          <w:kern w:val="0"/>
          <w:sz w:val="20"/>
          <w:szCs w:val="20"/>
        </w:rPr>
      </w:pP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jc w:val="left"/>
        <w:rPr>
          <w:rFonts w:ascii="仿宋" w:hAnsi="仿宋" w:eastAsia="仿宋" w:cs="仿宋"/>
          <w:b/>
          <w:kern w:val="0"/>
          <w:sz w:val="20"/>
          <w:szCs w:val="20"/>
        </w:rPr>
      </w:pP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jc w:val="left"/>
        <w:rPr>
          <w:rFonts w:ascii="仿宋" w:hAnsi="仿宋" w:eastAsia="仿宋" w:cs="仿宋"/>
          <w:b/>
          <w:kern w:val="0"/>
          <w:sz w:val="20"/>
          <w:szCs w:val="20"/>
        </w:rPr>
      </w:pP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jc w:val="left"/>
        <w:rPr>
          <w:rFonts w:ascii="仿宋" w:hAnsi="仿宋" w:eastAsia="仿宋" w:cs="仿宋"/>
          <w:b/>
          <w:kern w:val="0"/>
          <w:sz w:val="20"/>
          <w:szCs w:val="20"/>
        </w:rPr>
      </w:pPr>
      <w:r>
        <w:rPr>
          <w:rFonts w:hint="eastAsia" w:ascii="仿宋" w:hAnsi="仿宋" w:eastAsia="仿宋" w:cs="仿宋"/>
          <w:kern w:val="0"/>
          <w:sz w:val="20"/>
          <w:szCs w:val="20"/>
        </w:rPr>
        <w:t>　</w:t>
      </w:r>
    </w:p>
    <w:p>
      <w:pPr>
        <w:widowControl/>
        <w:adjustRightInd w:val="0"/>
        <w:snapToGrid w:val="0"/>
        <w:jc w:val="left"/>
        <w:rPr>
          <w:rFonts w:ascii="仿宋" w:hAnsi="仿宋" w:eastAsia="仿宋" w:cs="仿宋"/>
          <w:kern w:val="0"/>
          <w:sz w:val="20"/>
          <w:szCs w:val="20"/>
        </w:rPr>
      </w:pPr>
      <w:r>
        <w:rPr>
          <w:rFonts w:hint="eastAsia" w:ascii="仿宋" w:hAnsi="仿宋" w:eastAsia="仿宋" w:cs="仿宋"/>
          <w:sz w:val="20"/>
          <w:szCs w:val="20"/>
        </w:rPr>
        <w:br w:type="page"/>
      </w:r>
    </w:p>
    <w:p>
      <w:pPr>
        <w:widowControl/>
        <w:tabs>
          <w:tab w:val="left" w:pos="615"/>
        </w:tabs>
        <w:adjustRightInd w:val="0"/>
        <w:snapToGrid w:val="0"/>
        <w:jc w:val="left"/>
        <w:rPr>
          <w:rFonts w:ascii="仿宋" w:hAnsi="仿宋" w:eastAsia="仿宋" w:cs="仿宋"/>
          <w:kern w:val="0"/>
          <w:sz w:val="20"/>
          <w:szCs w:val="20"/>
        </w:rPr>
      </w:pPr>
      <w:r>
        <w:rPr>
          <w:rFonts w:hint="eastAsia" w:ascii="仿宋" w:hAnsi="仿宋" w:eastAsia="仿宋" w:cs="仿宋"/>
          <w:kern w:val="0"/>
          <w:sz w:val="20"/>
          <w:szCs w:val="20"/>
        </w:rPr>
        <w:tab/>
      </w:r>
    </w:p>
    <w:p>
      <w:pPr>
        <w:spacing w:line="240" w:lineRule="auto"/>
        <w:rPr>
          <w:rFonts w:ascii="仿宋" w:hAnsi="仿宋" w:eastAsia="仿宋" w:cs="仿宋"/>
          <w:sz w:val="24"/>
        </w:rPr>
      </w:pPr>
    </w:p>
    <w:p>
      <w:pPr>
        <w:rPr>
          <w:rFonts w:ascii="仿宋" w:hAnsi="仿宋" w:eastAsia="仿宋" w:cs="仿宋"/>
          <w:sz w:val="24"/>
        </w:rPr>
      </w:pPr>
      <w:r>
        <w:rPr>
          <w:rFonts w:hint="eastAsia" w:ascii="仿宋" w:hAnsi="仿宋" w:eastAsia="仿宋" w:cs="仿宋"/>
          <w:sz w:val="24"/>
        </w:rPr>
        <w:br w:type="page"/>
      </w:r>
      <w:bookmarkEnd w:id="0"/>
    </w:p>
    <w:bookmarkEnd w:id="1"/>
    <w:sdt>
      <w:sdtPr>
        <w:rPr>
          <w:rFonts w:hint="eastAsia" w:ascii="仿宋" w:hAnsi="仿宋" w:eastAsia="仿宋" w:cs="仿宋"/>
          <w:color w:val="auto"/>
          <w:kern w:val="2"/>
          <w:sz w:val="28"/>
          <w:szCs w:val="24"/>
          <w:lang w:val="zh-CN"/>
        </w:rPr>
        <w:id w:val="-2013514883"/>
        <w:docPartObj>
          <w:docPartGallery w:val="Table of Contents"/>
          <w:docPartUnique/>
        </w:docPartObj>
      </w:sdtPr>
      <w:sdtEndPr>
        <w:rPr>
          <w:rFonts w:hint="eastAsia" w:ascii="仿宋" w:hAnsi="仿宋" w:eastAsia="仿宋" w:cs="仿宋"/>
          <w:color w:val="auto"/>
          <w:kern w:val="2"/>
          <w:sz w:val="28"/>
          <w:szCs w:val="24"/>
          <w:lang w:val="zh-CN"/>
        </w:rPr>
      </w:sdtEndPr>
      <w:sdtContent>
        <w:p>
          <w:pPr>
            <w:pStyle w:val="22"/>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color w:val="auto"/>
              <w:kern w:val="2"/>
              <w:sz w:val="28"/>
              <w:szCs w:val="28"/>
            </w:rPr>
          </w:pPr>
          <w:bookmarkStart w:id="2" w:name="_Toc2016465260"/>
          <w:r>
            <w:rPr>
              <w:rFonts w:hint="eastAsia" w:ascii="仿宋" w:hAnsi="仿宋" w:eastAsia="仿宋" w:cs="仿宋"/>
              <w:b/>
              <w:bCs/>
              <w:color w:val="auto"/>
              <w:kern w:val="2"/>
              <w:sz w:val="36"/>
              <w:szCs w:val="36"/>
            </w:rPr>
            <w:t>目录</w:t>
          </w:r>
        </w:p>
        <w:p>
          <w:pPr>
            <w:pStyle w:val="8"/>
            <w:pageBreakBefore w:val="0"/>
            <w:tabs>
              <w:tab w:val="right" w:leader="dot" w:pos="8306"/>
              <w:tab w:val="clear" w:pos="8296"/>
            </w:tabs>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TOC \o "1-3" \h \z \u </w:instrText>
          </w:r>
          <w:r>
            <w:rPr>
              <w:rFonts w:hint="eastAsia" w:ascii="仿宋" w:hAnsi="仿宋" w:eastAsia="仿宋" w:cs="仿宋"/>
              <w:b/>
              <w:sz w:val="28"/>
              <w:szCs w:val="28"/>
            </w:rPr>
            <w:fldChar w:fldCharType="separate"/>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_Toc2549 </w:instrText>
          </w:r>
          <w:r>
            <w:rPr>
              <w:rFonts w:hint="eastAsia" w:ascii="仿宋" w:hAnsi="仿宋" w:eastAsia="仿宋" w:cs="仿宋"/>
              <w:sz w:val="28"/>
              <w:szCs w:val="28"/>
            </w:rPr>
            <w:fldChar w:fldCharType="separate"/>
          </w:r>
          <w:r>
            <w:rPr>
              <w:rFonts w:hint="eastAsia" w:ascii="仿宋" w:hAnsi="仿宋" w:eastAsia="仿宋" w:cs="仿宋"/>
              <w:bCs/>
              <w:sz w:val="28"/>
              <w:szCs w:val="28"/>
            </w:rPr>
            <w:t>第一部分 基本概况</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_Toc2549 \h </w:instrText>
          </w:r>
          <w:r>
            <w:rPr>
              <w:rFonts w:hint="eastAsia" w:ascii="仿宋" w:hAnsi="仿宋" w:eastAsia="仿宋" w:cs="仿宋"/>
              <w:sz w:val="28"/>
              <w:szCs w:val="28"/>
            </w:rPr>
            <w:fldChar w:fldCharType="separate"/>
          </w:r>
          <w:r>
            <w:rPr>
              <w:rFonts w:hint="eastAsia" w:ascii="仿宋" w:hAnsi="仿宋" w:eastAsia="仿宋" w:cs="仿宋"/>
              <w:sz w:val="28"/>
              <w:szCs w:val="28"/>
            </w:rPr>
            <w:t>1</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9"/>
            <w:pageBreakBefore w:val="0"/>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lang w:val="zh-CN"/>
            </w:rPr>
            <w:fldChar w:fldCharType="begin"/>
          </w:r>
          <w:r>
            <w:rPr>
              <w:rFonts w:hint="eastAsia" w:ascii="仿宋" w:hAnsi="仿宋" w:eastAsia="仿宋" w:cs="仿宋"/>
              <w:sz w:val="28"/>
              <w:szCs w:val="28"/>
              <w:lang w:val="zh-CN"/>
            </w:rPr>
            <w:instrText xml:space="preserve"> HYPERLINK \l _Toc28783 </w:instrText>
          </w:r>
          <w:r>
            <w:rPr>
              <w:rFonts w:hint="eastAsia" w:ascii="仿宋" w:hAnsi="仿宋" w:eastAsia="仿宋" w:cs="仿宋"/>
              <w:sz w:val="28"/>
              <w:szCs w:val="28"/>
              <w:lang w:val="zh-CN"/>
            </w:rPr>
            <w:fldChar w:fldCharType="separate"/>
          </w:r>
          <w:r>
            <w:rPr>
              <w:rFonts w:hint="eastAsia" w:ascii="仿宋" w:hAnsi="仿宋" w:eastAsia="仿宋" w:cs="仿宋"/>
              <w:bCs/>
              <w:sz w:val="28"/>
              <w:szCs w:val="28"/>
            </w:rPr>
            <w:t>一、项目背景</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_Toc28783 \h </w:instrText>
          </w:r>
          <w:r>
            <w:rPr>
              <w:rFonts w:hint="eastAsia" w:ascii="仿宋" w:hAnsi="仿宋" w:eastAsia="仿宋" w:cs="仿宋"/>
              <w:sz w:val="28"/>
              <w:szCs w:val="28"/>
            </w:rPr>
            <w:fldChar w:fldCharType="separate"/>
          </w:r>
          <w:r>
            <w:rPr>
              <w:rFonts w:hint="eastAsia" w:ascii="仿宋" w:hAnsi="仿宋" w:eastAsia="仿宋" w:cs="仿宋"/>
              <w:sz w:val="28"/>
              <w:szCs w:val="28"/>
            </w:rPr>
            <w:t>1</w:t>
          </w:r>
          <w:r>
            <w:rPr>
              <w:rFonts w:hint="eastAsia" w:ascii="仿宋" w:hAnsi="仿宋" w:eastAsia="仿宋" w:cs="仿宋"/>
              <w:sz w:val="28"/>
              <w:szCs w:val="28"/>
            </w:rPr>
            <w:fldChar w:fldCharType="end"/>
          </w:r>
          <w:r>
            <w:rPr>
              <w:rFonts w:hint="eastAsia" w:ascii="仿宋" w:hAnsi="仿宋" w:eastAsia="仿宋" w:cs="仿宋"/>
              <w:sz w:val="28"/>
              <w:szCs w:val="28"/>
              <w:lang w:val="zh-CN"/>
            </w:rPr>
            <w:fldChar w:fldCharType="end"/>
          </w:r>
        </w:p>
        <w:p>
          <w:pPr>
            <w:pStyle w:val="9"/>
            <w:pageBreakBefore w:val="0"/>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lang w:val="zh-CN"/>
            </w:rPr>
            <w:fldChar w:fldCharType="begin"/>
          </w:r>
          <w:r>
            <w:rPr>
              <w:rFonts w:hint="eastAsia" w:ascii="仿宋" w:hAnsi="仿宋" w:eastAsia="仿宋" w:cs="仿宋"/>
              <w:sz w:val="28"/>
              <w:szCs w:val="28"/>
              <w:lang w:val="zh-CN"/>
            </w:rPr>
            <w:instrText xml:space="preserve"> HYPERLINK \l _Toc415 </w:instrText>
          </w:r>
          <w:r>
            <w:rPr>
              <w:rFonts w:hint="eastAsia" w:ascii="仿宋" w:hAnsi="仿宋" w:eastAsia="仿宋" w:cs="仿宋"/>
              <w:sz w:val="28"/>
              <w:szCs w:val="28"/>
              <w:lang w:val="zh-CN"/>
            </w:rPr>
            <w:fldChar w:fldCharType="separate"/>
          </w:r>
          <w:r>
            <w:rPr>
              <w:rFonts w:hint="eastAsia" w:ascii="仿宋" w:hAnsi="仿宋" w:eastAsia="仿宋" w:cs="仿宋"/>
              <w:bCs/>
              <w:sz w:val="28"/>
              <w:szCs w:val="28"/>
            </w:rPr>
            <w:t>二、专项资金立项依据</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_Toc415 \h </w:instrText>
          </w:r>
          <w:r>
            <w:rPr>
              <w:rFonts w:hint="eastAsia" w:ascii="仿宋" w:hAnsi="仿宋" w:eastAsia="仿宋" w:cs="仿宋"/>
              <w:sz w:val="28"/>
              <w:szCs w:val="28"/>
            </w:rPr>
            <w:fldChar w:fldCharType="separate"/>
          </w:r>
          <w:r>
            <w:rPr>
              <w:rFonts w:hint="eastAsia" w:ascii="仿宋" w:hAnsi="仿宋" w:eastAsia="仿宋" w:cs="仿宋"/>
              <w:sz w:val="28"/>
              <w:szCs w:val="28"/>
            </w:rPr>
            <w:t>2</w:t>
          </w:r>
          <w:r>
            <w:rPr>
              <w:rFonts w:hint="eastAsia" w:ascii="仿宋" w:hAnsi="仿宋" w:eastAsia="仿宋" w:cs="仿宋"/>
              <w:sz w:val="28"/>
              <w:szCs w:val="28"/>
            </w:rPr>
            <w:fldChar w:fldCharType="end"/>
          </w:r>
          <w:r>
            <w:rPr>
              <w:rFonts w:hint="eastAsia" w:ascii="仿宋" w:hAnsi="仿宋" w:eastAsia="仿宋" w:cs="仿宋"/>
              <w:sz w:val="28"/>
              <w:szCs w:val="28"/>
              <w:lang w:val="zh-CN"/>
            </w:rPr>
            <w:fldChar w:fldCharType="end"/>
          </w:r>
        </w:p>
        <w:p>
          <w:pPr>
            <w:pStyle w:val="9"/>
            <w:pageBreakBefore w:val="0"/>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lang w:val="zh-CN"/>
            </w:rPr>
            <w:fldChar w:fldCharType="begin"/>
          </w:r>
          <w:r>
            <w:rPr>
              <w:rFonts w:hint="eastAsia" w:ascii="仿宋" w:hAnsi="仿宋" w:eastAsia="仿宋" w:cs="仿宋"/>
              <w:sz w:val="28"/>
              <w:szCs w:val="28"/>
              <w:lang w:val="zh-CN"/>
            </w:rPr>
            <w:instrText xml:space="preserve"> HYPERLINK \l _Toc12066 </w:instrText>
          </w:r>
          <w:r>
            <w:rPr>
              <w:rFonts w:hint="eastAsia" w:ascii="仿宋" w:hAnsi="仿宋" w:eastAsia="仿宋" w:cs="仿宋"/>
              <w:sz w:val="28"/>
              <w:szCs w:val="28"/>
              <w:lang w:val="zh-CN"/>
            </w:rPr>
            <w:fldChar w:fldCharType="separate"/>
          </w:r>
          <w:r>
            <w:rPr>
              <w:rFonts w:hint="eastAsia" w:ascii="仿宋" w:hAnsi="仿宋" w:eastAsia="仿宋" w:cs="仿宋"/>
              <w:bCs/>
              <w:sz w:val="28"/>
              <w:szCs w:val="28"/>
            </w:rPr>
            <w:t>三、项目实施目标</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_Toc12066 \h </w:instrText>
          </w:r>
          <w:r>
            <w:rPr>
              <w:rFonts w:hint="eastAsia" w:ascii="仿宋" w:hAnsi="仿宋" w:eastAsia="仿宋" w:cs="仿宋"/>
              <w:sz w:val="28"/>
              <w:szCs w:val="28"/>
            </w:rPr>
            <w:fldChar w:fldCharType="separate"/>
          </w:r>
          <w:r>
            <w:rPr>
              <w:rFonts w:hint="eastAsia" w:ascii="仿宋" w:hAnsi="仿宋" w:eastAsia="仿宋" w:cs="仿宋"/>
              <w:sz w:val="28"/>
              <w:szCs w:val="28"/>
            </w:rPr>
            <w:t>3</w:t>
          </w:r>
          <w:r>
            <w:rPr>
              <w:rFonts w:hint="eastAsia" w:ascii="仿宋" w:hAnsi="仿宋" w:eastAsia="仿宋" w:cs="仿宋"/>
              <w:sz w:val="28"/>
              <w:szCs w:val="28"/>
            </w:rPr>
            <w:fldChar w:fldCharType="end"/>
          </w:r>
          <w:r>
            <w:rPr>
              <w:rFonts w:hint="eastAsia" w:ascii="仿宋" w:hAnsi="仿宋" w:eastAsia="仿宋" w:cs="仿宋"/>
              <w:sz w:val="28"/>
              <w:szCs w:val="28"/>
              <w:lang w:val="zh-CN"/>
            </w:rPr>
            <w:fldChar w:fldCharType="end"/>
          </w:r>
        </w:p>
        <w:p>
          <w:pPr>
            <w:pStyle w:val="9"/>
            <w:pageBreakBefore w:val="0"/>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lang w:val="zh-CN"/>
            </w:rPr>
            <w:fldChar w:fldCharType="begin"/>
          </w:r>
          <w:r>
            <w:rPr>
              <w:rFonts w:hint="eastAsia" w:ascii="仿宋" w:hAnsi="仿宋" w:eastAsia="仿宋" w:cs="仿宋"/>
              <w:sz w:val="28"/>
              <w:szCs w:val="28"/>
              <w:lang w:val="zh-CN"/>
            </w:rPr>
            <w:instrText xml:space="preserve"> HYPERLINK \l _Toc13969 </w:instrText>
          </w:r>
          <w:r>
            <w:rPr>
              <w:rFonts w:hint="eastAsia" w:ascii="仿宋" w:hAnsi="仿宋" w:eastAsia="仿宋" w:cs="仿宋"/>
              <w:sz w:val="28"/>
              <w:szCs w:val="28"/>
              <w:lang w:val="zh-CN"/>
            </w:rPr>
            <w:fldChar w:fldCharType="separate"/>
          </w:r>
          <w:r>
            <w:rPr>
              <w:rFonts w:hint="eastAsia" w:ascii="仿宋" w:hAnsi="仿宋" w:eastAsia="仿宋" w:cs="仿宋"/>
              <w:bCs/>
              <w:sz w:val="28"/>
              <w:szCs w:val="28"/>
            </w:rPr>
            <w:t>四、资金执行情况</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_Toc13969 \h </w:instrText>
          </w:r>
          <w:r>
            <w:rPr>
              <w:rFonts w:hint="eastAsia" w:ascii="仿宋" w:hAnsi="仿宋" w:eastAsia="仿宋" w:cs="仿宋"/>
              <w:sz w:val="28"/>
              <w:szCs w:val="28"/>
            </w:rPr>
            <w:fldChar w:fldCharType="separate"/>
          </w:r>
          <w:r>
            <w:rPr>
              <w:rFonts w:hint="eastAsia" w:ascii="仿宋" w:hAnsi="仿宋" w:eastAsia="仿宋" w:cs="仿宋"/>
              <w:sz w:val="28"/>
              <w:szCs w:val="28"/>
            </w:rPr>
            <w:t>3</w:t>
          </w:r>
          <w:r>
            <w:rPr>
              <w:rFonts w:hint="eastAsia" w:ascii="仿宋" w:hAnsi="仿宋" w:eastAsia="仿宋" w:cs="仿宋"/>
              <w:sz w:val="28"/>
              <w:szCs w:val="28"/>
            </w:rPr>
            <w:fldChar w:fldCharType="end"/>
          </w:r>
          <w:r>
            <w:rPr>
              <w:rFonts w:hint="eastAsia" w:ascii="仿宋" w:hAnsi="仿宋" w:eastAsia="仿宋" w:cs="仿宋"/>
              <w:sz w:val="28"/>
              <w:szCs w:val="28"/>
              <w:lang w:val="zh-CN"/>
            </w:rPr>
            <w:fldChar w:fldCharType="end"/>
          </w:r>
        </w:p>
        <w:p>
          <w:pPr>
            <w:pStyle w:val="9"/>
            <w:pageBreakBefore w:val="0"/>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lang w:val="zh-CN"/>
            </w:rPr>
            <w:fldChar w:fldCharType="begin"/>
          </w:r>
          <w:r>
            <w:rPr>
              <w:rFonts w:hint="eastAsia" w:ascii="仿宋" w:hAnsi="仿宋" w:eastAsia="仿宋" w:cs="仿宋"/>
              <w:sz w:val="28"/>
              <w:szCs w:val="28"/>
              <w:lang w:val="zh-CN"/>
            </w:rPr>
            <w:instrText xml:space="preserve"> HYPERLINK \l _Toc5838 </w:instrText>
          </w:r>
          <w:r>
            <w:rPr>
              <w:rFonts w:hint="eastAsia" w:ascii="仿宋" w:hAnsi="仿宋" w:eastAsia="仿宋" w:cs="仿宋"/>
              <w:sz w:val="28"/>
              <w:szCs w:val="28"/>
              <w:lang w:val="zh-CN"/>
            </w:rPr>
            <w:fldChar w:fldCharType="separate"/>
          </w:r>
          <w:r>
            <w:rPr>
              <w:rFonts w:hint="eastAsia" w:ascii="仿宋" w:hAnsi="仿宋" w:eastAsia="仿宋" w:cs="仿宋"/>
              <w:bCs/>
              <w:sz w:val="28"/>
              <w:szCs w:val="28"/>
            </w:rPr>
            <w:t>五、项目组织管理</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_Toc5838 \h </w:instrText>
          </w:r>
          <w:r>
            <w:rPr>
              <w:rFonts w:hint="eastAsia" w:ascii="仿宋" w:hAnsi="仿宋" w:eastAsia="仿宋" w:cs="仿宋"/>
              <w:sz w:val="28"/>
              <w:szCs w:val="28"/>
            </w:rPr>
            <w:fldChar w:fldCharType="separate"/>
          </w:r>
          <w:r>
            <w:rPr>
              <w:rFonts w:hint="eastAsia" w:ascii="仿宋" w:hAnsi="仿宋" w:eastAsia="仿宋" w:cs="仿宋"/>
              <w:sz w:val="28"/>
              <w:szCs w:val="28"/>
            </w:rPr>
            <w:t>6</w:t>
          </w:r>
          <w:r>
            <w:rPr>
              <w:rFonts w:hint="eastAsia" w:ascii="仿宋" w:hAnsi="仿宋" w:eastAsia="仿宋" w:cs="仿宋"/>
              <w:sz w:val="28"/>
              <w:szCs w:val="28"/>
            </w:rPr>
            <w:fldChar w:fldCharType="end"/>
          </w:r>
          <w:r>
            <w:rPr>
              <w:rFonts w:hint="eastAsia" w:ascii="仿宋" w:hAnsi="仿宋" w:eastAsia="仿宋" w:cs="仿宋"/>
              <w:sz w:val="28"/>
              <w:szCs w:val="28"/>
              <w:lang w:val="zh-CN"/>
            </w:rPr>
            <w:fldChar w:fldCharType="end"/>
          </w:r>
        </w:p>
        <w:p>
          <w:pPr>
            <w:pStyle w:val="9"/>
            <w:pageBreakBefore w:val="0"/>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lang w:val="zh-CN"/>
            </w:rPr>
            <w:fldChar w:fldCharType="begin"/>
          </w:r>
          <w:r>
            <w:rPr>
              <w:rFonts w:hint="eastAsia" w:ascii="仿宋" w:hAnsi="仿宋" w:eastAsia="仿宋" w:cs="仿宋"/>
              <w:sz w:val="28"/>
              <w:szCs w:val="28"/>
              <w:lang w:val="zh-CN"/>
            </w:rPr>
            <w:instrText xml:space="preserve"> HYPERLINK \l _Toc24357 </w:instrText>
          </w:r>
          <w:r>
            <w:rPr>
              <w:rFonts w:hint="eastAsia" w:ascii="仿宋" w:hAnsi="仿宋" w:eastAsia="仿宋" w:cs="仿宋"/>
              <w:sz w:val="28"/>
              <w:szCs w:val="28"/>
              <w:lang w:val="zh-CN"/>
            </w:rPr>
            <w:fldChar w:fldCharType="separate"/>
          </w:r>
          <w:r>
            <w:rPr>
              <w:rFonts w:hint="eastAsia" w:ascii="仿宋" w:hAnsi="仿宋" w:eastAsia="仿宋" w:cs="仿宋"/>
              <w:bCs/>
              <w:sz w:val="28"/>
              <w:szCs w:val="28"/>
            </w:rPr>
            <w:t>六、工作成效</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_Toc24357 \h </w:instrText>
          </w:r>
          <w:r>
            <w:rPr>
              <w:rFonts w:hint="eastAsia" w:ascii="仿宋" w:hAnsi="仿宋" w:eastAsia="仿宋" w:cs="仿宋"/>
              <w:sz w:val="28"/>
              <w:szCs w:val="28"/>
            </w:rPr>
            <w:fldChar w:fldCharType="separate"/>
          </w:r>
          <w:r>
            <w:rPr>
              <w:rFonts w:hint="eastAsia" w:ascii="仿宋" w:hAnsi="仿宋" w:eastAsia="仿宋" w:cs="仿宋"/>
              <w:sz w:val="28"/>
              <w:szCs w:val="28"/>
            </w:rPr>
            <w:t>7</w:t>
          </w:r>
          <w:r>
            <w:rPr>
              <w:rFonts w:hint="eastAsia" w:ascii="仿宋" w:hAnsi="仿宋" w:eastAsia="仿宋" w:cs="仿宋"/>
              <w:sz w:val="28"/>
              <w:szCs w:val="28"/>
            </w:rPr>
            <w:fldChar w:fldCharType="end"/>
          </w:r>
          <w:r>
            <w:rPr>
              <w:rFonts w:hint="eastAsia" w:ascii="仿宋" w:hAnsi="仿宋" w:eastAsia="仿宋" w:cs="仿宋"/>
              <w:sz w:val="28"/>
              <w:szCs w:val="28"/>
              <w:lang w:val="zh-CN"/>
            </w:rPr>
            <w:fldChar w:fldCharType="end"/>
          </w:r>
        </w:p>
        <w:p>
          <w:pPr>
            <w:pStyle w:val="8"/>
            <w:pageBreakBefore w:val="0"/>
            <w:tabs>
              <w:tab w:val="right" w:leader="dot" w:pos="8306"/>
              <w:tab w:val="clear" w:pos="8296"/>
            </w:tabs>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lang w:val="zh-CN"/>
            </w:rPr>
            <w:fldChar w:fldCharType="begin"/>
          </w:r>
          <w:r>
            <w:rPr>
              <w:rFonts w:hint="eastAsia" w:ascii="仿宋" w:hAnsi="仿宋" w:eastAsia="仿宋" w:cs="仿宋"/>
              <w:sz w:val="28"/>
              <w:szCs w:val="28"/>
              <w:lang w:val="zh-CN"/>
            </w:rPr>
            <w:instrText xml:space="preserve"> HYPERLINK \l _Toc9448 </w:instrText>
          </w:r>
          <w:r>
            <w:rPr>
              <w:rFonts w:hint="eastAsia" w:ascii="仿宋" w:hAnsi="仿宋" w:eastAsia="仿宋" w:cs="仿宋"/>
              <w:sz w:val="28"/>
              <w:szCs w:val="28"/>
              <w:lang w:val="zh-CN"/>
            </w:rPr>
            <w:fldChar w:fldCharType="separate"/>
          </w:r>
          <w:r>
            <w:rPr>
              <w:rFonts w:hint="eastAsia" w:ascii="仿宋" w:hAnsi="仿宋" w:eastAsia="仿宋" w:cs="仿宋"/>
              <w:bCs/>
              <w:sz w:val="28"/>
              <w:szCs w:val="28"/>
            </w:rPr>
            <w:t>第二部分 绩效评价工作开展情况</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_Toc9448 \h </w:instrText>
          </w:r>
          <w:r>
            <w:rPr>
              <w:rFonts w:hint="eastAsia" w:ascii="仿宋" w:hAnsi="仿宋" w:eastAsia="仿宋" w:cs="仿宋"/>
              <w:sz w:val="28"/>
              <w:szCs w:val="28"/>
            </w:rPr>
            <w:fldChar w:fldCharType="separate"/>
          </w:r>
          <w:r>
            <w:rPr>
              <w:rFonts w:hint="eastAsia" w:ascii="仿宋" w:hAnsi="仿宋" w:eastAsia="仿宋" w:cs="仿宋"/>
              <w:sz w:val="28"/>
              <w:szCs w:val="28"/>
            </w:rPr>
            <w:t>9</w:t>
          </w:r>
          <w:r>
            <w:rPr>
              <w:rFonts w:hint="eastAsia" w:ascii="仿宋" w:hAnsi="仿宋" w:eastAsia="仿宋" w:cs="仿宋"/>
              <w:sz w:val="28"/>
              <w:szCs w:val="28"/>
            </w:rPr>
            <w:fldChar w:fldCharType="end"/>
          </w:r>
          <w:r>
            <w:rPr>
              <w:rFonts w:hint="eastAsia" w:ascii="仿宋" w:hAnsi="仿宋" w:eastAsia="仿宋" w:cs="仿宋"/>
              <w:sz w:val="28"/>
              <w:szCs w:val="28"/>
              <w:lang w:val="zh-CN"/>
            </w:rPr>
            <w:fldChar w:fldCharType="end"/>
          </w:r>
        </w:p>
        <w:p>
          <w:pPr>
            <w:pStyle w:val="9"/>
            <w:pageBreakBefore w:val="0"/>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lang w:val="zh-CN"/>
            </w:rPr>
            <w:fldChar w:fldCharType="begin"/>
          </w:r>
          <w:r>
            <w:rPr>
              <w:rFonts w:hint="eastAsia" w:ascii="仿宋" w:hAnsi="仿宋" w:eastAsia="仿宋" w:cs="仿宋"/>
              <w:sz w:val="28"/>
              <w:szCs w:val="28"/>
              <w:lang w:val="zh-CN"/>
            </w:rPr>
            <w:instrText xml:space="preserve"> HYPERLINK \l _Toc10618 </w:instrText>
          </w:r>
          <w:r>
            <w:rPr>
              <w:rFonts w:hint="eastAsia" w:ascii="仿宋" w:hAnsi="仿宋" w:eastAsia="仿宋" w:cs="仿宋"/>
              <w:sz w:val="28"/>
              <w:szCs w:val="28"/>
              <w:lang w:val="zh-CN"/>
            </w:rPr>
            <w:fldChar w:fldCharType="separate"/>
          </w:r>
          <w:r>
            <w:rPr>
              <w:rFonts w:hint="eastAsia" w:ascii="仿宋" w:hAnsi="仿宋" w:eastAsia="仿宋" w:cs="仿宋"/>
              <w:bCs/>
              <w:sz w:val="28"/>
              <w:szCs w:val="28"/>
            </w:rPr>
            <w:t>一、评价工作组介绍</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_Toc10618 \h </w:instrText>
          </w:r>
          <w:r>
            <w:rPr>
              <w:rFonts w:hint="eastAsia" w:ascii="仿宋" w:hAnsi="仿宋" w:eastAsia="仿宋" w:cs="仿宋"/>
              <w:sz w:val="28"/>
              <w:szCs w:val="28"/>
            </w:rPr>
            <w:fldChar w:fldCharType="separate"/>
          </w:r>
          <w:r>
            <w:rPr>
              <w:rFonts w:hint="eastAsia" w:ascii="仿宋" w:hAnsi="仿宋" w:eastAsia="仿宋" w:cs="仿宋"/>
              <w:sz w:val="28"/>
              <w:szCs w:val="28"/>
            </w:rPr>
            <w:t>9</w:t>
          </w:r>
          <w:r>
            <w:rPr>
              <w:rFonts w:hint="eastAsia" w:ascii="仿宋" w:hAnsi="仿宋" w:eastAsia="仿宋" w:cs="仿宋"/>
              <w:sz w:val="28"/>
              <w:szCs w:val="28"/>
            </w:rPr>
            <w:fldChar w:fldCharType="end"/>
          </w:r>
          <w:r>
            <w:rPr>
              <w:rFonts w:hint="eastAsia" w:ascii="仿宋" w:hAnsi="仿宋" w:eastAsia="仿宋" w:cs="仿宋"/>
              <w:sz w:val="28"/>
              <w:szCs w:val="28"/>
              <w:lang w:val="zh-CN"/>
            </w:rPr>
            <w:fldChar w:fldCharType="end"/>
          </w:r>
        </w:p>
        <w:p>
          <w:pPr>
            <w:pStyle w:val="9"/>
            <w:pageBreakBefore w:val="0"/>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lang w:val="zh-CN"/>
            </w:rPr>
            <w:fldChar w:fldCharType="begin"/>
          </w:r>
          <w:r>
            <w:rPr>
              <w:rFonts w:hint="eastAsia" w:ascii="仿宋" w:hAnsi="仿宋" w:eastAsia="仿宋" w:cs="仿宋"/>
              <w:sz w:val="28"/>
              <w:szCs w:val="28"/>
              <w:lang w:val="zh-CN"/>
            </w:rPr>
            <w:instrText xml:space="preserve"> HYPERLINK \l _Toc17313 </w:instrText>
          </w:r>
          <w:r>
            <w:rPr>
              <w:rFonts w:hint="eastAsia" w:ascii="仿宋" w:hAnsi="仿宋" w:eastAsia="仿宋" w:cs="仿宋"/>
              <w:sz w:val="28"/>
              <w:szCs w:val="28"/>
              <w:lang w:val="zh-CN"/>
            </w:rPr>
            <w:fldChar w:fldCharType="separate"/>
          </w:r>
          <w:r>
            <w:rPr>
              <w:rFonts w:hint="eastAsia" w:ascii="仿宋" w:hAnsi="仿宋" w:eastAsia="仿宋" w:cs="仿宋"/>
              <w:bCs/>
              <w:sz w:val="28"/>
              <w:szCs w:val="28"/>
            </w:rPr>
            <w:t>二、评价目的</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_Toc17313 \h </w:instrText>
          </w:r>
          <w:r>
            <w:rPr>
              <w:rFonts w:hint="eastAsia" w:ascii="仿宋" w:hAnsi="仿宋" w:eastAsia="仿宋" w:cs="仿宋"/>
              <w:sz w:val="28"/>
              <w:szCs w:val="28"/>
            </w:rPr>
            <w:fldChar w:fldCharType="separate"/>
          </w:r>
          <w:r>
            <w:rPr>
              <w:rFonts w:hint="eastAsia" w:ascii="仿宋" w:hAnsi="仿宋" w:eastAsia="仿宋" w:cs="仿宋"/>
              <w:sz w:val="28"/>
              <w:szCs w:val="28"/>
            </w:rPr>
            <w:t>9</w:t>
          </w:r>
          <w:r>
            <w:rPr>
              <w:rFonts w:hint="eastAsia" w:ascii="仿宋" w:hAnsi="仿宋" w:eastAsia="仿宋" w:cs="仿宋"/>
              <w:sz w:val="28"/>
              <w:szCs w:val="28"/>
            </w:rPr>
            <w:fldChar w:fldCharType="end"/>
          </w:r>
          <w:r>
            <w:rPr>
              <w:rFonts w:hint="eastAsia" w:ascii="仿宋" w:hAnsi="仿宋" w:eastAsia="仿宋" w:cs="仿宋"/>
              <w:sz w:val="28"/>
              <w:szCs w:val="28"/>
              <w:lang w:val="zh-CN"/>
            </w:rPr>
            <w:fldChar w:fldCharType="end"/>
          </w:r>
        </w:p>
        <w:p>
          <w:pPr>
            <w:pStyle w:val="9"/>
            <w:pageBreakBefore w:val="0"/>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lang w:val="zh-CN"/>
            </w:rPr>
            <w:fldChar w:fldCharType="begin"/>
          </w:r>
          <w:r>
            <w:rPr>
              <w:rFonts w:hint="eastAsia" w:ascii="仿宋" w:hAnsi="仿宋" w:eastAsia="仿宋" w:cs="仿宋"/>
              <w:sz w:val="28"/>
              <w:szCs w:val="28"/>
              <w:lang w:val="zh-CN"/>
            </w:rPr>
            <w:instrText xml:space="preserve"> HYPERLINK \l _Toc16709 </w:instrText>
          </w:r>
          <w:r>
            <w:rPr>
              <w:rFonts w:hint="eastAsia" w:ascii="仿宋" w:hAnsi="仿宋" w:eastAsia="仿宋" w:cs="仿宋"/>
              <w:sz w:val="28"/>
              <w:szCs w:val="28"/>
              <w:lang w:val="zh-CN"/>
            </w:rPr>
            <w:fldChar w:fldCharType="separate"/>
          </w:r>
          <w:r>
            <w:rPr>
              <w:rFonts w:hint="eastAsia" w:ascii="仿宋" w:hAnsi="仿宋" w:eastAsia="仿宋" w:cs="仿宋"/>
              <w:bCs/>
              <w:sz w:val="28"/>
              <w:szCs w:val="28"/>
            </w:rPr>
            <w:t>三、评价对象</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_Toc16709 \h </w:instrText>
          </w:r>
          <w:r>
            <w:rPr>
              <w:rFonts w:hint="eastAsia" w:ascii="仿宋" w:hAnsi="仿宋" w:eastAsia="仿宋" w:cs="仿宋"/>
              <w:sz w:val="28"/>
              <w:szCs w:val="28"/>
            </w:rPr>
            <w:fldChar w:fldCharType="separate"/>
          </w:r>
          <w:r>
            <w:rPr>
              <w:rFonts w:hint="eastAsia" w:ascii="仿宋" w:hAnsi="仿宋" w:eastAsia="仿宋" w:cs="仿宋"/>
              <w:sz w:val="28"/>
              <w:szCs w:val="28"/>
            </w:rPr>
            <w:t>9</w:t>
          </w:r>
          <w:r>
            <w:rPr>
              <w:rFonts w:hint="eastAsia" w:ascii="仿宋" w:hAnsi="仿宋" w:eastAsia="仿宋" w:cs="仿宋"/>
              <w:sz w:val="28"/>
              <w:szCs w:val="28"/>
            </w:rPr>
            <w:fldChar w:fldCharType="end"/>
          </w:r>
          <w:r>
            <w:rPr>
              <w:rFonts w:hint="eastAsia" w:ascii="仿宋" w:hAnsi="仿宋" w:eastAsia="仿宋" w:cs="仿宋"/>
              <w:sz w:val="28"/>
              <w:szCs w:val="28"/>
              <w:lang w:val="zh-CN"/>
            </w:rPr>
            <w:fldChar w:fldCharType="end"/>
          </w:r>
        </w:p>
        <w:p>
          <w:pPr>
            <w:pStyle w:val="9"/>
            <w:pageBreakBefore w:val="0"/>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lang w:val="zh-CN"/>
            </w:rPr>
            <w:fldChar w:fldCharType="begin"/>
          </w:r>
          <w:r>
            <w:rPr>
              <w:rFonts w:hint="eastAsia" w:ascii="仿宋" w:hAnsi="仿宋" w:eastAsia="仿宋" w:cs="仿宋"/>
              <w:sz w:val="28"/>
              <w:szCs w:val="28"/>
              <w:lang w:val="zh-CN"/>
            </w:rPr>
            <w:instrText xml:space="preserve"> HYPERLINK \l _Toc22784 </w:instrText>
          </w:r>
          <w:r>
            <w:rPr>
              <w:rFonts w:hint="eastAsia" w:ascii="仿宋" w:hAnsi="仿宋" w:eastAsia="仿宋" w:cs="仿宋"/>
              <w:sz w:val="28"/>
              <w:szCs w:val="28"/>
              <w:lang w:val="zh-CN"/>
            </w:rPr>
            <w:fldChar w:fldCharType="separate"/>
          </w:r>
          <w:r>
            <w:rPr>
              <w:rFonts w:hint="eastAsia" w:ascii="仿宋" w:hAnsi="仿宋" w:eastAsia="仿宋" w:cs="仿宋"/>
              <w:bCs/>
              <w:sz w:val="28"/>
              <w:szCs w:val="28"/>
            </w:rPr>
            <w:t>四、评价范围</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_Toc22784 \h </w:instrText>
          </w:r>
          <w:r>
            <w:rPr>
              <w:rFonts w:hint="eastAsia" w:ascii="仿宋" w:hAnsi="仿宋" w:eastAsia="仿宋" w:cs="仿宋"/>
              <w:sz w:val="28"/>
              <w:szCs w:val="28"/>
            </w:rPr>
            <w:fldChar w:fldCharType="separate"/>
          </w:r>
          <w:r>
            <w:rPr>
              <w:rFonts w:hint="eastAsia" w:ascii="仿宋" w:hAnsi="仿宋" w:eastAsia="仿宋" w:cs="仿宋"/>
              <w:sz w:val="28"/>
              <w:szCs w:val="28"/>
            </w:rPr>
            <w:t>9</w:t>
          </w:r>
          <w:r>
            <w:rPr>
              <w:rFonts w:hint="eastAsia" w:ascii="仿宋" w:hAnsi="仿宋" w:eastAsia="仿宋" w:cs="仿宋"/>
              <w:sz w:val="28"/>
              <w:szCs w:val="28"/>
            </w:rPr>
            <w:fldChar w:fldCharType="end"/>
          </w:r>
          <w:r>
            <w:rPr>
              <w:rFonts w:hint="eastAsia" w:ascii="仿宋" w:hAnsi="仿宋" w:eastAsia="仿宋" w:cs="仿宋"/>
              <w:sz w:val="28"/>
              <w:szCs w:val="28"/>
              <w:lang w:val="zh-CN"/>
            </w:rPr>
            <w:fldChar w:fldCharType="end"/>
          </w:r>
        </w:p>
        <w:p>
          <w:pPr>
            <w:pStyle w:val="9"/>
            <w:pageBreakBefore w:val="0"/>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lang w:val="zh-CN"/>
            </w:rPr>
            <w:fldChar w:fldCharType="begin"/>
          </w:r>
          <w:r>
            <w:rPr>
              <w:rFonts w:hint="eastAsia" w:ascii="仿宋" w:hAnsi="仿宋" w:eastAsia="仿宋" w:cs="仿宋"/>
              <w:sz w:val="28"/>
              <w:szCs w:val="28"/>
              <w:lang w:val="zh-CN"/>
            </w:rPr>
            <w:instrText xml:space="preserve"> HYPERLINK \l _Toc16652 </w:instrText>
          </w:r>
          <w:r>
            <w:rPr>
              <w:rFonts w:hint="eastAsia" w:ascii="仿宋" w:hAnsi="仿宋" w:eastAsia="仿宋" w:cs="仿宋"/>
              <w:sz w:val="28"/>
              <w:szCs w:val="28"/>
              <w:lang w:val="zh-CN"/>
            </w:rPr>
            <w:fldChar w:fldCharType="separate"/>
          </w:r>
          <w:r>
            <w:rPr>
              <w:rFonts w:hint="eastAsia" w:ascii="仿宋" w:hAnsi="仿宋" w:eastAsia="仿宋" w:cs="仿宋"/>
              <w:bCs/>
              <w:sz w:val="28"/>
              <w:szCs w:val="28"/>
            </w:rPr>
            <w:t>五、评价原则</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_Toc16652 \h </w:instrText>
          </w:r>
          <w:r>
            <w:rPr>
              <w:rFonts w:hint="eastAsia" w:ascii="仿宋" w:hAnsi="仿宋" w:eastAsia="仿宋" w:cs="仿宋"/>
              <w:sz w:val="28"/>
              <w:szCs w:val="28"/>
            </w:rPr>
            <w:fldChar w:fldCharType="separate"/>
          </w:r>
          <w:r>
            <w:rPr>
              <w:rFonts w:hint="eastAsia" w:ascii="仿宋" w:hAnsi="仿宋" w:eastAsia="仿宋" w:cs="仿宋"/>
              <w:sz w:val="28"/>
              <w:szCs w:val="28"/>
            </w:rPr>
            <w:t>10</w:t>
          </w:r>
          <w:r>
            <w:rPr>
              <w:rFonts w:hint="eastAsia" w:ascii="仿宋" w:hAnsi="仿宋" w:eastAsia="仿宋" w:cs="仿宋"/>
              <w:sz w:val="28"/>
              <w:szCs w:val="28"/>
            </w:rPr>
            <w:fldChar w:fldCharType="end"/>
          </w:r>
          <w:r>
            <w:rPr>
              <w:rFonts w:hint="eastAsia" w:ascii="仿宋" w:hAnsi="仿宋" w:eastAsia="仿宋" w:cs="仿宋"/>
              <w:sz w:val="28"/>
              <w:szCs w:val="28"/>
              <w:lang w:val="zh-CN"/>
            </w:rPr>
            <w:fldChar w:fldCharType="end"/>
          </w:r>
        </w:p>
        <w:p>
          <w:pPr>
            <w:pStyle w:val="5"/>
            <w:pageBreakBefore w:val="0"/>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lang w:val="zh-CN"/>
            </w:rPr>
            <w:fldChar w:fldCharType="begin"/>
          </w:r>
          <w:r>
            <w:rPr>
              <w:rFonts w:hint="eastAsia" w:ascii="仿宋" w:hAnsi="仿宋" w:eastAsia="仿宋" w:cs="仿宋"/>
              <w:sz w:val="28"/>
              <w:szCs w:val="28"/>
              <w:lang w:val="zh-CN"/>
            </w:rPr>
            <w:instrText xml:space="preserve"> HYPERLINK \l _Toc6049 </w:instrText>
          </w:r>
          <w:r>
            <w:rPr>
              <w:rFonts w:hint="eastAsia" w:ascii="仿宋" w:hAnsi="仿宋" w:eastAsia="仿宋" w:cs="仿宋"/>
              <w:sz w:val="28"/>
              <w:szCs w:val="28"/>
              <w:lang w:val="zh-CN"/>
            </w:rPr>
            <w:fldChar w:fldCharType="separate"/>
          </w:r>
          <w:r>
            <w:rPr>
              <w:rFonts w:hint="eastAsia" w:ascii="仿宋" w:hAnsi="仿宋" w:eastAsia="仿宋" w:cs="仿宋"/>
              <w:bCs/>
              <w:sz w:val="28"/>
              <w:szCs w:val="28"/>
            </w:rPr>
            <w:t>（一</w:t>
          </w:r>
          <w:r>
            <w:rPr>
              <w:rFonts w:hint="eastAsia" w:ascii="仿宋" w:hAnsi="仿宋" w:eastAsia="仿宋" w:cs="仿宋"/>
              <w:bCs/>
              <w:sz w:val="28"/>
              <w:szCs w:val="28"/>
              <w:lang w:eastAsia="zh-CN"/>
            </w:rPr>
            <w:t>）</w:t>
          </w:r>
          <w:r>
            <w:rPr>
              <w:rFonts w:hint="eastAsia" w:ascii="仿宋" w:hAnsi="仿宋" w:eastAsia="仿宋" w:cs="仿宋"/>
              <w:bCs/>
              <w:sz w:val="28"/>
              <w:szCs w:val="28"/>
            </w:rPr>
            <w:t>服务大局原则</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_Toc6049 \h </w:instrText>
          </w:r>
          <w:r>
            <w:rPr>
              <w:rFonts w:hint="eastAsia" w:ascii="仿宋" w:hAnsi="仿宋" w:eastAsia="仿宋" w:cs="仿宋"/>
              <w:sz w:val="28"/>
              <w:szCs w:val="28"/>
            </w:rPr>
            <w:fldChar w:fldCharType="separate"/>
          </w:r>
          <w:r>
            <w:rPr>
              <w:rFonts w:hint="eastAsia" w:ascii="仿宋" w:hAnsi="仿宋" w:eastAsia="仿宋" w:cs="仿宋"/>
              <w:sz w:val="28"/>
              <w:szCs w:val="28"/>
            </w:rPr>
            <w:t>10</w:t>
          </w:r>
          <w:r>
            <w:rPr>
              <w:rFonts w:hint="eastAsia" w:ascii="仿宋" w:hAnsi="仿宋" w:eastAsia="仿宋" w:cs="仿宋"/>
              <w:sz w:val="28"/>
              <w:szCs w:val="28"/>
            </w:rPr>
            <w:fldChar w:fldCharType="end"/>
          </w:r>
          <w:r>
            <w:rPr>
              <w:rFonts w:hint="eastAsia" w:ascii="仿宋" w:hAnsi="仿宋" w:eastAsia="仿宋" w:cs="仿宋"/>
              <w:sz w:val="28"/>
              <w:szCs w:val="28"/>
              <w:lang w:val="zh-CN"/>
            </w:rPr>
            <w:fldChar w:fldCharType="end"/>
          </w:r>
        </w:p>
        <w:p>
          <w:pPr>
            <w:pStyle w:val="5"/>
            <w:pageBreakBefore w:val="0"/>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lang w:val="zh-CN"/>
            </w:rPr>
            <w:fldChar w:fldCharType="begin"/>
          </w:r>
          <w:r>
            <w:rPr>
              <w:rFonts w:hint="eastAsia" w:ascii="仿宋" w:hAnsi="仿宋" w:eastAsia="仿宋" w:cs="仿宋"/>
              <w:sz w:val="28"/>
              <w:szCs w:val="28"/>
              <w:lang w:val="zh-CN"/>
            </w:rPr>
            <w:instrText xml:space="preserve"> HYPERLINK \l _Toc21090 </w:instrText>
          </w:r>
          <w:r>
            <w:rPr>
              <w:rFonts w:hint="eastAsia" w:ascii="仿宋" w:hAnsi="仿宋" w:eastAsia="仿宋" w:cs="仿宋"/>
              <w:sz w:val="28"/>
              <w:szCs w:val="28"/>
              <w:lang w:val="zh-CN"/>
            </w:rPr>
            <w:fldChar w:fldCharType="separate"/>
          </w:r>
          <w:r>
            <w:rPr>
              <w:rFonts w:hint="eastAsia" w:ascii="仿宋" w:hAnsi="仿宋" w:eastAsia="仿宋" w:cs="仿宋"/>
              <w:bCs/>
              <w:sz w:val="28"/>
              <w:szCs w:val="28"/>
            </w:rPr>
            <w:t>（二</w:t>
          </w:r>
          <w:r>
            <w:rPr>
              <w:rFonts w:hint="eastAsia" w:ascii="仿宋" w:hAnsi="仿宋" w:eastAsia="仿宋" w:cs="仿宋"/>
              <w:bCs/>
              <w:sz w:val="28"/>
              <w:szCs w:val="28"/>
              <w:lang w:eastAsia="zh-CN"/>
            </w:rPr>
            <w:t>）</w:t>
          </w:r>
          <w:r>
            <w:rPr>
              <w:rFonts w:hint="eastAsia" w:ascii="仿宋" w:hAnsi="仿宋" w:eastAsia="仿宋" w:cs="仿宋"/>
              <w:bCs/>
              <w:sz w:val="28"/>
              <w:szCs w:val="28"/>
            </w:rPr>
            <w:t>科学规范原则</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_Toc21090 \h </w:instrText>
          </w:r>
          <w:r>
            <w:rPr>
              <w:rFonts w:hint="eastAsia" w:ascii="仿宋" w:hAnsi="仿宋" w:eastAsia="仿宋" w:cs="仿宋"/>
              <w:sz w:val="28"/>
              <w:szCs w:val="28"/>
            </w:rPr>
            <w:fldChar w:fldCharType="separate"/>
          </w:r>
          <w:r>
            <w:rPr>
              <w:rFonts w:hint="eastAsia" w:ascii="仿宋" w:hAnsi="仿宋" w:eastAsia="仿宋" w:cs="仿宋"/>
              <w:sz w:val="28"/>
              <w:szCs w:val="28"/>
            </w:rPr>
            <w:t>10</w:t>
          </w:r>
          <w:r>
            <w:rPr>
              <w:rFonts w:hint="eastAsia" w:ascii="仿宋" w:hAnsi="仿宋" w:eastAsia="仿宋" w:cs="仿宋"/>
              <w:sz w:val="28"/>
              <w:szCs w:val="28"/>
            </w:rPr>
            <w:fldChar w:fldCharType="end"/>
          </w:r>
          <w:r>
            <w:rPr>
              <w:rFonts w:hint="eastAsia" w:ascii="仿宋" w:hAnsi="仿宋" w:eastAsia="仿宋" w:cs="仿宋"/>
              <w:sz w:val="28"/>
              <w:szCs w:val="28"/>
              <w:lang w:val="zh-CN"/>
            </w:rPr>
            <w:fldChar w:fldCharType="end"/>
          </w:r>
        </w:p>
        <w:p>
          <w:pPr>
            <w:pStyle w:val="5"/>
            <w:pageBreakBefore w:val="0"/>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lang w:val="zh-CN"/>
            </w:rPr>
            <w:fldChar w:fldCharType="begin"/>
          </w:r>
          <w:r>
            <w:rPr>
              <w:rFonts w:hint="eastAsia" w:ascii="仿宋" w:hAnsi="仿宋" w:eastAsia="仿宋" w:cs="仿宋"/>
              <w:sz w:val="28"/>
              <w:szCs w:val="28"/>
              <w:lang w:val="zh-CN"/>
            </w:rPr>
            <w:instrText xml:space="preserve"> HYPERLINK \l _Toc26257 </w:instrText>
          </w:r>
          <w:r>
            <w:rPr>
              <w:rFonts w:hint="eastAsia" w:ascii="仿宋" w:hAnsi="仿宋" w:eastAsia="仿宋" w:cs="仿宋"/>
              <w:sz w:val="28"/>
              <w:szCs w:val="28"/>
              <w:lang w:val="zh-CN"/>
            </w:rPr>
            <w:fldChar w:fldCharType="separate"/>
          </w:r>
          <w:r>
            <w:rPr>
              <w:rFonts w:hint="eastAsia" w:ascii="仿宋" w:hAnsi="仿宋" w:eastAsia="仿宋" w:cs="仿宋"/>
              <w:bCs/>
              <w:sz w:val="28"/>
              <w:szCs w:val="28"/>
            </w:rPr>
            <w:t>（三</w:t>
          </w:r>
          <w:r>
            <w:rPr>
              <w:rFonts w:hint="eastAsia" w:ascii="仿宋" w:hAnsi="仿宋" w:eastAsia="仿宋" w:cs="仿宋"/>
              <w:bCs/>
              <w:sz w:val="28"/>
              <w:szCs w:val="28"/>
              <w:lang w:eastAsia="zh-CN"/>
            </w:rPr>
            <w:t>）</w:t>
          </w:r>
          <w:r>
            <w:rPr>
              <w:rFonts w:hint="eastAsia" w:ascii="仿宋" w:hAnsi="仿宋" w:eastAsia="仿宋" w:cs="仿宋"/>
              <w:bCs/>
              <w:sz w:val="28"/>
              <w:szCs w:val="28"/>
            </w:rPr>
            <w:t>公正公开原则</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_Toc26257 \h </w:instrText>
          </w:r>
          <w:r>
            <w:rPr>
              <w:rFonts w:hint="eastAsia" w:ascii="仿宋" w:hAnsi="仿宋" w:eastAsia="仿宋" w:cs="仿宋"/>
              <w:sz w:val="28"/>
              <w:szCs w:val="28"/>
            </w:rPr>
            <w:fldChar w:fldCharType="separate"/>
          </w:r>
          <w:r>
            <w:rPr>
              <w:rFonts w:hint="eastAsia" w:ascii="仿宋" w:hAnsi="仿宋" w:eastAsia="仿宋" w:cs="仿宋"/>
              <w:sz w:val="28"/>
              <w:szCs w:val="28"/>
            </w:rPr>
            <w:t>10</w:t>
          </w:r>
          <w:r>
            <w:rPr>
              <w:rFonts w:hint="eastAsia" w:ascii="仿宋" w:hAnsi="仿宋" w:eastAsia="仿宋" w:cs="仿宋"/>
              <w:sz w:val="28"/>
              <w:szCs w:val="28"/>
            </w:rPr>
            <w:fldChar w:fldCharType="end"/>
          </w:r>
          <w:r>
            <w:rPr>
              <w:rFonts w:hint="eastAsia" w:ascii="仿宋" w:hAnsi="仿宋" w:eastAsia="仿宋" w:cs="仿宋"/>
              <w:sz w:val="28"/>
              <w:szCs w:val="28"/>
              <w:lang w:val="zh-CN"/>
            </w:rPr>
            <w:fldChar w:fldCharType="end"/>
          </w:r>
        </w:p>
        <w:p>
          <w:pPr>
            <w:pStyle w:val="5"/>
            <w:pageBreakBefore w:val="0"/>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lang w:val="zh-CN"/>
            </w:rPr>
            <w:fldChar w:fldCharType="begin"/>
          </w:r>
          <w:r>
            <w:rPr>
              <w:rFonts w:hint="eastAsia" w:ascii="仿宋" w:hAnsi="仿宋" w:eastAsia="仿宋" w:cs="仿宋"/>
              <w:sz w:val="28"/>
              <w:szCs w:val="28"/>
              <w:lang w:val="zh-CN"/>
            </w:rPr>
            <w:instrText xml:space="preserve"> HYPERLINK \l _Toc7389 </w:instrText>
          </w:r>
          <w:r>
            <w:rPr>
              <w:rFonts w:hint="eastAsia" w:ascii="仿宋" w:hAnsi="仿宋" w:eastAsia="仿宋" w:cs="仿宋"/>
              <w:sz w:val="28"/>
              <w:szCs w:val="28"/>
              <w:lang w:val="zh-CN"/>
            </w:rPr>
            <w:fldChar w:fldCharType="separate"/>
          </w:r>
          <w:r>
            <w:rPr>
              <w:rFonts w:hint="eastAsia" w:ascii="仿宋" w:hAnsi="仿宋" w:eastAsia="仿宋" w:cs="仿宋"/>
              <w:bCs/>
              <w:sz w:val="28"/>
              <w:szCs w:val="28"/>
            </w:rPr>
            <w:t>（四</w:t>
          </w:r>
          <w:r>
            <w:rPr>
              <w:rFonts w:hint="eastAsia" w:ascii="仿宋" w:hAnsi="仿宋" w:eastAsia="仿宋" w:cs="仿宋"/>
              <w:bCs/>
              <w:sz w:val="28"/>
              <w:szCs w:val="28"/>
              <w:lang w:eastAsia="zh-CN"/>
            </w:rPr>
            <w:t>）</w:t>
          </w:r>
          <w:r>
            <w:rPr>
              <w:rFonts w:hint="eastAsia" w:ascii="仿宋" w:hAnsi="仿宋" w:eastAsia="仿宋" w:cs="仿宋"/>
              <w:bCs/>
              <w:sz w:val="28"/>
              <w:szCs w:val="28"/>
            </w:rPr>
            <w:t>问题导向原则</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_Toc7389 \h </w:instrText>
          </w:r>
          <w:r>
            <w:rPr>
              <w:rFonts w:hint="eastAsia" w:ascii="仿宋" w:hAnsi="仿宋" w:eastAsia="仿宋" w:cs="仿宋"/>
              <w:sz w:val="28"/>
              <w:szCs w:val="28"/>
            </w:rPr>
            <w:fldChar w:fldCharType="separate"/>
          </w:r>
          <w:r>
            <w:rPr>
              <w:rFonts w:hint="eastAsia" w:ascii="仿宋" w:hAnsi="仿宋" w:eastAsia="仿宋" w:cs="仿宋"/>
              <w:sz w:val="28"/>
              <w:szCs w:val="28"/>
            </w:rPr>
            <w:t>10</w:t>
          </w:r>
          <w:r>
            <w:rPr>
              <w:rFonts w:hint="eastAsia" w:ascii="仿宋" w:hAnsi="仿宋" w:eastAsia="仿宋" w:cs="仿宋"/>
              <w:sz w:val="28"/>
              <w:szCs w:val="28"/>
            </w:rPr>
            <w:fldChar w:fldCharType="end"/>
          </w:r>
          <w:r>
            <w:rPr>
              <w:rFonts w:hint="eastAsia" w:ascii="仿宋" w:hAnsi="仿宋" w:eastAsia="仿宋" w:cs="仿宋"/>
              <w:sz w:val="28"/>
              <w:szCs w:val="28"/>
              <w:lang w:val="zh-CN"/>
            </w:rPr>
            <w:fldChar w:fldCharType="end"/>
          </w:r>
        </w:p>
        <w:p>
          <w:pPr>
            <w:pStyle w:val="5"/>
            <w:pageBreakBefore w:val="0"/>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lang w:val="zh-CN"/>
            </w:rPr>
            <w:fldChar w:fldCharType="begin"/>
          </w:r>
          <w:r>
            <w:rPr>
              <w:rFonts w:hint="eastAsia" w:ascii="仿宋" w:hAnsi="仿宋" w:eastAsia="仿宋" w:cs="仿宋"/>
              <w:sz w:val="28"/>
              <w:szCs w:val="28"/>
              <w:lang w:val="zh-CN"/>
            </w:rPr>
            <w:instrText xml:space="preserve"> HYPERLINK \l _Toc8416 </w:instrText>
          </w:r>
          <w:r>
            <w:rPr>
              <w:rFonts w:hint="eastAsia" w:ascii="仿宋" w:hAnsi="仿宋" w:eastAsia="仿宋" w:cs="仿宋"/>
              <w:sz w:val="28"/>
              <w:szCs w:val="28"/>
              <w:lang w:val="zh-CN"/>
            </w:rPr>
            <w:fldChar w:fldCharType="separate"/>
          </w:r>
          <w:r>
            <w:rPr>
              <w:rFonts w:hint="eastAsia" w:ascii="仿宋" w:hAnsi="仿宋" w:eastAsia="仿宋" w:cs="仿宋"/>
              <w:bCs/>
              <w:sz w:val="28"/>
              <w:szCs w:val="28"/>
            </w:rPr>
            <w:t>（五</w:t>
          </w:r>
          <w:r>
            <w:rPr>
              <w:rFonts w:hint="eastAsia" w:ascii="仿宋" w:hAnsi="仿宋" w:eastAsia="仿宋" w:cs="仿宋"/>
              <w:bCs/>
              <w:sz w:val="28"/>
              <w:szCs w:val="28"/>
              <w:lang w:eastAsia="zh-CN"/>
            </w:rPr>
            <w:t>）</w:t>
          </w:r>
          <w:r>
            <w:rPr>
              <w:rFonts w:hint="eastAsia" w:ascii="仿宋" w:hAnsi="仿宋" w:eastAsia="仿宋" w:cs="仿宋"/>
              <w:bCs/>
              <w:sz w:val="28"/>
              <w:szCs w:val="28"/>
            </w:rPr>
            <w:t>绩效相关原则</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_Toc8416 \h </w:instrText>
          </w:r>
          <w:r>
            <w:rPr>
              <w:rFonts w:hint="eastAsia" w:ascii="仿宋" w:hAnsi="仿宋" w:eastAsia="仿宋" w:cs="仿宋"/>
              <w:sz w:val="28"/>
              <w:szCs w:val="28"/>
            </w:rPr>
            <w:fldChar w:fldCharType="separate"/>
          </w:r>
          <w:r>
            <w:rPr>
              <w:rFonts w:hint="eastAsia" w:ascii="仿宋" w:hAnsi="仿宋" w:eastAsia="仿宋" w:cs="仿宋"/>
              <w:sz w:val="28"/>
              <w:szCs w:val="28"/>
            </w:rPr>
            <w:t>10</w:t>
          </w:r>
          <w:r>
            <w:rPr>
              <w:rFonts w:hint="eastAsia" w:ascii="仿宋" w:hAnsi="仿宋" w:eastAsia="仿宋" w:cs="仿宋"/>
              <w:sz w:val="28"/>
              <w:szCs w:val="28"/>
            </w:rPr>
            <w:fldChar w:fldCharType="end"/>
          </w:r>
          <w:r>
            <w:rPr>
              <w:rFonts w:hint="eastAsia" w:ascii="仿宋" w:hAnsi="仿宋" w:eastAsia="仿宋" w:cs="仿宋"/>
              <w:sz w:val="28"/>
              <w:szCs w:val="28"/>
              <w:lang w:val="zh-CN"/>
            </w:rPr>
            <w:fldChar w:fldCharType="end"/>
          </w:r>
        </w:p>
        <w:p>
          <w:pPr>
            <w:pStyle w:val="9"/>
            <w:pageBreakBefore w:val="0"/>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lang w:val="zh-CN"/>
            </w:rPr>
            <w:fldChar w:fldCharType="begin"/>
          </w:r>
          <w:r>
            <w:rPr>
              <w:rFonts w:hint="eastAsia" w:ascii="仿宋" w:hAnsi="仿宋" w:eastAsia="仿宋" w:cs="仿宋"/>
              <w:sz w:val="28"/>
              <w:szCs w:val="28"/>
              <w:lang w:val="zh-CN"/>
            </w:rPr>
            <w:instrText xml:space="preserve"> HYPERLINK \l _Toc13016 </w:instrText>
          </w:r>
          <w:r>
            <w:rPr>
              <w:rFonts w:hint="eastAsia" w:ascii="仿宋" w:hAnsi="仿宋" w:eastAsia="仿宋" w:cs="仿宋"/>
              <w:sz w:val="28"/>
              <w:szCs w:val="28"/>
              <w:lang w:val="zh-CN"/>
            </w:rPr>
            <w:fldChar w:fldCharType="separate"/>
          </w:r>
          <w:r>
            <w:rPr>
              <w:rFonts w:hint="eastAsia" w:ascii="仿宋" w:hAnsi="仿宋" w:eastAsia="仿宋" w:cs="仿宋"/>
              <w:bCs/>
              <w:sz w:val="28"/>
              <w:szCs w:val="28"/>
            </w:rPr>
            <w:t>六、评价指标体系</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_Toc13016 \h </w:instrText>
          </w:r>
          <w:r>
            <w:rPr>
              <w:rFonts w:hint="eastAsia" w:ascii="仿宋" w:hAnsi="仿宋" w:eastAsia="仿宋" w:cs="仿宋"/>
              <w:sz w:val="28"/>
              <w:szCs w:val="28"/>
            </w:rPr>
            <w:fldChar w:fldCharType="separate"/>
          </w:r>
          <w:r>
            <w:rPr>
              <w:rFonts w:hint="eastAsia" w:ascii="仿宋" w:hAnsi="仿宋" w:eastAsia="仿宋" w:cs="仿宋"/>
              <w:sz w:val="28"/>
              <w:szCs w:val="28"/>
            </w:rPr>
            <w:t>11</w:t>
          </w:r>
          <w:r>
            <w:rPr>
              <w:rFonts w:hint="eastAsia" w:ascii="仿宋" w:hAnsi="仿宋" w:eastAsia="仿宋" w:cs="仿宋"/>
              <w:sz w:val="28"/>
              <w:szCs w:val="28"/>
            </w:rPr>
            <w:fldChar w:fldCharType="end"/>
          </w:r>
          <w:r>
            <w:rPr>
              <w:rFonts w:hint="eastAsia" w:ascii="仿宋" w:hAnsi="仿宋" w:eastAsia="仿宋" w:cs="仿宋"/>
              <w:sz w:val="28"/>
              <w:szCs w:val="28"/>
              <w:lang w:val="zh-CN"/>
            </w:rPr>
            <w:fldChar w:fldCharType="end"/>
          </w:r>
        </w:p>
        <w:p>
          <w:pPr>
            <w:pStyle w:val="9"/>
            <w:pageBreakBefore w:val="0"/>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lang w:val="zh-CN"/>
            </w:rPr>
            <w:fldChar w:fldCharType="begin"/>
          </w:r>
          <w:r>
            <w:rPr>
              <w:rFonts w:hint="eastAsia" w:ascii="仿宋" w:hAnsi="仿宋" w:eastAsia="仿宋" w:cs="仿宋"/>
              <w:sz w:val="28"/>
              <w:szCs w:val="28"/>
              <w:lang w:val="zh-CN"/>
            </w:rPr>
            <w:instrText xml:space="preserve"> HYPERLINK \l _Toc21324 </w:instrText>
          </w:r>
          <w:r>
            <w:rPr>
              <w:rFonts w:hint="eastAsia" w:ascii="仿宋" w:hAnsi="仿宋" w:eastAsia="仿宋" w:cs="仿宋"/>
              <w:sz w:val="28"/>
              <w:szCs w:val="28"/>
              <w:lang w:val="zh-CN"/>
            </w:rPr>
            <w:fldChar w:fldCharType="separate"/>
          </w:r>
          <w:r>
            <w:rPr>
              <w:rFonts w:hint="eastAsia" w:ascii="仿宋" w:hAnsi="仿宋" w:eastAsia="仿宋" w:cs="仿宋"/>
              <w:bCs/>
              <w:sz w:val="28"/>
              <w:szCs w:val="28"/>
            </w:rPr>
            <w:t>七、评价方法</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_Toc21324 \h </w:instrText>
          </w:r>
          <w:r>
            <w:rPr>
              <w:rFonts w:hint="eastAsia" w:ascii="仿宋" w:hAnsi="仿宋" w:eastAsia="仿宋" w:cs="仿宋"/>
              <w:sz w:val="28"/>
              <w:szCs w:val="28"/>
            </w:rPr>
            <w:fldChar w:fldCharType="separate"/>
          </w:r>
          <w:r>
            <w:rPr>
              <w:rFonts w:hint="eastAsia" w:ascii="仿宋" w:hAnsi="仿宋" w:eastAsia="仿宋" w:cs="仿宋"/>
              <w:sz w:val="28"/>
              <w:szCs w:val="28"/>
            </w:rPr>
            <w:t>12</w:t>
          </w:r>
          <w:r>
            <w:rPr>
              <w:rFonts w:hint="eastAsia" w:ascii="仿宋" w:hAnsi="仿宋" w:eastAsia="仿宋" w:cs="仿宋"/>
              <w:sz w:val="28"/>
              <w:szCs w:val="28"/>
            </w:rPr>
            <w:fldChar w:fldCharType="end"/>
          </w:r>
          <w:r>
            <w:rPr>
              <w:rFonts w:hint="eastAsia" w:ascii="仿宋" w:hAnsi="仿宋" w:eastAsia="仿宋" w:cs="仿宋"/>
              <w:sz w:val="28"/>
              <w:szCs w:val="28"/>
              <w:lang w:val="zh-CN"/>
            </w:rPr>
            <w:fldChar w:fldCharType="end"/>
          </w:r>
        </w:p>
        <w:p>
          <w:pPr>
            <w:pStyle w:val="5"/>
            <w:pageBreakBefore w:val="0"/>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lang w:val="zh-CN"/>
            </w:rPr>
            <w:fldChar w:fldCharType="begin"/>
          </w:r>
          <w:r>
            <w:rPr>
              <w:rFonts w:hint="eastAsia" w:ascii="仿宋" w:hAnsi="仿宋" w:eastAsia="仿宋" w:cs="仿宋"/>
              <w:sz w:val="28"/>
              <w:szCs w:val="28"/>
              <w:lang w:val="zh-CN"/>
            </w:rPr>
            <w:instrText xml:space="preserve"> HYPERLINK \l _Toc2569 </w:instrText>
          </w:r>
          <w:r>
            <w:rPr>
              <w:rFonts w:hint="eastAsia" w:ascii="仿宋" w:hAnsi="仿宋" w:eastAsia="仿宋" w:cs="仿宋"/>
              <w:sz w:val="28"/>
              <w:szCs w:val="28"/>
              <w:lang w:val="zh-CN"/>
            </w:rPr>
            <w:fldChar w:fldCharType="separate"/>
          </w:r>
          <w:r>
            <w:rPr>
              <w:rFonts w:hint="eastAsia" w:ascii="仿宋" w:hAnsi="仿宋" w:eastAsia="仿宋" w:cs="仿宋"/>
              <w:bCs/>
              <w:sz w:val="28"/>
              <w:szCs w:val="28"/>
            </w:rPr>
            <w:t>（一</w:t>
          </w:r>
          <w:r>
            <w:rPr>
              <w:rFonts w:hint="eastAsia" w:ascii="仿宋" w:hAnsi="仿宋" w:eastAsia="仿宋" w:cs="仿宋"/>
              <w:bCs/>
              <w:sz w:val="28"/>
              <w:szCs w:val="28"/>
              <w:lang w:eastAsia="zh-CN"/>
            </w:rPr>
            <w:t>）</w:t>
          </w:r>
          <w:r>
            <w:rPr>
              <w:rFonts w:hint="eastAsia" w:ascii="仿宋" w:hAnsi="仿宋" w:eastAsia="仿宋" w:cs="仿宋"/>
              <w:bCs/>
              <w:sz w:val="28"/>
              <w:szCs w:val="28"/>
            </w:rPr>
            <w:t>成效分析法</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_Toc2569 \h </w:instrText>
          </w:r>
          <w:r>
            <w:rPr>
              <w:rFonts w:hint="eastAsia" w:ascii="仿宋" w:hAnsi="仿宋" w:eastAsia="仿宋" w:cs="仿宋"/>
              <w:sz w:val="28"/>
              <w:szCs w:val="28"/>
            </w:rPr>
            <w:fldChar w:fldCharType="separate"/>
          </w:r>
          <w:r>
            <w:rPr>
              <w:rFonts w:hint="eastAsia" w:ascii="仿宋" w:hAnsi="仿宋" w:eastAsia="仿宋" w:cs="仿宋"/>
              <w:sz w:val="28"/>
              <w:szCs w:val="28"/>
            </w:rPr>
            <w:t>12</w:t>
          </w:r>
          <w:r>
            <w:rPr>
              <w:rFonts w:hint="eastAsia" w:ascii="仿宋" w:hAnsi="仿宋" w:eastAsia="仿宋" w:cs="仿宋"/>
              <w:sz w:val="28"/>
              <w:szCs w:val="28"/>
            </w:rPr>
            <w:fldChar w:fldCharType="end"/>
          </w:r>
          <w:r>
            <w:rPr>
              <w:rFonts w:hint="eastAsia" w:ascii="仿宋" w:hAnsi="仿宋" w:eastAsia="仿宋" w:cs="仿宋"/>
              <w:sz w:val="28"/>
              <w:szCs w:val="28"/>
              <w:lang w:val="zh-CN"/>
            </w:rPr>
            <w:fldChar w:fldCharType="end"/>
          </w:r>
        </w:p>
        <w:p>
          <w:pPr>
            <w:pStyle w:val="5"/>
            <w:pageBreakBefore w:val="0"/>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lang w:val="zh-CN"/>
            </w:rPr>
            <w:fldChar w:fldCharType="begin"/>
          </w:r>
          <w:r>
            <w:rPr>
              <w:rFonts w:hint="eastAsia" w:ascii="仿宋" w:hAnsi="仿宋" w:eastAsia="仿宋" w:cs="仿宋"/>
              <w:sz w:val="28"/>
              <w:szCs w:val="28"/>
              <w:lang w:val="zh-CN"/>
            </w:rPr>
            <w:instrText xml:space="preserve"> HYPERLINK \l _Toc26163 </w:instrText>
          </w:r>
          <w:r>
            <w:rPr>
              <w:rFonts w:hint="eastAsia" w:ascii="仿宋" w:hAnsi="仿宋" w:eastAsia="仿宋" w:cs="仿宋"/>
              <w:sz w:val="28"/>
              <w:szCs w:val="28"/>
              <w:lang w:val="zh-CN"/>
            </w:rPr>
            <w:fldChar w:fldCharType="separate"/>
          </w:r>
          <w:r>
            <w:rPr>
              <w:rFonts w:hint="eastAsia" w:ascii="仿宋" w:hAnsi="仿宋" w:eastAsia="仿宋" w:cs="仿宋"/>
              <w:bCs/>
              <w:sz w:val="28"/>
              <w:szCs w:val="28"/>
            </w:rPr>
            <w:t>（二</w:t>
          </w:r>
          <w:r>
            <w:rPr>
              <w:rFonts w:hint="eastAsia" w:ascii="仿宋" w:hAnsi="仿宋" w:eastAsia="仿宋" w:cs="仿宋"/>
              <w:bCs/>
              <w:sz w:val="28"/>
              <w:szCs w:val="28"/>
              <w:lang w:eastAsia="zh-CN"/>
            </w:rPr>
            <w:t>）</w:t>
          </w:r>
          <w:r>
            <w:rPr>
              <w:rFonts w:hint="eastAsia" w:ascii="仿宋" w:hAnsi="仿宋" w:eastAsia="仿宋" w:cs="仿宋"/>
              <w:bCs/>
              <w:sz w:val="28"/>
              <w:szCs w:val="28"/>
            </w:rPr>
            <w:t>比较法</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_Toc26163 \h </w:instrText>
          </w:r>
          <w:r>
            <w:rPr>
              <w:rFonts w:hint="eastAsia" w:ascii="仿宋" w:hAnsi="仿宋" w:eastAsia="仿宋" w:cs="仿宋"/>
              <w:sz w:val="28"/>
              <w:szCs w:val="28"/>
            </w:rPr>
            <w:fldChar w:fldCharType="separate"/>
          </w:r>
          <w:r>
            <w:rPr>
              <w:rFonts w:hint="eastAsia" w:ascii="仿宋" w:hAnsi="仿宋" w:eastAsia="仿宋" w:cs="仿宋"/>
              <w:sz w:val="28"/>
              <w:szCs w:val="28"/>
            </w:rPr>
            <w:t>12</w:t>
          </w:r>
          <w:r>
            <w:rPr>
              <w:rFonts w:hint="eastAsia" w:ascii="仿宋" w:hAnsi="仿宋" w:eastAsia="仿宋" w:cs="仿宋"/>
              <w:sz w:val="28"/>
              <w:szCs w:val="28"/>
            </w:rPr>
            <w:fldChar w:fldCharType="end"/>
          </w:r>
          <w:r>
            <w:rPr>
              <w:rFonts w:hint="eastAsia" w:ascii="仿宋" w:hAnsi="仿宋" w:eastAsia="仿宋" w:cs="仿宋"/>
              <w:sz w:val="28"/>
              <w:szCs w:val="28"/>
              <w:lang w:val="zh-CN"/>
            </w:rPr>
            <w:fldChar w:fldCharType="end"/>
          </w:r>
        </w:p>
        <w:p>
          <w:pPr>
            <w:pStyle w:val="5"/>
            <w:pageBreakBefore w:val="0"/>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lang w:val="zh-CN"/>
            </w:rPr>
            <w:fldChar w:fldCharType="begin"/>
          </w:r>
          <w:r>
            <w:rPr>
              <w:rFonts w:hint="eastAsia" w:ascii="仿宋" w:hAnsi="仿宋" w:eastAsia="仿宋" w:cs="仿宋"/>
              <w:sz w:val="28"/>
              <w:szCs w:val="28"/>
              <w:lang w:val="zh-CN"/>
            </w:rPr>
            <w:instrText xml:space="preserve"> HYPERLINK \l _Toc13954 </w:instrText>
          </w:r>
          <w:r>
            <w:rPr>
              <w:rFonts w:hint="eastAsia" w:ascii="仿宋" w:hAnsi="仿宋" w:eastAsia="仿宋" w:cs="仿宋"/>
              <w:sz w:val="28"/>
              <w:szCs w:val="28"/>
              <w:lang w:val="zh-CN"/>
            </w:rPr>
            <w:fldChar w:fldCharType="separate"/>
          </w:r>
          <w:r>
            <w:rPr>
              <w:rFonts w:hint="eastAsia" w:ascii="仿宋" w:hAnsi="仿宋" w:eastAsia="仿宋" w:cs="仿宋"/>
              <w:bCs/>
              <w:sz w:val="28"/>
              <w:szCs w:val="28"/>
            </w:rPr>
            <w:t>（三</w:t>
          </w:r>
          <w:r>
            <w:rPr>
              <w:rFonts w:hint="eastAsia" w:ascii="仿宋" w:hAnsi="仿宋" w:eastAsia="仿宋" w:cs="仿宋"/>
              <w:bCs/>
              <w:sz w:val="28"/>
              <w:szCs w:val="28"/>
              <w:lang w:eastAsia="zh-CN"/>
            </w:rPr>
            <w:t>）</w:t>
          </w:r>
          <w:r>
            <w:rPr>
              <w:rFonts w:hint="eastAsia" w:ascii="仿宋" w:hAnsi="仿宋" w:eastAsia="仿宋" w:cs="仿宋"/>
              <w:bCs/>
              <w:sz w:val="28"/>
              <w:szCs w:val="28"/>
            </w:rPr>
            <w:t>案卷研究法</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_Toc13954 \h </w:instrText>
          </w:r>
          <w:r>
            <w:rPr>
              <w:rFonts w:hint="eastAsia" w:ascii="仿宋" w:hAnsi="仿宋" w:eastAsia="仿宋" w:cs="仿宋"/>
              <w:sz w:val="28"/>
              <w:szCs w:val="28"/>
            </w:rPr>
            <w:fldChar w:fldCharType="separate"/>
          </w:r>
          <w:r>
            <w:rPr>
              <w:rFonts w:hint="eastAsia" w:ascii="仿宋" w:hAnsi="仿宋" w:eastAsia="仿宋" w:cs="仿宋"/>
              <w:sz w:val="28"/>
              <w:szCs w:val="28"/>
            </w:rPr>
            <w:t>12</w:t>
          </w:r>
          <w:r>
            <w:rPr>
              <w:rFonts w:hint="eastAsia" w:ascii="仿宋" w:hAnsi="仿宋" w:eastAsia="仿宋" w:cs="仿宋"/>
              <w:sz w:val="28"/>
              <w:szCs w:val="28"/>
            </w:rPr>
            <w:fldChar w:fldCharType="end"/>
          </w:r>
          <w:r>
            <w:rPr>
              <w:rFonts w:hint="eastAsia" w:ascii="仿宋" w:hAnsi="仿宋" w:eastAsia="仿宋" w:cs="仿宋"/>
              <w:sz w:val="28"/>
              <w:szCs w:val="28"/>
              <w:lang w:val="zh-CN"/>
            </w:rPr>
            <w:fldChar w:fldCharType="end"/>
          </w:r>
        </w:p>
        <w:p>
          <w:pPr>
            <w:pStyle w:val="5"/>
            <w:pageBreakBefore w:val="0"/>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lang w:val="zh-CN"/>
            </w:rPr>
            <w:fldChar w:fldCharType="begin"/>
          </w:r>
          <w:r>
            <w:rPr>
              <w:rFonts w:hint="eastAsia" w:ascii="仿宋" w:hAnsi="仿宋" w:eastAsia="仿宋" w:cs="仿宋"/>
              <w:sz w:val="28"/>
              <w:szCs w:val="28"/>
              <w:lang w:val="zh-CN"/>
            </w:rPr>
            <w:instrText xml:space="preserve"> HYPERLINK \l _Toc9565 </w:instrText>
          </w:r>
          <w:r>
            <w:rPr>
              <w:rFonts w:hint="eastAsia" w:ascii="仿宋" w:hAnsi="仿宋" w:eastAsia="仿宋" w:cs="仿宋"/>
              <w:sz w:val="28"/>
              <w:szCs w:val="28"/>
              <w:lang w:val="zh-CN"/>
            </w:rPr>
            <w:fldChar w:fldCharType="separate"/>
          </w:r>
          <w:r>
            <w:rPr>
              <w:rFonts w:hint="eastAsia" w:ascii="仿宋" w:hAnsi="仿宋" w:eastAsia="仿宋" w:cs="仿宋"/>
              <w:bCs/>
              <w:sz w:val="28"/>
              <w:szCs w:val="28"/>
            </w:rPr>
            <w:t>（</w:t>
          </w:r>
          <w:r>
            <w:rPr>
              <w:rFonts w:hint="eastAsia" w:ascii="仿宋" w:hAnsi="仿宋" w:eastAsia="仿宋" w:cs="仿宋"/>
              <w:bCs/>
              <w:sz w:val="28"/>
              <w:szCs w:val="28"/>
              <w:lang w:val="en-US" w:eastAsia="zh-CN"/>
            </w:rPr>
            <w:t>四</w:t>
          </w:r>
          <w:r>
            <w:rPr>
              <w:rFonts w:hint="eastAsia" w:ascii="仿宋" w:hAnsi="仿宋" w:eastAsia="仿宋" w:cs="仿宋"/>
              <w:bCs/>
              <w:sz w:val="28"/>
              <w:szCs w:val="28"/>
              <w:lang w:eastAsia="zh-CN"/>
            </w:rPr>
            <w:t>）</w:t>
          </w:r>
          <w:r>
            <w:rPr>
              <w:rFonts w:hint="eastAsia" w:ascii="仿宋" w:hAnsi="仿宋" w:eastAsia="仿宋" w:cs="仿宋"/>
              <w:bCs/>
              <w:sz w:val="28"/>
              <w:szCs w:val="28"/>
            </w:rPr>
            <w:t>公众评判法</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_Toc9565 \h </w:instrText>
          </w:r>
          <w:r>
            <w:rPr>
              <w:rFonts w:hint="eastAsia" w:ascii="仿宋" w:hAnsi="仿宋" w:eastAsia="仿宋" w:cs="仿宋"/>
              <w:sz w:val="28"/>
              <w:szCs w:val="28"/>
            </w:rPr>
            <w:fldChar w:fldCharType="separate"/>
          </w:r>
          <w:r>
            <w:rPr>
              <w:rFonts w:hint="eastAsia" w:ascii="仿宋" w:hAnsi="仿宋" w:eastAsia="仿宋" w:cs="仿宋"/>
              <w:sz w:val="28"/>
              <w:szCs w:val="28"/>
            </w:rPr>
            <w:t>13</w:t>
          </w:r>
          <w:r>
            <w:rPr>
              <w:rFonts w:hint="eastAsia" w:ascii="仿宋" w:hAnsi="仿宋" w:eastAsia="仿宋" w:cs="仿宋"/>
              <w:sz w:val="28"/>
              <w:szCs w:val="28"/>
            </w:rPr>
            <w:fldChar w:fldCharType="end"/>
          </w:r>
          <w:r>
            <w:rPr>
              <w:rFonts w:hint="eastAsia" w:ascii="仿宋" w:hAnsi="仿宋" w:eastAsia="仿宋" w:cs="仿宋"/>
              <w:sz w:val="28"/>
              <w:szCs w:val="28"/>
              <w:lang w:val="zh-CN"/>
            </w:rPr>
            <w:fldChar w:fldCharType="end"/>
          </w:r>
        </w:p>
        <w:p>
          <w:pPr>
            <w:pStyle w:val="9"/>
            <w:pageBreakBefore w:val="0"/>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lang w:val="zh-CN"/>
            </w:rPr>
            <w:fldChar w:fldCharType="begin"/>
          </w:r>
          <w:r>
            <w:rPr>
              <w:rFonts w:hint="eastAsia" w:ascii="仿宋" w:hAnsi="仿宋" w:eastAsia="仿宋" w:cs="仿宋"/>
              <w:sz w:val="28"/>
              <w:szCs w:val="28"/>
              <w:lang w:val="zh-CN"/>
            </w:rPr>
            <w:instrText xml:space="preserve"> HYPERLINK \l _Toc20201 </w:instrText>
          </w:r>
          <w:r>
            <w:rPr>
              <w:rFonts w:hint="eastAsia" w:ascii="仿宋" w:hAnsi="仿宋" w:eastAsia="仿宋" w:cs="仿宋"/>
              <w:sz w:val="28"/>
              <w:szCs w:val="28"/>
              <w:lang w:val="zh-CN"/>
            </w:rPr>
            <w:fldChar w:fldCharType="separate"/>
          </w:r>
          <w:r>
            <w:rPr>
              <w:rFonts w:hint="eastAsia" w:ascii="仿宋" w:hAnsi="仿宋" w:eastAsia="仿宋" w:cs="仿宋"/>
              <w:bCs/>
              <w:sz w:val="28"/>
              <w:szCs w:val="28"/>
            </w:rPr>
            <w:t>八、评价标准</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_Toc20201 \h </w:instrText>
          </w:r>
          <w:r>
            <w:rPr>
              <w:rFonts w:hint="eastAsia" w:ascii="仿宋" w:hAnsi="仿宋" w:eastAsia="仿宋" w:cs="仿宋"/>
              <w:sz w:val="28"/>
              <w:szCs w:val="28"/>
            </w:rPr>
            <w:fldChar w:fldCharType="separate"/>
          </w:r>
          <w:r>
            <w:rPr>
              <w:rFonts w:hint="eastAsia" w:ascii="仿宋" w:hAnsi="仿宋" w:eastAsia="仿宋" w:cs="仿宋"/>
              <w:sz w:val="28"/>
              <w:szCs w:val="28"/>
            </w:rPr>
            <w:t>13</w:t>
          </w:r>
          <w:r>
            <w:rPr>
              <w:rFonts w:hint="eastAsia" w:ascii="仿宋" w:hAnsi="仿宋" w:eastAsia="仿宋" w:cs="仿宋"/>
              <w:sz w:val="28"/>
              <w:szCs w:val="28"/>
            </w:rPr>
            <w:fldChar w:fldCharType="end"/>
          </w:r>
          <w:r>
            <w:rPr>
              <w:rFonts w:hint="eastAsia" w:ascii="仿宋" w:hAnsi="仿宋" w:eastAsia="仿宋" w:cs="仿宋"/>
              <w:sz w:val="28"/>
              <w:szCs w:val="28"/>
              <w:lang w:val="zh-CN"/>
            </w:rPr>
            <w:fldChar w:fldCharType="end"/>
          </w:r>
        </w:p>
        <w:p>
          <w:pPr>
            <w:pStyle w:val="5"/>
            <w:pageBreakBefore w:val="0"/>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lang w:val="zh-CN"/>
            </w:rPr>
            <w:fldChar w:fldCharType="begin"/>
          </w:r>
          <w:r>
            <w:rPr>
              <w:rFonts w:hint="eastAsia" w:ascii="仿宋" w:hAnsi="仿宋" w:eastAsia="仿宋" w:cs="仿宋"/>
              <w:sz w:val="28"/>
              <w:szCs w:val="28"/>
              <w:lang w:val="zh-CN"/>
            </w:rPr>
            <w:instrText xml:space="preserve"> HYPERLINK \l _Toc28576 </w:instrText>
          </w:r>
          <w:r>
            <w:rPr>
              <w:rFonts w:hint="eastAsia" w:ascii="仿宋" w:hAnsi="仿宋" w:eastAsia="仿宋" w:cs="仿宋"/>
              <w:sz w:val="28"/>
              <w:szCs w:val="28"/>
              <w:lang w:val="zh-CN"/>
            </w:rPr>
            <w:fldChar w:fldCharType="separate"/>
          </w:r>
          <w:r>
            <w:rPr>
              <w:rFonts w:hint="eastAsia" w:ascii="仿宋" w:hAnsi="仿宋" w:eastAsia="仿宋" w:cs="仿宋"/>
              <w:bCs/>
              <w:sz w:val="28"/>
              <w:szCs w:val="28"/>
            </w:rPr>
            <w:t>（一</w:t>
          </w:r>
          <w:r>
            <w:rPr>
              <w:rFonts w:hint="eastAsia" w:ascii="仿宋" w:hAnsi="仿宋" w:eastAsia="仿宋" w:cs="仿宋"/>
              <w:bCs/>
              <w:sz w:val="28"/>
              <w:szCs w:val="28"/>
              <w:lang w:eastAsia="zh-CN"/>
            </w:rPr>
            <w:t>）</w:t>
          </w:r>
          <w:r>
            <w:rPr>
              <w:rFonts w:hint="eastAsia" w:ascii="仿宋" w:hAnsi="仿宋" w:eastAsia="仿宋" w:cs="仿宋"/>
              <w:bCs/>
              <w:sz w:val="28"/>
              <w:szCs w:val="28"/>
            </w:rPr>
            <w:t>评价标准</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_Toc28576 \h </w:instrText>
          </w:r>
          <w:r>
            <w:rPr>
              <w:rFonts w:hint="eastAsia" w:ascii="仿宋" w:hAnsi="仿宋" w:eastAsia="仿宋" w:cs="仿宋"/>
              <w:sz w:val="28"/>
              <w:szCs w:val="28"/>
            </w:rPr>
            <w:fldChar w:fldCharType="separate"/>
          </w:r>
          <w:r>
            <w:rPr>
              <w:rFonts w:hint="eastAsia" w:ascii="仿宋" w:hAnsi="仿宋" w:eastAsia="仿宋" w:cs="仿宋"/>
              <w:sz w:val="28"/>
              <w:szCs w:val="28"/>
            </w:rPr>
            <w:t>13</w:t>
          </w:r>
          <w:r>
            <w:rPr>
              <w:rFonts w:hint="eastAsia" w:ascii="仿宋" w:hAnsi="仿宋" w:eastAsia="仿宋" w:cs="仿宋"/>
              <w:sz w:val="28"/>
              <w:szCs w:val="28"/>
            </w:rPr>
            <w:fldChar w:fldCharType="end"/>
          </w:r>
          <w:r>
            <w:rPr>
              <w:rFonts w:hint="eastAsia" w:ascii="仿宋" w:hAnsi="仿宋" w:eastAsia="仿宋" w:cs="仿宋"/>
              <w:sz w:val="28"/>
              <w:szCs w:val="28"/>
              <w:lang w:val="zh-CN"/>
            </w:rPr>
            <w:fldChar w:fldCharType="end"/>
          </w:r>
        </w:p>
        <w:p>
          <w:pPr>
            <w:pStyle w:val="5"/>
            <w:pageBreakBefore w:val="0"/>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lang w:val="zh-CN"/>
            </w:rPr>
            <w:fldChar w:fldCharType="begin"/>
          </w:r>
          <w:r>
            <w:rPr>
              <w:rFonts w:hint="eastAsia" w:ascii="仿宋" w:hAnsi="仿宋" w:eastAsia="仿宋" w:cs="仿宋"/>
              <w:sz w:val="28"/>
              <w:szCs w:val="28"/>
              <w:lang w:val="zh-CN"/>
            </w:rPr>
            <w:instrText xml:space="preserve"> HYPERLINK \l _Toc30297 </w:instrText>
          </w:r>
          <w:r>
            <w:rPr>
              <w:rFonts w:hint="eastAsia" w:ascii="仿宋" w:hAnsi="仿宋" w:eastAsia="仿宋" w:cs="仿宋"/>
              <w:sz w:val="28"/>
              <w:szCs w:val="28"/>
              <w:lang w:val="zh-CN"/>
            </w:rPr>
            <w:fldChar w:fldCharType="separate"/>
          </w:r>
          <w:r>
            <w:rPr>
              <w:rFonts w:hint="eastAsia" w:ascii="仿宋" w:hAnsi="仿宋" w:eastAsia="仿宋" w:cs="仿宋"/>
              <w:bCs/>
              <w:sz w:val="28"/>
              <w:szCs w:val="28"/>
            </w:rPr>
            <w:t>（二</w:t>
          </w:r>
          <w:r>
            <w:rPr>
              <w:rFonts w:hint="eastAsia" w:ascii="仿宋" w:hAnsi="仿宋" w:eastAsia="仿宋" w:cs="仿宋"/>
              <w:bCs/>
              <w:sz w:val="28"/>
              <w:szCs w:val="28"/>
              <w:lang w:eastAsia="zh-CN"/>
            </w:rPr>
            <w:t>）</w:t>
          </w:r>
          <w:r>
            <w:rPr>
              <w:rFonts w:hint="eastAsia" w:ascii="仿宋" w:hAnsi="仿宋" w:eastAsia="仿宋" w:cs="仿宋"/>
              <w:bCs/>
              <w:sz w:val="28"/>
              <w:szCs w:val="28"/>
            </w:rPr>
            <w:t>评价依据</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_Toc30297 \h </w:instrText>
          </w:r>
          <w:r>
            <w:rPr>
              <w:rFonts w:hint="eastAsia" w:ascii="仿宋" w:hAnsi="仿宋" w:eastAsia="仿宋" w:cs="仿宋"/>
              <w:sz w:val="28"/>
              <w:szCs w:val="28"/>
            </w:rPr>
            <w:fldChar w:fldCharType="separate"/>
          </w:r>
          <w:r>
            <w:rPr>
              <w:rFonts w:hint="eastAsia" w:ascii="仿宋" w:hAnsi="仿宋" w:eastAsia="仿宋" w:cs="仿宋"/>
              <w:sz w:val="28"/>
              <w:szCs w:val="28"/>
            </w:rPr>
            <w:t>14</w:t>
          </w:r>
          <w:r>
            <w:rPr>
              <w:rFonts w:hint="eastAsia" w:ascii="仿宋" w:hAnsi="仿宋" w:eastAsia="仿宋" w:cs="仿宋"/>
              <w:sz w:val="28"/>
              <w:szCs w:val="28"/>
            </w:rPr>
            <w:fldChar w:fldCharType="end"/>
          </w:r>
          <w:r>
            <w:rPr>
              <w:rFonts w:hint="eastAsia" w:ascii="仿宋" w:hAnsi="仿宋" w:eastAsia="仿宋" w:cs="仿宋"/>
              <w:sz w:val="28"/>
              <w:szCs w:val="28"/>
              <w:lang w:val="zh-CN"/>
            </w:rPr>
            <w:fldChar w:fldCharType="end"/>
          </w:r>
        </w:p>
        <w:p>
          <w:pPr>
            <w:pStyle w:val="9"/>
            <w:pageBreakBefore w:val="0"/>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lang w:val="zh-CN"/>
            </w:rPr>
            <w:fldChar w:fldCharType="begin"/>
          </w:r>
          <w:r>
            <w:rPr>
              <w:rFonts w:hint="eastAsia" w:ascii="仿宋" w:hAnsi="仿宋" w:eastAsia="仿宋" w:cs="仿宋"/>
              <w:sz w:val="28"/>
              <w:szCs w:val="28"/>
              <w:lang w:val="zh-CN"/>
            </w:rPr>
            <w:instrText xml:space="preserve"> HYPERLINK \l _Toc9412 </w:instrText>
          </w:r>
          <w:r>
            <w:rPr>
              <w:rFonts w:hint="eastAsia" w:ascii="仿宋" w:hAnsi="仿宋" w:eastAsia="仿宋" w:cs="仿宋"/>
              <w:sz w:val="28"/>
              <w:szCs w:val="28"/>
              <w:lang w:val="zh-CN"/>
            </w:rPr>
            <w:fldChar w:fldCharType="separate"/>
          </w:r>
          <w:r>
            <w:rPr>
              <w:rFonts w:hint="eastAsia" w:ascii="仿宋" w:hAnsi="仿宋" w:eastAsia="仿宋" w:cs="仿宋"/>
              <w:bCs/>
              <w:sz w:val="28"/>
              <w:szCs w:val="28"/>
            </w:rPr>
            <w:t>九、评价开展过程</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_Toc9412 \h </w:instrText>
          </w:r>
          <w:r>
            <w:rPr>
              <w:rFonts w:hint="eastAsia" w:ascii="仿宋" w:hAnsi="仿宋" w:eastAsia="仿宋" w:cs="仿宋"/>
              <w:sz w:val="28"/>
              <w:szCs w:val="28"/>
            </w:rPr>
            <w:fldChar w:fldCharType="separate"/>
          </w:r>
          <w:r>
            <w:rPr>
              <w:rFonts w:hint="eastAsia" w:ascii="仿宋" w:hAnsi="仿宋" w:eastAsia="仿宋" w:cs="仿宋"/>
              <w:sz w:val="28"/>
              <w:szCs w:val="28"/>
            </w:rPr>
            <w:t>15</w:t>
          </w:r>
          <w:r>
            <w:rPr>
              <w:rFonts w:hint="eastAsia" w:ascii="仿宋" w:hAnsi="仿宋" w:eastAsia="仿宋" w:cs="仿宋"/>
              <w:sz w:val="28"/>
              <w:szCs w:val="28"/>
            </w:rPr>
            <w:fldChar w:fldCharType="end"/>
          </w:r>
          <w:r>
            <w:rPr>
              <w:rFonts w:hint="eastAsia" w:ascii="仿宋" w:hAnsi="仿宋" w:eastAsia="仿宋" w:cs="仿宋"/>
              <w:sz w:val="28"/>
              <w:szCs w:val="28"/>
              <w:lang w:val="zh-CN"/>
            </w:rPr>
            <w:fldChar w:fldCharType="end"/>
          </w:r>
        </w:p>
        <w:p>
          <w:pPr>
            <w:pStyle w:val="5"/>
            <w:pageBreakBefore w:val="0"/>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lang w:val="zh-CN"/>
            </w:rPr>
            <w:fldChar w:fldCharType="begin"/>
          </w:r>
          <w:r>
            <w:rPr>
              <w:rFonts w:hint="eastAsia" w:ascii="仿宋" w:hAnsi="仿宋" w:eastAsia="仿宋" w:cs="仿宋"/>
              <w:sz w:val="28"/>
              <w:szCs w:val="28"/>
              <w:lang w:val="zh-CN"/>
            </w:rPr>
            <w:instrText xml:space="preserve"> HYPERLINK \l _Toc6702 </w:instrText>
          </w:r>
          <w:r>
            <w:rPr>
              <w:rFonts w:hint="eastAsia" w:ascii="仿宋" w:hAnsi="仿宋" w:eastAsia="仿宋" w:cs="仿宋"/>
              <w:sz w:val="28"/>
              <w:szCs w:val="28"/>
              <w:lang w:val="zh-CN"/>
            </w:rPr>
            <w:fldChar w:fldCharType="separate"/>
          </w:r>
          <w:r>
            <w:rPr>
              <w:rFonts w:hint="eastAsia" w:ascii="仿宋" w:hAnsi="仿宋" w:eastAsia="仿宋" w:cs="仿宋"/>
              <w:bCs/>
              <w:sz w:val="28"/>
              <w:szCs w:val="28"/>
            </w:rPr>
            <w:t>（一</w:t>
          </w:r>
          <w:r>
            <w:rPr>
              <w:rFonts w:hint="eastAsia" w:ascii="仿宋" w:hAnsi="仿宋" w:eastAsia="仿宋" w:cs="仿宋"/>
              <w:bCs/>
              <w:sz w:val="28"/>
              <w:szCs w:val="28"/>
              <w:lang w:eastAsia="zh-CN"/>
            </w:rPr>
            <w:t>）</w:t>
          </w:r>
          <w:r>
            <w:rPr>
              <w:rFonts w:hint="eastAsia" w:ascii="仿宋" w:hAnsi="仿宋" w:eastAsia="仿宋" w:cs="仿宋"/>
              <w:bCs/>
              <w:sz w:val="28"/>
              <w:szCs w:val="28"/>
            </w:rPr>
            <w:t>前期准备阶段</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_Toc6702 \h </w:instrText>
          </w:r>
          <w:r>
            <w:rPr>
              <w:rFonts w:hint="eastAsia" w:ascii="仿宋" w:hAnsi="仿宋" w:eastAsia="仿宋" w:cs="仿宋"/>
              <w:sz w:val="28"/>
              <w:szCs w:val="28"/>
            </w:rPr>
            <w:fldChar w:fldCharType="separate"/>
          </w:r>
          <w:r>
            <w:rPr>
              <w:rFonts w:hint="eastAsia" w:ascii="仿宋" w:hAnsi="仿宋" w:eastAsia="仿宋" w:cs="仿宋"/>
              <w:sz w:val="28"/>
              <w:szCs w:val="28"/>
            </w:rPr>
            <w:t>15</w:t>
          </w:r>
          <w:r>
            <w:rPr>
              <w:rFonts w:hint="eastAsia" w:ascii="仿宋" w:hAnsi="仿宋" w:eastAsia="仿宋" w:cs="仿宋"/>
              <w:sz w:val="28"/>
              <w:szCs w:val="28"/>
            </w:rPr>
            <w:fldChar w:fldCharType="end"/>
          </w:r>
          <w:r>
            <w:rPr>
              <w:rFonts w:hint="eastAsia" w:ascii="仿宋" w:hAnsi="仿宋" w:eastAsia="仿宋" w:cs="仿宋"/>
              <w:sz w:val="28"/>
              <w:szCs w:val="28"/>
              <w:lang w:val="zh-CN"/>
            </w:rPr>
            <w:fldChar w:fldCharType="end"/>
          </w:r>
        </w:p>
        <w:p>
          <w:pPr>
            <w:pStyle w:val="5"/>
            <w:pageBreakBefore w:val="0"/>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lang w:val="zh-CN"/>
            </w:rPr>
            <w:fldChar w:fldCharType="begin"/>
          </w:r>
          <w:r>
            <w:rPr>
              <w:rFonts w:hint="eastAsia" w:ascii="仿宋" w:hAnsi="仿宋" w:eastAsia="仿宋" w:cs="仿宋"/>
              <w:sz w:val="28"/>
              <w:szCs w:val="28"/>
              <w:lang w:val="zh-CN"/>
            </w:rPr>
            <w:instrText xml:space="preserve"> HYPERLINK \l _Toc7841 </w:instrText>
          </w:r>
          <w:r>
            <w:rPr>
              <w:rFonts w:hint="eastAsia" w:ascii="仿宋" w:hAnsi="仿宋" w:eastAsia="仿宋" w:cs="仿宋"/>
              <w:sz w:val="28"/>
              <w:szCs w:val="28"/>
              <w:lang w:val="zh-CN"/>
            </w:rPr>
            <w:fldChar w:fldCharType="separate"/>
          </w:r>
          <w:r>
            <w:rPr>
              <w:rFonts w:hint="eastAsia" w:ascii="仿宋" w:hAnsi="仿宋" w:eastAsia="仿宋" w:cs="仿宋"/>
              <w:bCs/>
              <w:sz w:val="28"/>
              <w:szCs w:val="28"/>
            </w:rPr>
            <w:t>（二</w:t>
          </w:r>
          <w:r>
            <w:rPr>
              <w:rFonts w:hint="eastAsia" w:ascii="仿宋" w:hAnsi="仿宋" w:eastAsia="仿宋" w:cs="仿宋"/>
              <w:bCs/>
              <w:sz w:val="28"/>
              <w:szCs w:val="28"/>
              <w:lang w:eastAsia="zh-CN"/>
            </w:rPr>
            <w:t>）</w:t>
          </w:r>
          <w:r>
            <w:rPr>
              <w:rFonts w:hint="eastAsia" w:ascii="仿宋" w:hAnsi="仿宋" w:eastAsia="仿宋" w:cs="仿宋"/>
              <w:bCs/>
              <w:sz w:val="28"/>
              <w:szCs w:val="28"/>
            </w:rPr>
            <w:t>组织实施阶段</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_Toc7841 \h </w:instrText>
          </w:r>
          <w:r>
            <w:rPr>
              <w:rFonts w:hint="eastAsia" w:ascii="仿宋" w:hAnsi="仿宋" w:eastAsia="仿宋" w:cs="仿宋"/>
              <w:sz w:val="28"/>
              <w:szCs w:val="28"/>
            </w:rPr>
            <w:fldChar w:fldCharType="separate"/>
          </w:r>
          <w:r>
            <w:rPr>
              <w:rFonts w:hint="eastAsia" w:ascii="仿宋" w:hAnsi="仿宋" w:eastAsia="仿宋" w:cs="仿宋"/>
              <w:sz w:val="28"/>
              <w:szCs w:val="28"/>
            </w:rPr>
            <w:t>16</w:t>
          </w:r>
          <w:r>
            <w:rPr>
              <w:rFonts w:hint="eastAsia" w:ascii="仿宋" w:hAnsi="仿宋" w:eastAsia="仿宋" w:cs="仿宋"/>
              <w:sz w:val="28"/>
              <w:szCs w:val="28"/>
            </w:rPr>
            <w:fldChar w:fldCharType="end"/>
          </w:r>
          <w:r>
            <w:rPr>
              <w:rFonts w:hint="eastAsia" w:ascii="仿宋" w:hAnsi="仿宋" w:eastAsia="仿宋" w:cs="仿宋"/>
              <w:sz w:val="28"/>
              <w:szCs w:val="28"/>
              <w:lang w:val="zh-CN"/>
            </w:rPr>
            <w:fldChar w:fldCharType="end"/>
          </w:r>
        </w:p>
        <w:p>
          <w:pPr>
            <w:pStyle w:val="5"/>
            <w:pageBreakBefore w:val="0"/>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lang w:val="zh-CN"/>
            </w:rPr>
            <w:fldChar w:fldCharType="begin"/>
          </w:r>
          <w:r>
            <w:rPr>
              <w:rFonts w:hint="eastAsia" w:ascii="仿宋" w:hAnsi="仿宋" w:eastAsia="仿宋" w:cs="仿宋"/>
              <w:sz w:val="28"/>
              <w:szCs w:val="28"/>
              <w:lang w:val="zh-CN"/>
            </w:rPr>
            <w:instrText xml:space="preserve"> HYPERLINK \l _Toc28451 </w:instrText>
          </w:r>
          <w:r>
            <w:rPr>
              <w:rFonts w:hint="eastAsia" w:ascii="仿宋" w:hAnsi="仿宋" w:eastAsia="仿宋" w:cs="仿宋"/>
              <w:sz w:val="28"/>
              <w:szCs w:val="28"/>
              <w:lang w:val="zh-CN"/>
            </w:rPr>
            <w:fldChar w:fldCharType="separate"/>
          </w:r>
          <w:r>
            <w:rPr>
              <w:rFonts w:hint="eastAsia" w:ascii="仿宋" w:hAnsi="仿宋" w:eastAsia="仿宋" w:cs="仿宋"/>
              <w:bCs/>
              <w:sz w:val="28"/>
              <w:szCs w:val="28"/>
            </w:rPr>
            <w:t>（三</w:t>
          </w:r>
          <w:r>
            <w:rPr>
              <w:rFonts w:hint="eastAsia" w:ascii="仿宋" w:hAnsi="仿宋" w:eastAsia="仿宋" w:cs="仿宋"/>
              <w:bCs/>
              <w:sz w:val="28"/>
              <w:szCs w:val="28"/>
              <w:lang w:eastAsia="zh-CN"/>
            </w:rPr>
            <w:t>）</w:t>
          </w:r>
          <w:r>
            <w:rPr>
              <w:rFonts w:hint="eastAsia" w:ascii="仿宋" w:hAnsi="仿宋" w:eastAsia="仿宋" w:cs="仿宋"/>
              <w:bCs/>
              <w:sz w:val="28"/>
              <w:szCs w:val="28"/>
            </w:rPr>
            <w:t>报告形成阶段</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_Toc28451 \h </w:instrText>
          </w:r>
          <w:r>
            <w:rPr>
              <w:rFonts w:hint="eastAsia" w:ascii="仿宋" w:hAnsi="仿宋" w:eastAsia="仿宋" w:cs="仿宋"/>
              <w:sz w:val="28"/>
              <w:szCs w:val="28"/>
            </w:rPr>
            <w:fldChar w:fldCharType="separate"/>
          </w:r>
          <w:r>
            <w:rPr>
              <w:rFonts w:hint="eastAsia" w:ascii="仿宋" w:hAnsi="仿宋" w:eastAsia="仿宋" w:cs="仿宋"/>
              <w:sz w:val="28"/>
              <w:szCs w:val="28"/>
            </w:rPr>
            <w:t>16</w:t>
          </w:r>
          <w:r>
            <w:rPr>
              <w:rFonts w:hint="eastAsia" w:ascii="仿宋" w:hAnsi="仿宋" w:eastAsia="仿宋" w:cs="仿宋"/>
              <w:sz w:val="28"/>
              <w:szCs w:val="28"/>
            </w:rPr>
            <w:fldChar w:fldCharType="end"/>
          </w:r>
          <w:r>
            <w:rPr>
              <w:rFonts w:hint="eastAsia" w:ascii="仿宋" w:hAnsi="仿宋" w:eastAsia="仿宋" w:cs="仿宋"/>
              <w:sz w:val="28"/>
              <w:szCs w:val="28"/>
              <w:lang w:val="zh-CN"/>
            </w:rPr>
            <w:fldChar w:fldCharType="end"/>
          </w:r>
        </w:p>
        <w:p>
          <w:pPr>
            <w:pStyle w:val="8"/>
            <w:pageBreakBefore w:val="0"/>
            <w:tabs>
              <w:tab w:val="right" w:leader="dot" w:pos="8306"/>
              <w:tab w:val="clear" w:pos="8296"/>
            </w:tabs>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lang w:val="zh-CN"/>
            </w:rPr>
            <w:fldChar w:fldCharType="begin"/>
          </w:r>
          <w:r>
            <w:rPr>
              <w:rFonts w:hint="eastAsia" w:ascii="仿宋" w:hAnsi="仿宋" w:eastAsia="仿宋" w:cs="仿宋"/>
              <w:sz w:val="28"/>
              <w:szCs w:val="28"/>
              <w:lang w:val="zh-CN"/>
            </w:rPr>
            <w:instrText xml:space="preserve"> HYPERLINK \l _Toc63 </w:instrText>
          </w:r>
          <w:r>
            <w:rPr>
              <w:rFonts w:hint="eastAsia" w:ascii="仿宋" w:hAnsi="仿宋" w:eastAsia="仿宋" w:cs="仿宋"/>
              <w:sz w:val="28"/>
              <w:szCs w:val="28"/>
              <w:lang w:val="zh-CN"/>
            </w:rPr>
            <w:fldChar w:fldCharType="separate"/>
          </w:r>
          <w:r>
            <w:rPr>
              <w:rFonts w:hint="eastAsia" w:ascii="仿宋" w:hAnsi="仿宋" w:eastAsia="仿宋" w:cs="仿宋"/>
              <w:bCs/>
              <w:sz w:val="28"/>
              <w:szCs w:val="28"/>
            </w:rPr>
            <w:t>第三部分 绩效评价结果</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_Toc63 \h </w:instrText>
          </w:r>
          <w:r>
            <w:rPr>
              <w:rFonts w:hint="eastAsia" w:ascii="仿宋" w:hAnsi="仿宋" w:eastAsia="仿宋" w:cs="仿宋"/>
              <w:sz w:val="28"/>
              <w:szCs w:val="28"/>
            </w:rPr>
            <w:fldChar w:fldCharType="separate"/>
          </w:r>
          <w:r>
            <w:rPr>
              <w:rFonts w:hint="eastAsia" w:ascii="仿宋" w:hAnsi="仿宋" w:eastAsia="仿宋" w:cs="仿宋"/>
              <w:sz w:val="28"/>
              <w:szCs w:val="28"/>
            </w:rPr>
            <w:t>18</w:t>
          </w:r>
          <w:r>
            <w:rPr>
              <w:rFonts w:hint="eastAsia" w:ascii="仿宋" w:hAnsi="仿宋" w:eastAsia="仿宋" w:cs="仿宋"/>
              <w:sz w:val="28"/>
              <w:szCs w:val="28"/>
            </w:rPr>
            <w:fldChar w:fldCharType="end"/>
          </w:r>
          <w:r>
            <w:rPr>
              <w:rFonts w:hint="eastAsia" w:ascii="仿宋" w:hAnsi="仿宋" w:eastAsia="仿宋" w:cs="仿宋"/>
              <w:sz w:val="28"/>
              <w:szCs w:val="28"/>
              <w:lang w:val="zh-CN"/>
            </w:rPr>
            <w:fldChar w:fldCharType="end"/>
          </w:r>
        </w:p>
        <w:p>
          <w:pPr>
            <w:pStyle w:val="9"/>
            <w:pageBreakBefore w:val="0"/>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lang w:val="zh-CN"/>
            </w:rPr>
            <w:fldChar w:fldCharType="begin"/>
          </w:r>
          <w:r>
            <w:rPr>
              <w:rFonts w:hint="eastAsia" w:ascii="仿宋" w:hAnsi="仿宋" w:eastAsia="仿宋" w:cs="仿宋"/>
              <w:sz w:val="28"/>
              <w:szCs w:val="28"/>
              <w:lang w:val="zh-CN"/>
            </w:rPr>
            <w:instrText xml:space="preserve"> HYPERLINK \l _Toc12399 </w:instrText>
          </w:r>
          <w:r>
            <w:rPr>
              <w:rFonts w:hint="eastAsia" w:ascii="仿宋" w:hAnsi="仿宋" w:eastAsia="仿宋" w:cs="仿宋"/>
              <w:sz w:val="28"/>
              <w:szCs w:val="28"/>
              <w:lang w:val="zh-CN"/>
            </w:rPr>
            <w:fldChar w:fldCharType="separate"/>
          </w:r>
          <w:r>
            <w:rPr>
              <w:rFonts w:hint="eastAsia" w:ascii="仿宋" w:hAnsi="仿宋" w:eastAsia="仿宋" w:cs="仿宋"/>
              <w:bCs/>
              <w:sz w:val="28"/>
              <w:szCs w:val="28"/>
            </w:rPr>
            <w:t>一、绩效评价得分情况</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_Toc12399 \h </w:instrText>
          </w:r>
          <w:r>
            <w:rPr>
              <w:rFonts w:hint="eastAsia" w:ascii="仿宋" w:hAnsi="仿宋" w:eastAsia="仿宋" w:cs="仿宋"/>
              <w:sz w:val="28"/>
              <w:szCs w:val="28"/>
            </w:rPr>
            <w:fldChar w:fldCharType="separate"/>
          </w:r>
          <w:r>
            <w:rPr>
              <w:rFonts w:hint="eastAsia" w:ascii="仿宋" w:hAnsi="仿宋" w:eastAsia="仿宋" w:cs="仿宋"/>
              <w:sz w:val="28"/>
              <w:szCs w:val="28"/>
            </w:rPr>
            <w:t>18</w:t>
          </w:r>
          <w:r>
            <w:rPr>
              <w:rFonts w:hint="eastAsia" w:ascii="仿宋" w:hAnsi="仿宋" w:eastAsia="仿宋" w:cs="仿宋"/>
              <w:sz w:val="28"/>
              <w:szCs w:val="28"/>
            </w:rPr>
            <w:fldChar w:fldCharType="end"/>
          </w:r>
          <w:r>
            <w:rPr>
              <w:rFonts w:hint="eastAsia" w:ascii="仿宋" w:hAnsi="仿宋" w:eastAsia="仿宋" w:cs="仿宋"/>
              <w:sz w:val="28"/>
              <w:szCs w:val="28"/>
              <w:lang w:val="zh-CN"/>
            </w:rPr>
            <w:fldChar w:fldCharType="end"/>
          </w:r>
        </w:p>
        <w:p>
          <w:pPr>
            <w:pStyle w:val="9"/>
            <w:pageBreakBefore w:val="0"/>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lang w:val="zh-CN"/>
            </w:rPr>
            <w:fldChar w:fldCharType="begin"/>
          </w:r>
          <w:r>
            <w:rPr>
              <w:rFonts w:hint="eastAsia" w:ascii="仿宋" w:hAnsi="仿宋" w:eastAsia="仿宋" w:cs="仿宋"/>
              <w:sz w:val="28"/>
              <w:szCs w:val="28"/>
              <w:lang w:val="zh-CN"/>
            </w:rPr>
            <w:instrText xml:space="preserve"> HYPERLINK \l _Toc29444 </w:instrText>
          </w:r>
          <w:r>
            <w:rPr>
              <w:rFonts w:hint="eastAsia" w:ascii="仿宋" w:hAnsi="仿宋" w:eastAsia="仿宋" w:cs="仿宋"/>
              <w:sz w:val="28"/>
              <w:szCs w:val="28"/>
              <w:lang w:val="zh-CN"/>
            </w:rPr>
            <w:fldChar w:fldCharType="separate"/>
          </w:r>
          <w:r>
            <w:rPr>
              <w:rFonts w:hint="eastAsia" w:ascii="仿宋" w:hAnsi="仿宋" w:eastAsia="仿宋" w:cs="仿宋"/>
              <w:bCs/>
              <w:sz w:val="28"/>
              <w:szCs w:val="28"/>
            </w:rPr>
            <w:t>二、绩效评价指标分析</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_Toc29444 \h </w:instrText>
          </w:r>
          <w:r>
            <w:rPr>
              <w:rFonts w:hint="eastAsia" w:ascii="仿宋" w:hAnsi="仿宋" w:eastAsia="仿宋" w:cs="仿宋"/>
              <w:sz w:val="28"/>
              <w:szCs w:val="28"/>
            </w:rPr>
            <w:fldChar w:fldCharType="separate"/>
          </w:r>
          <w:r>
            <w:rPr>
              <w:rFonts w:hint="eastAsia" w:ascii="仿宋" w:hAnsi="仿宋" w:eastAsia="仿宋" w:cs="仿宋"/>
              <w:sz w:val="28"/>
              <w:szCs w:val="28"/>
            </w:rPr>
            <w:t>18</w:t>
          </w:r>
          <w:r>
            <w:rPr>
              <w:rFonts w:hint="eastAsia" w:ascii="仿宋" w:hAnsi="仿宋" w:eastAsia="仿宋" w:cs="仿宋"/>
              <w:sz w:val="28"/>
              <w:szCs w:val="28"/>
            </w:rPr>
            <w:fldChar w:fldCharType="end"/>
          </w:r>
          <w:r>
            <w:rPr>
              <w:rFonts w:hint="eastAsia" w:ascii="仿宋" w:hAnsi="仿宋" w:eastAsia="仿宋" w:cs="仿宋"/>
              <w:sz w:val="28"/>
              <w:szCs w:val="28"/>
              <w:lang w:val="zh-CN"/>
            </w:rPr>
            <w:fldChar w:fldCharType="end"/>
          </w:r>
        </w:p>
        <w:p>
          <w:pPr>
            <w:pStyle w:val="5"/>
            <w:pageBreakBefore w:val="0"/>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lang w:val="zh-CN"/>
            </w:rPr>
            <w:fldChar w:fldCharType="begin"/>
          </w:r>
          <w:r>
            <w:rPr>
              <w:rFonts w:hint="eastAsia" w:ascii="仿宋" w:hAnsi="仿宋" w:eastAsia="仿宋" w:cs="仿宋"/>
              <w:sz w:val="28"/>
              <w:szCs w:val="28"/>
              <w:lang w:val="zh-CN"/>
            </w:rPr>
            <w:instrText xml:space="preserve"> HYPERLINK \l _Toc30919 </w:instrText>
          </w:r>
          <w:r>
            <w:rPr>
              <w:rFonts w:hint="eastAsia" w:ascii="仿宋" w:hAnsi="仿宋" w:eastAsia="仿宋" w:cs="仿宋"/>
              <w:sz w:val="28"/>
              <w:szCs w:val="28"/>
              <w:lang w:val="zh-CN"/>
            </w:rPr>
            <w:fldChar w:fldCharType="separate"/>
          </w:r>
          <w:r>
            <w:rPr>
              <w:rFonts w:hint="eastAsia" w:ascii="仿宋" w:hAnsi="仿宋" w:eastAsia="仿宋" w:cs="仿宋"/>
              <w:bCs/>
              <w:sz w:val="28"/>
              <w:szCs w:val="28"/>
            </w:rPr>
            <w:t>（一</w:t>
          </w:r>
          <w:r>
            <w:rPr>
              <w:rFonts w:hint="eastAsia" w:ascii="仿宋" w:hAnsi="仿宋" w:eastAsia="仿宋" w:cs="仿宋"/>
              <w:bCs/>
              <w:sz w:val="28"/>
              <w:szCs w:val="28"/>
              <w:lang w:eastAsia="zh-CN"/>
            </w:rPr>
            <w:t>）</w:t>
          </w:r>
          <w:r>
            <w:rPr>
              <w:rFonts w:hint="eastAsia" w:ascii="仿宋" w:hAnsi="仿宋" w:eastAsia="仿宋" w:cs="仿宋"/>
              <w:bCs/>
              <w:sz w:val="28"/>
              <w:szCs w:val="28"/>
            </w:rPr>
            <w:t>项目决策情况</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_Toc30919 \h </w:instrText>
          </w:r>
          <w:r>
            <w:rPr>
              <w:rFonts w:hint="eastAsia" w:ascii="仿宋" w:hAnsi="仿宋" w:eastAsia="仿宋" w:cs="仿宋"/>
              <w:sz w:val="28"/>
              <w:szCs w:val="28"/>
            </w:rPr>
            <w:fldChar w:fldCharType="separate"/>
          </w:r>
          <w:r>
            <w:rPr>
              <w:rFonts w:hint="eastAsia" w:ascii="仿宋" w:hAnsi="仿宋" w:eastAsia="仿宋" w:cs="仿宋"/>
              <w:sz w:val="28"/>
              <w:szCs w:val="28"/>
            </w:rPr>
            <w:t>19</w:t>
          </w:r>
          <w:r>
            <w:rPr>
              <w:rFonts w:hint="eastAsia" w:ascii="仿宋" w:hAnsi="仿宋" w:eastAsia="仿宋" w:cs="仿宋"/>
              <w:sz w:val="28"/>
              <w:szCs w:val="28"/>
            </w:rPr>
            <w:fldChar w:fldCharType="end"/>
          </w:r>
          <w:r>
            <w:rPr>
              <w:rFonts w:hint="eastAsia" w:ascii="仿宋" w:hAnsi="仿宋" w:eastAsia="仿宋" w:cs="仿宋"/>
              <w:sz w:val="28"/>
              <w:szCs w:val="28"/>
              <w:lang w:val="zh-CN"/>
            </w:rPr>
            <w:fldChar w:fldCharType="end"/>
          </w:r>
        </w:p>
        <w:p>
          <w:pPr>
            <w:pStyle w:val="5"/>
            <w:pageBreakBefore w:val="0"/>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lang w:val="zh-CN"/>
            </w:rPr>
            <w:fldChar w:fldCharType="begin"/>
          </w:r>
          <w:r>
            <w:rPr>
              <w:rFonts w:hint="eastAsia" w:ascii="仿宋" w:hAnsi="仿宋" w:eastAsia="仿宋" w:cs="仿宋"/>
              <w:sz w:val="28"/>
              <w:szCs w:val="28"/>
              <w:lang w:val="zh-CN"/>
            </w:rPr>
            <w:instrText xml:space="preserve"> HYPERLINK \l _Toc27177 </w:instrText>
          </w:r>
          <w:r>
            <w:rPr>
              <w:rFonts w:hint="eastAsia" w:ascii="仿宋" w:hAnsi="仿宋" w:eastAsia="仿宋" w:cs="仿宋"/>
              <w:sz w:val="28"/>
              <w:szCs w:val="28"/>
              <w:lang w:val="zh-CN"/>
            </w:rPr>
            <w:fldChar w:fldCharType="separate"/>
          </w:r>
          <w:r>
            <w:rPr>
              <w:rFonts w:hint="eastAsia" w:ascii="仿宋" w:hAnsi="仿宋" w:eastAsia="仿宋" w:cs="仿宋"/>
              <w:bCs/>
              <w:sz w:val="28"/>
              <w:szCs w:val="28"/>
            </w:rPr>
            <w:t>（二</w:t>
          </w:r>
          <w:r>
            <w:rPr>
              <w:rFonts w:hint="eastAsia" w:ascii="仿宋" w:hAnsi="仿宋" w:eastAsia="仿宋" w:cs="仿宋"/>
              <w:bCs/>
              <w:sz w:val="28"/>
              <w:szCs w:val="28"/>
              <w:lang w:eastAsia="zh-CN"/>
            </w:rPr>
            <w:t>）</w:t>
          </w:r>
          <w:r>
            <w:rPr>
              <w:rFonts w:hint="eastAsia" w:ascii="仿宋" w:hAnsi="仿宋" w:eastAsia="仿宋" w:cs="仿宋"/>
              <w:bCs/>
              <w:sz w:val="28"/>
              <w:szCs w:val="28"/>
            </w:rPr>
            <w:t>项目过程情况</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_Toc27177 \h </w:instrText>
          </w:r>
          <w:r>
            <w:rPr>
              <w:rFonts w:hint="eastAsia" w:ascii="仿宋" w:hAnsi="仿宋" w:eastAsia="仿宋" w:cs="仿宋"/>
              <w:sz w:val="28"/>
              <w:szCs w:val="28"/>
            </w:rPr>
            <w:fldChar w:fldCharType="separate"/>
          </w:r>
          <w:r>
            <w:rPr>
              <w:rFonts w:hint="eastAsia" w:ascii="仿宋" w:hAnsi="仿宋" w:eastAsia="仿宋" w:cs="仿宋"/>
              <w:sz w:val="28"/>
              <w:szCs w:val="28"/>
            </w:rPr>
            <w:t>20</w:t>
          </w:r>
          <w:r>
            <w:rPr>
              <w:rFonts w:hint="eastAsia" w:ascii="仿宋" w:hAnsi="仿宋" w:eastAsia="仿宋" w:cs="仿宋"/>
              <w:sz w:val="28"/>
              <w:szCs w:val="28"/>
            </w:rPr>
            <w:fldChar w:fldCharType="end"/>
          </w:r>
          <w:r>
            <w:rPr>
              <w:rFonts w:hint="eastAsia" w:ascii="仿宋" w:hAnsi="仿宋" w:eastAsia="仿宋" w:cs="仿宋"/>
              <w:sz w:val="28"/>
              <w:szCs w:val="28"/>
              <w:lang w:val="zh-CN"/>
            </w:rPr>
            <w:fldChar w:fldCharType="end"/>
          </w:r>
        </w:p>
        <w:p>
          <w:pPr>
            <w:pStyle w:val="5"/>
            <w:pageBreakBefore w:val="0"/>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lang w:val="zh-CN"/>
            </w:rPr>
            <w:fldChar w:fldCharType="begin"/>
          </w:r>
          <w:r>
            <w:rPr>
              <w:rFonts w:hint="eastAsia" w:ascii="仿宋" w:hAnsi="仿宋" w:eastAsia="仿宋" w:cs="仿宋"/>
              <w:sz w:val="28"/>
              <w:szCs w:val="28"/>
              <w:lang w:val="zh-CN"/>
            </w:rPr>
            <w:instrText xml:space="preserve"> HYPERLINK \l _Toc3181 </w:instrText>
          </w:r>
          <w:r>
            <w:rPr>
              <w:rFonts w:hint="eastAsia" w:ascii="仿宋" w:hAnsi="仿宋" w:eastAsia="仿宋" w:cs="仿宋"/>
              <w:sz w:val="28"/>
              <w:szCs w:val="28"/>
              <w:lang w:val="zh-CN"/>
            </w:rPr>
            <w:fldChar w:fldCharType="separate"/>
          </w:r>
          <w:r>
            <w:rPr>
              <w:rFonts w:hint="eastAsia" w:ascii="仿宋" w:hAnsi="仿宋" w:eastAsia="仿宋" w:cs="仿宋"/>
              <w:bCs/>
              <w:sz w:val="28"/>
              <w:szCs w:val="28"/>
            </w:rPr>
            <w:t>（三</w:t>
          </w:r>
          <w:r>
            <w:rPr>
              <w:rFonts w:hint="eastAsia" w:ascii="仿宋" w:hAnsi="仿宋" w:eastAsia="仿宋" w:cs="仿宋"/>
              <w:bCs/>
              <w:sz w:val="28"/>
              <w:szCs w:val="28"/>
              <w:lang w:eastAsia="zh-CN"/>
            </w:rPr>
            <w:t>）</w:t>
          </w:r>
          <w:r>
            <w:rPr>
              <w:rFonts w:hint="eastAsia" w:ascii="仿宋" w:hAnsi="仿宋" w:eastAsia="仿宋" w:cs="仿宋"/>
              <w:bCs/>
              <w:sz w:val="28"/>
              <w:szCs w:val="28"/>
            </w:rPr>
            <w:t>项目产出情况</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_Toc3181 \h </w:instrText>
          </w:r>
          <w:r>
            <w:rPr>
              <w:rFonts w:hint="eastAsia" w:ascii="仿宋" w:hAnsi="仿宋" w:eastAsia="仿宋" w:cs="仿宋"/>
              <w:sz w:val="28"/>
              <w:szCs w:val="28"/>
            </w:rPr>
            <w:fldChar w:fldCharType="separate"/>
          </w:r>
          <w:r>
            <w:rPr>
              <w:rFonts w:hint="eastAsia" w:ascii="仿宋" w:hAnsi="仿宋" w:eastAsia="仿宋" w:cs="仿宋"/>
              <w:sz w:val="28"/>
              <w:szCs w:val="28"/>
            </w:rPr>
            <w:t>20</w:t>
          </w:r>
          <w:r>
            <w:rPr>
              <w:rFonts w:hint="eastAsia" w:ascii="仿宋" w:hAnsi="仿宋" w:eastAsia="仿宋" w:cs="仿宋"/>
              <w:sz w:val="28"/>
              <w:szCs w:val="28"/>
            </w:rPr>
            <w:fldChar w:fldCharType="end"/>
          </w:r>
          <w:r>
            <w:rPr>
              <w:rFonts w:hint="eastAsia" w:ascii="仿宋" w:hAnsi="仿宋" w:eastAsia="仿宋" w:cs="仿宋"/>
              <w:sz w:val="28"/>
              <w:szCs w:val="28"/>
              <w:lang w:val="zh-CN"/>
            </w:rPr>
            <w:fldChar w:fldCharType="end"/>
          </w:r>
        </w:p>
        <w:p>
          <w:pPr>
            <w:pStyle w:val="5"/>
            <w:pageBreakBefore w:val="0"/>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lang w:val="zh-CN"/>
            </w:rPr>
            <w:fldChar w:fldCharType="begin"/>
          </w:r>
          <w:r>
            <w:rPr>
              <w:rFonts w:hint="eastAsia" w:ascii="仿宋" w:hAnsi="仿宋" w:eastAsia="仿宋" w:cs="仿宋"/>
              <w:sz w:val="28"/>
              <w:szCs w:val="28"/>
              <w:lang w:val="zh-CN"/>
            </w:rPr>
            <w:instrText xml:space="preserve"> HYPERLINK \l _Toc1813 </w:instrText>
          </w:r>
          <w:r>
            <w:rPr>
              <w:rFonts w:hint="eastAsia" w:ascii="仿宋" w:hAnsi="仿宋" w:eastAsia="仿宋" w:cs="仿宋"/>
              <w:sz w:val="28"/>
              <w:szCs w:val="28"/>
              <w:lang w:val="zh-CN"/>
            </w:rPr>
            <w:fldChar w:fldCharType="separate"/>
          </w:r>
          <w:r>
            <w:rPr>
              <w:rFonts w:hint="eastAsia" w:ascii="仿宋" w:hAnsi="仿宋" w:eastAsia="仿宋" w:cs="仿宋"/>
              <w:bCs/>
              <w:sz w:val="28"/>
              <w:szCs w:val="28"/>
            </w:rPr>
            <w:t>（四</w:t>
          </w:r>
          <w:r>
            <w:rPr>
              <w:rFonts w:hint="eastAsia" w:ascii="仿宋" w:hAnsi="仿宋" w:eastAsia="仿宋" w:cs="仿宋"/>
              <w:bCs/>
              <w:sz w:val="28"/>
              <w:szCs w:val="28"/>
              <w:lang w:eastAsia="zh-CN"/>
            </w:rPr>
            <w:t>）</w:t>
          </w:r>
          <w:r>
            <w:rPr>
              <w:rFonts w:hint="eastAsia" w:ascii="仿宋" w:hAnsi="仿宋" w:eastAsia="仿宋" w:cs="仿宋"/>
              <w:bCs/>
              <w:sz w:val="28"/>
              <w:szCs w:val="28"/>
            </w:rPr>
            <w:t>项目效益情况</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_Toc1813 \h </w:instrText>
          </w:r>
          <w:r>
            <w:rPr>
              <w:rFonts w:hint="eastAsia" w:ascii="仿宋" w:hAnsi="仿宋" w:eastAsia="仿宋" w:cs="仿宋"/>
              <w:sz w:val="28"/>
              <w:szCs w:val="28"/>
            </w:rPr>
            <w:fldChar w:fldCharType="separate"/>
          </w:r>
          <w:r>
            <w:rPr>
              <w:rFonts w:hint="eastAsia" w:ascii="仿宋" w:hAnsi="仿宋" w:eastAsia="仿宋" w:cs="仿宋"/>
              <w:sz w:val="28"/>
              <w:szCs w:val="28"/>
            </w:rPr>
            <w:t>21</w:t>
          </w:r>
          <w:r>
            <w:rPr>
              <w:rFonts w:hint="eastAsia" w:ascii="仿宋" w:hAnsi="仿宋" w:eastAsia="仿宋" w:cs="仿宋"/>
              <w:sz w:val="28"/>
              <w:szCs w:val="28"/>
            </w:rPr>
            <w:fldChar w:fldCharType="end"/>
          </w:r>
          <w:r>
            <w:rPr>
              <w:rFonts w:hint="eastAsia" w:ascii="仿宋" w:hAnsi="仿宋" w:eastAsia="仿宋" w:cs="仿宋"/>
              <w:sz w:val="28"/>
              <w:szCs w:val="28"/>
              <w:lang w:val="zh-CN"/>
            </w:rPr>
            <w:fldChar w:fldCharType="end"/>
          </w:r>
        </w:p>
        <w:p>
          <w:pPr>
            <w:pStyle w:val="8"/>
            <w:pageBreakBefore w:val="0"/>
            <w:tabs>
              <w:tab w:val="right" w:leader="dot" w:pos="8306"/>
              <w:tab w:val="clear" w:pos="8296"/>
            </w:tabs>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lang w:val="zh-CN"/>
            </w:rPr>
            <w:fldChar w:fldCharType="begin"/>
          </w:r>
          <w:r>
            <w:rPr>
              <w:rFonts w:hint="eastAsia" w:ascii="仿宋" w:hAnsi="仿宋" w:eastAsia="仿宋" w:cs="仿宋"/>
              <w:sz w:val="28"/>
              <w:szCs w:val="28"/>
              <w:lang w:val="zh-CN"/>
            </w:rPr>
            <w:instrText xml:space="preserve"> HYPERLINK \l _Toc25778 </w:instrText>
          </w:r>
          <w:r>
            <w:rPr>
              <w:rFonts w:hint="eastAsia" w:ascii="仿宋" w:hAnsi="仿宋" w:eastAsia="仿宋" w:cs="仿宋"/>
              <w:sz w:val="28"/>
              <w:szCs w:val="28"/>
              <w:lang w:val="zh-CN"/>
            </w:rPr>
            <w:fldChar w:fldCharType="separate"/>
          </w:r>
          <w:r>
            <w:rPr>
              <w:rFonts w:hint="eastAsia" w:ascii="仿宋" w:hAnsi="仿宋" w:eastAsia="仿宋" w:cs="仿宋"/>
              <w:bCs/>
              <w:sz w:val="28"/>
              <w:szCs w:val="28"/>
            </w:rPr>
            <w:t>第四部分 存在主要问题</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_Toc25778 \h </w:instrText>
          </w:r>
          <w:r>
            <w:rPr>
              <w:rFonts w:hint="eastAsia" w:ascii="仿宋" w:hAnsi="仿宋" w:eastAsia="仿宋" w:cs="仿宋"/>
              <w:sz w:val="28"/>
              <w:szCs w:val="28"/>
            </w:rPr>
            <w:fldChar w:fldCharType="separate"/>
          </w:r>
          <w:r>
            <w:rPr>
              <w:rFonts w:hint="eastAsia" w:ascii="仿宋" w:hAnsi="仿宋" w:eastAsia="仿宋" w:cs="仿宋"/>
              <w:sz w:val="28"/>
              <w:szCs w:val="28"/>
            </w:rPr>
            <w:t>23</w:t>
          </w:r>
          <w:r>
            <w:rPr>
              <w:rFonts w:hint="eastAsia" w:ascii="仿宋" w:hAnsi="仿宋" w:eastAsia="仿宋" w:cs="仿宋"/>
              <w:sz w:val="28"/>
              <w:szCs w:val="28"/>
            </w:rPr>
            <w:fldChar w:fldCharType="end"/>
          </w:r>
          <w:r>
            <w:rPr>
              <w:rFonts w:hint="eastAsia" w:ascii="仿宋" w:hAnsi="仿宋" w:eastAsia="仿宋" w:cs="仿宋"/>
              <w:sz w:val="28"/>
              <w:szCs w:val="28"/>
              <w:lang w:val="zh-CN"/>
            </w:rPr>
            <w:fldChar w:fldCharType="end"/>
          </w:r>
        </w:p>
        <w:p>
          <w:pPr>
            <w:pStyle w:val="9"/>
            <w:pageBreakBefore w:val="0"/>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lang w:val="zh-CN"/>
            </w:rPr>
            <w:fldChar w:fldCharType="begin"/>
          </w:r>
          <w:r>
            <w:rPr>
              <w:rFonts w:hint="eastAsia" w:ascii="仿宋" w:hAnsi="仿宋" w:eastAsia="仿宋" w:cs="仿宋"/>
              <w:sz w:val="28"/>
              <w:szCs w:val="28"/>
              <w:lang w:val="zh-CN"/>
            </w:rPr>
            <w:instrText xml:space="preserve"> HYPERLINK \l _Toc19789 </w:instrText>
          </w:r>
          <w:r>
            <w:rPr>
              <w:rFonts w:hint="eastAsia" w:ascii="仿宋" w:hAnsi="仿宋" w:eastAsia="仿宋" w:cs="仿宋"/>
              <w:sz w:val="28"/>
              <w:szCs w:val="28"/>
              <w:lang w:val="zh-CN"/>
            </w:rPr>
            <w:fldChar w:fldCharType="separate"/>
          </w:r>
          <w:r>
            <w:rPr>
              <w:rFonts w:hint="eastAsia" w:ascii="仿宋" w:hAnsi="仿宋" w:eastAsia="仿宋" w:cs="仿宋"/>
              <w:bCs/>
              <w:sz w:val="28"/>
              <w:szCs w:val="28"/>
            </w:rPr>
            <w:t>一、绩效</w:t>
          </w:r>
          <w:r>
            <w:rPr>
              <w:rFonts w:hint="eastAsia" w:ascii="仿宋" w:hAnsi="仿宋" w:eastAsia="仿宋" w:cs="仿宋"/>
              <w:bCs/>
              <w:sz w:val="28"/>
              <w:szCs w:val="28"/>
              <w:lang w:val="en-US" w:eastAsia="zh-CN"/>
            </w:rPr>
            <w:t>自评</w:t>
          </w:r>
          <w:r>
            <w:rPr>
              <w:rFonts w:hint="eastAsia" w:ascii="仿宋" w:hAnsi="仿宋" w:eastAsia="仿宋" w:cs="仿宋"/>
              <w:bCs/>
              <w:sz w:val="28"/>
              <w:szCs w:val="28"/>
            </w:rPr>
            <w:t>工作有待提高</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_Toc19789 \h </w:instrText>
          </w:r>
          <w:r>
            <w:rPr>
              <w:rFonts w:hint="eastAsia" w:ascii="仿宋" w:hAnsi="仿宋" w:eastAsia="仿宋" w:cs="仿宋"/>
              <w:sz w:val="28"/>
              <w:szCs w:val="28"/>
            </w:rPr>
            <w:fldChar w:fldCharType="separate"/>
          </w:r>
          <w:r>
            <w:rPr>
              <w:rFonts w:hint="eastAsia" w:ascii="仿宋" w:hAnsi="仿宋" w:eastAsia="仿宋" w:cs="仿宋"/>
              <w:sz w:val="28"/>
              <w:szCs w:val="28"/>
            </w:rPr>
            <w:t>23</w:t>
          </w:r>
          <w:r>
            <w:rPr>
              <w:rFonts w:hint="eastAsia" w:ascii="仿宋" w:hAnsi="仿宋" w:eastAsia="仿宋" w:cs="仿宋"/>
              <w:sz w:val="28"/>
              <w:szCs w:val="28"/>
            </w:rPr>
            <w:fldChar w:fldCharType="end"/>
          </w:r>
          <w:r>
            <w:rPr>
              <w:rFonts w:hint="eastAsia" w:ascii="仿宋" w:hAnsi="仿宋" w:eastAsia="仿宋" w:cs="仿宋"/>
              <w:sz w:val="28"/>
              <w:szCs w:val="28"/>
              <w:lang w:val="zh-CN"/>
            </w:rPr>
            <w:fldChar w:fldCharType="end"/>
          </w:r>
        </w:p>
        <w:p>
          <w:pPr>
            <w:pStyle w:val="9"/>
            <w:pageBreakBefore w:val="0"/>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lang w:val="zh-CN"/>
            </w:rPr>
            <w:fldChar w:fldCharType="begin"/>
          </w:r>
          <w:r>
            <w:rPr>
              <w:rFonts w:hint="eastAsia" w:ascii="仿宋" w:hAnsi="仿宋" w:eastAsia="仿宋" w:cs="仿宋"/>
              <w:sz w:val="28"/>
              <w:szCs w:val="28"/>
              <w:lang w:val="zh-CN"/>
            </w:rPr>
            <w:instrText xml:space="preserve"> HYPERLINK \l _Toc4249 </w:instrText>
          </w:r>
          <w:r>
            <w:rPr>
              <w:rFonts w:hint="eastAsia" w:ascii="仿宋" w:hAnsi="仿宋" w:eastAsia="仿宋" w:cs="仿宋"/>
              <w:sz w:val="28"/>
              <w:szCs w:val="28"/>
              <w:lang w:val="zh-CN"/>
            </w:rPr>
            <w:fldChar w:fldCharType="separate"/>
          </w:r>
          <w:r>
            <w:rPr>
              <w:rFonts w:hint="eastAsia" w:ascii="仿宋" w:hAnsi="仿宋" w:eastAsia="仿宋" w:cs="仿宋"/>
              <w:bCs/>
              <w:sz w:val="28"/>
              <w:szCs w:val="28"/>
            </w:rPr>
            <w:t>二、项目信息化管理有待加强</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_Toc4249 \h </w:instrText>
          </w:r>
          <w:r>
            <w:rPr>
              <w:rFonts w:hint="eastAsia" w:ascii="仿宋" w:hAnsi="仿宋" w:eastAsia="仿宋" w:cs="仿宋"/>
              <w:sz w:val="28"/>
              <w:szCs w:val="28"/>
            </w:rPr>
            <w:fldChar w:fldCharType="separate"/>
          </w:r>
          <w:r>
            <w:rPr>
              <w:rFonts w:hint="eastAsia" w:ascii="仿宋" w:hAnsi="仿宋" w:eastAsia="仿宋" w:cs="仿宋"/>
              <w:sz w:val="28"/>
              <w:szCs w:val="28"/>
            </w:rPr>
            <w:t>23</w:t>
          </w:r>
          <w:r>
            <w:rPr>
              <w:rFonts w:hint="eastAsia" w:ascii="仿宋" w:hAnsi="仿宋" w:eastAsia="仿宋" w:cs="仿宋"/>
              <w:sz w:val="28"/>
              <w:szCs w:val="28"/>
            </w:rPr>
            <w:fldChar w:fldCharType="end"/>
          </w:r>
          <w:r>
            <w:rPr>
              <w:rFonts w:hint="eastAsia" w:ascii="仿宋" w:hAnsi="仿宋" w:eastAsia="仿宋" w:cs="仿宋"/>
              <w:sz w:val="28"/>
              <w:szCs w:val="28"/>
              <w:lang w:val="zh-CN"/>
            </w:rPr>
            <w:fldChar w:fldCharType="end"/>
          </w:r>
        </w:p>
        <w:p>
          <w:pPr>
            <w:pStyle w:val="9"/>
            <w:pageBreakBefore w:val="0"/>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lang w:val="zh-CN"/>
            </w:rPr>
            <w:fldChar w:fldCharType="begin"/>
          </w:r>
          <w:r>
            <w:rPr>
              <w:rFonts w:hint="eastAsia" w:ascii="仿宋" w:hAnsi="仿宋" w:eastAsia="仿宋" w:cs="仿宋"/>
              <w:sz w:val="28"/>
              <w:szCs w:val="28"/>
              <w:lang w:val="zh-CN"/>
            </w:rPr>
            <w:instrText xml:space="preserve"> HYPERLINK \l _Toc2835 </w:instrText>
          </w:r>
          <w:r>
            <w:rPr>
              <w:rFonts w:hint="eastAsia" w:ascii="仿宋" w:hAnsi="仿宋" w:eastAsia="仿宋" w:cs="仿宋"/>
              <w:sz w:val="28"/>
              <w:szCs w:val="28"/>
              <w:lang w:val="zh-CN"/>
            </w:rPr>
            <w:fldChar w:fldCharType="separate"/>
          </w:r>
          <w:r>
            <w:rPr>
              <w:rFonts w:hint="eastAsia" w:ascii="仿宋" w:hAnsi="仿宋" w:eastAsia="仿宋" w:cs="仿宋"/>
              <w:bCs/>
              <w:sz w:val="28"/>
              <w:szCs w:val="28"/>
            </w:rPr>
            <w:t>三、项目后期管护质量有待提高</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_Toc2835 \h </w:instrText>
          </w:r>
          <w:r>
            <w:rPr>
              <w:rFonts w:hint="eastAsia" w:ascii="仿宋" w:hAnsi="仿宋" w:eastAsia="仿宋" w:cs="仿宋"/>
              <w:sz w:val="28"/>
              <w:szCs w:val="28"/>
            </w:rPr>
            <w:fldChar w:fldCharType="separate"/>
          </w:r>
          <w:r>
            <w:rPr>
              <w:rFonts w:hint="eastAsia" w:ascii="仿宋" w:hAnsi="仿宋" w:eastAsia="仿宋" w:cs="仿宋"/>
              <w:sz w:val="28"/>
              <w:szCs w:val="28"/>
            </w:rPr>
            <w:t>24</w:t>
          </w:r>
          <w:r>
            <w:rPr>
              <w:rFonts w:hint="eastAsia" w:ascii="仿宋" w:hAnsi="仿宋" w:eastAsia="仿宋" w:cs="仿宋"/>
              <w:sz w:val="28"/>
              <w:szCs w:val="28"/>
            </w:rPr>
            <w:fldChar w:fldCharType="end"/>
          </w:r>
          <w:r>
            <w:rPr>
              <w:rFonts w:hint="eastAsia" w:ascii="仿宋" w:hAnsi="仿宋" w:eastAsia="仿宋" w:cs="仿宋"/>
              <w:sz w:val="28"/>
              <w:szCs w:val="28"/>
              <w:lang w:val="zh-CN"/>
            </w:rPr>
            <w:fldChar w:fldCharType="end"/>
          </w:r>
        </w:p>
        <w:p>
          <w:pPr>
            <w:pStyle w:val="8"/>
            <w:pageBreakBefore w:val="0"/>
            <w:tabs>
              <w:tab w:val="right" w:leader="dot" w:pos="8306"/>
              <w:tab w:val="clear" w:pos="8296"/>
            </w:tabs>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lang w:val="zh-CN"/>
            </w:rPr>
            <w:fldChar w:fldCharType="begin"/>
          </w:r>
          <w:r>
            <w:rPr>
              <w:rFonts w:hint="eastAsia" w:ascii="仿宋" w:hAnsi="仿宋" w:eastAsia="仿宋" w:cs="仿宋"/>
              <w:sz w:val="28"/>
              <w:szCs w:val="28"/>
              <w:lang w:val="zh-CN"/>
            </w:rPr>
            <w:instrText xml:space="preserve"> HYPERLINK \l _Toc23417 </w:instrText>
          </w:r>
          <w:r>
            <w:rPr>
              <w:rFonts w:hint="eastAsia" w:ascii="仿宋" w:hAnsi="仿宋" w:eastAsia="仿宋" w:cs="仿宋"/>
              <w:sz w:val="28"/>
              <w:szCs w:val="28"/>
              <w:lang w:val="zh-CN"/>
            </w:rPr>
            <w:fldChar w:fldCharType="separate"/>
          </w:r>
          <w:r>
            <w:rPr>
              <w:rFonts w:hint="eastAsia" w:ascii="仿宋" w:hAnsi="仿宋" w:eastAsia="仿宋" w:cs="仿宋"/>
              <w:bCs/>
              <w:sz w:val="28"/>
              <w:szCs w:val="28"/>
            </w:rPr>
            <w:t>第五部分 改进措施与管理建议</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_Toc23417 \h </w:instrText>
          </w:r>
          <w:r>
            <w:rPr>
              <w:rFonts w:hint="eastAsia" w:ascii="仿宋" w:hAnsi="仿宋" w:eastAsia="仿宋" w:cs="仿宋"/>
              <w:sz w:val="28"/>
              <w:szCs w:val="28"/>
            </w:rPr>
            <w:fldChar w:fldCharType="separate"/>
          </w:r>
          <w:r>
            <w:rPr>
              <w:rFonts w:hint="eastAsia" w:ascii="仿宋" w:hAnsi="仿宋" w:eastAsia="仿宋" w:cs="仿宋"/>
              <w:sz w:val="28"/>
              <w:szCs w:val="28"/>
            </w:rPr>
            <w:t>25</w:t>
          </w:r>
          <w:r>
            <w:rPr>
              <w:rFonts w:hint="eastAsia" w:ascii="仿宋" w:hAnsi="仿宋" w:eastAsia="仿宋" w:cs="仿宋"/>
              <w:sz w:val="28"/>
              <w:szCs w:val="28"/>
            </w:rPr>
            <w:fldChar w:fldCharType="end"/>
          </w:r>
          <w:r>
            <w:rPr>
              <w:rFonts w:hint="eastAsia" w:ascii="仿宋" w:hAnsi="仿宋" w:eastAsia="仿宋" w:cs="仿宋"/>
              <w:sz w:val="28"/>
              <w:szCs w:val="28"/>
              <w:lang w:val="zh-CN"/>
            </w:rPr>
            <w:fldChar w:fldCharType="end"/>
          </w:r>
        </w:p>
        <w:p>
          <w:pPr>
            <w:pStyle w:val="9"/>
            <w:pageBreakBefore w:val="0"/>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lang w:val="zh-CN"/>
            </w:rPr>
            <w:fldChar w:fldCharType="begin"/>
          </w:r>
          <w:r>
            <w:rPr>
              <w:rFonts w:hint="eastAsia" w:ascii="仿宋" w:hAnsi="仿宋" w:eastAsia="仿宋" w:cs="仿宋"/>
              <w:sz w:val="28"/>
              <w:szCs w:val="28"/>
              <w:lang w:val="zh-CN"/>
            </w:rPr>
            <w:instrText xml:space="preserve"> HYPERLINK \l _Toc17400 </w:instrText>
          </w:r>
          <w:r>
            <w:rPr>
              <w:rFonts w:hint="eastAsia" w:ascii="仿宋" w:hAnsi="仿宋" w:eastAsia="仿宋" w:cs="仿宋"/>
              <w:sz w:val="28"/>
              <w:szCs w:val="28"/>
              <w:lang w:val="zh-CN"/>
            </w:rPr>
            <w:fldChar w:fldCharType="separate"/>
          </w:r>
          <w:r>
            <w:rPr>
              <w:rFonts w:hint="eastAsia" w:ascii="仿宋" w:hAnsi="仿宋" w:eastAsia="仿宋" w:cs="仿宋"/>
              <w:bCs/>
              <w:sz w:val="28"/>
              <w:szCs w:val="28"/>
            </w:rPr>
            <w:t>一、</w:t>
          </w:r>
          <w:r>
            <w:rPr>
              <w:rFonts w:hint="eastAsia" w:ascii="仿宋" w:hAnsi="仿宋" w:eastAsia="仿宋" w:cs="仿宋"/>
              <w:bCs/>
              <w:sz w:val="28"/>
              <w:szCs w:val="28"/>
              <w:lang w:val="en-US" w:eastAsia="zh-CN"/>
            </w:rPr>
            <w:t>科学设置绩效指标</w:t>
          </w:r>
          <w:r>
            <w:rPr>
              <w:rFonts w:hint="eastAsia" w:ascii="仿宋" w:hAnsi="仿宋" w:eastAsia="仿宋" w:cs="仿宋"/>
              <w:bCs/>
              <w:sz w:val="28"/>
              <w:szCs w:val="28"/>
            </w:rPr>
            <w:t>，强化绩效自评工作</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_Toc17400 \h </w:instrText>
          </w:r>
          <w:r>
            <w:rPr>
              <w:rFonts w:hint="eastAsia" w:ascii="仿宋" w:hAnsi="仿宋" w:eastAsia="仿宋" w:cs="仿宋"/>
              <w:sz w:val="28"/>
              <w:szCs w:val="28"/>
            </w:rPr>
            <w:fldChar w:fldCharType="separate"/>
          </w:r>
          <w:r>
            <w:rPr>
              <w:rFonts w:hint="eastAsia" w:ascii="仿宋" w:hAnsi="仿宋" w:eastAsia="仿宋" w:cs="仿宋"/>
              <w:sz w:val="28"/>
              <w:szCs w:val="28"/>
            </w:rPr>
            <w:t>25</w:t>
          </w:r>
          <w:r>
            <w:rPr>
              <w:rFonts w:hint="eastAsia" w:ascii="仿宋" w:hAnsi="仿宋" w:eastAsia="仿宋" w:cs="仿宋"/>
              <w:sz w:val="28"/>
              <w:szCs w:val="28"/>
            </w:rPr>
            <w:fldChar w:fldCharType="end"/>
          </w:r>
          <w:r>
            <w:rPr>
              <w:rFonts w:hint="eastAsia" w:ascii="仿宋" w:hAnsi="仿宋" w:eastAsia="仿宋" w:cs="仿宋"/>
              <w:sz w:val="28"/>
              <w:szCs w:val="28"/>
              <w:lang w:val="zh-CN"/>
            </w:rPr>
            <w:fldChar w:fldCharType="end"/>
          </w:r>
        </w:p>
        <w:p>
          <w:pPr>
            <w:pStyle w:val="9"/>
            <w:pageBreakBefore w:val="0"/>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lang w:val="zh-CN"/>
            </w:rPr>
            <w:fldChar w:fldCharType="begin"/>
          </w:r>
          <w:r>
            <w:rPr>
              <w:rFonts w:hint="eastAsia" w:ascii="仿宋" w:hAnsi="仿宋" w:eastAsia="仿宋" w:cs="仿宋"/>
              <w:sz w:val="28"/>
              <w:szCs w:val="28"/>
              <w:lang w:val="zh-CN"/>
            </w:rPr>
            <w:instrText xml:space="preserve"> HYPERLINK \l _Toc29142 </w:instrText>
          </w:r>
          <w:r>
            <w:rPr>
              <w:rFonts w:hint="eastAsia" w:ascii="仿宋" w:hAnsi="仿宋" w:eastAsia="仿宋" w:cs="仿宋"/>
              <w:sz w:val="28"/>
              <w:szCs w:val="28"/>
              <w:lang w:val="zh-CN"/>
            </w:rPr>
            <w:fldChar w:fldCharType="separate"/>
          </w:r>
          <w:r>
            <w:rPr>
              <w:rFonts w:hint="eastAsia" w:ascii="仿宋" w:hAnsi="仿宋" w:eastAsia="仿宋" w:cs="仿宋"/>
              <w:bCs/>
              <w:sz w:val="28"/>
              <w:szCs w:val="28"/>
            </w:rPr>
            <w:t>二、注重信息化建设，加强电子档案管理</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_Toc29142 \h </w:instrText>
          </w:r>
          <w:r>
            <w:rPr>
              <w:rFonts w:hint="eastAsia" w:ascii="仿宋" w:hAnsi="仿宋" w:eastAsia="仿宋" w:cs="仿宋"/>
              <w:sz w:val="28"/>
              <w:szCs w:val="28"/>
            </w:rPr>
            <w:fldChar w:fldCharType="separate"/>
          </w:r>
          <w:r>
            <w:rPr>
              <w:rFonts w:hint="eastAsia" w:ascii="仿宋" w:hAnsi="仿宋" w:eastAsia="仿宋" w:cs="仿宋"/>
              <w:sz w:val="28"/>
              <w:szCs w:val="28"/>
            </w:rPr>
            <w:t>25</w:t>
          </w:r>
          <w:r>
            <w:rPr>
              <w:rFonts w:hint="eastAsia" w:ascii="仿宋" w:hAnsi="仿宋" w:eastAsia="仿宋" w:cs="仿宋"/>
              <w:sz w:val="28"/>
              <w:szCs w:val="28"/>
            </w:rPr>
            <w:fldChar w:fldCharType="end"/>
          </w:r>
          <w:r>
            <w:rPr>
              <w:rFonts w:hint="eastAsia" w:ascii="仿宋" w:hAnsi="仿宋" w:eastAsia="仿宋" w:cs="仿宋"/>
              <w:sz w:val="28"/>
              <w:szCs w:val="28"/>
              <w:lang w:val="zh-CN"/>
            </w:rPr>
            <w:fldChar w:fldCharType="end"/>
          </w:r>
        </w:p>
        <w:p>
          <w:pPr>
            <w:pStyle w:val="9"/>
            <w:pageBreakBefore w:val="0"/>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lang w:val="zh-CN"/>
            </w:rPr>
            <w:fldChar w:fldCharType="begin"/>
          </w:r>
          <w:r>
            <w:rPr>
              <w:rFonts w:hint="eastAsia" w:ascii="仿宋" w:hAnsi="仿宋" w:eastAsia="仿宋" w:cs="仿宋"/>
              <w:sz w:val="28"/>
              <w:szCs w:val="28"/>
              <w:lang w:val="zh-CN"/>
            </w:rPr>
            <w:instrText xml:space="preserve"> HYPERLINK \l _Toc5345 </w:instrText>
          </w:r>
          <w:r>
            <w:rPr>
              <w:rFonts w:hint="eastAsia" w:ascii="仿宋" w:hAnsi="仿宋" w:eastAsia="仿宋" w:cs="仿宋"/>
              <w:sz w:val="28"/>
              <w:szCs w:val="28"/>
              <w:lang w:val="zh-CN"/>
            </w:rPr>
            <w:fldChar w:fldCharType="separate"/>
          </w:r>
          <w:r>
            <w:rPr>
              <w:rFonts w:hint="eastAsia" w:ascii="仿宋" w:hAnsi="仿宋" w:eastAsia="仿宋" w:cs="仿宋"/>
              <w:bCs/>
              <w:sz w:val="28"/>
              <w:szCs w:val="28"/>
            </w:rPr>
            <w:t>三、规范健身器材成本标准，合理控制工程成本</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_Toc5345 \h </w:instrText>
          </w:r>
          <w:r>
            <w:rPr>
              <w:rFonts w:hint="eastAsia" w:ascii="仿宋" w:hAnsi="仿宋" w:eastAsia="仿宋" w:cs="仿宋"/>
              <w:sz w:val="28"/>
              <w:szCs w:val="28"/>
            </w:rPr>
            <w:fldChar w:fldCharType="separate"/>
          </w:r>
          <w:r>
            <w:rPr>
              <w:rFonts w:hint="eastAsia" w:ascii="仿宋" w:hAnsi="仿宋" w:eastAsia="仿宋" w:cs="仿宋"/>
              <w:sz w:val="28"/>
              <w:szCs w:val="28"/>
            </w:rPr>
            <w:t>26</w:t>
          </w:r>
          <w:r>
            <w:rPr>
              <w:rFonts w:hint="eastAsia" w:ascii="仿宋" w:hAnsi="仿宋" w:eastAsia="仿宋" w:cs="仿宋"/>
              <w:sz w:val="28"/>
              <w:szCs w:val="28"/>
            </w:rPr>
            <w:fldChar w:fldCharType="end"/>
          </w:r>
          <w:r>
            <w:rPr>
              <w:rFonts w:hint="eastAsia" w:ascii="仿宋" w:hAnsi="仿宋" w:eastAsia="仿宋" w:cs="仿宋"/>
              <w:sz w:val="28"/>
              <w:szCs w:val="28"/>
              <w:lang w:val="zh-CN"/>
            </w:rPr>
            <w:fldChar w:fldCharType="end"/>
          </w:r>
        </w:p>
        <w:p>
          <w:pPr>
            <w:pStyle w:val="9"/>
            <w:pageBreakBefore w:val="0"/>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lang w:val="zh-CN"/>
            </w:rPr>
            <w:fldChar w:fldCharType="begin"/>
          </w:r>
          <w:r>
            <w:rPr>
              <w:rFonts w:hint="eastAsia" w:ascii="仿宋" w:hAnsi="仿宋" w:eastAsia="仿宋" w:cs="仿宋"/>
              <w:sz w:val="28"/>
              <w:szCs w:val="28"/>
              <w:lang w:val="zh-CN"/>
            </w:rPr>
            <w:instrText xml:space="preserve"> HYPERLINK \l _Toc15808 </w:instrText>
          </w:r>
          <w:r>
            <w:rPr>
              <w:rFonts w:hint="eastAsia" w:ascii="仿宋" w:hAnsi="仿宋" w:eastAsia="仿宋" w:cs="仿宋"/>
              <w:sz w:val="28"/>
              <w:szCs w:val="28"/>
              <w:lang w:val="zh-CN"/>
            </w:rPr>
            <w:fldChar w:fldCharType="separate"/>
          </w:r>
          <w:r>
            <w:rPr>
              <w:rFonts w:hint="eastAsia" w:ascii="仿宋" w:hAnsi="仿宋" w:eastAsia="仿宋" w:cs="仿宋"/>
              <w:bCs/>
              <w:sz w:val="28"/>
              <w:szCs w:val="28"/>
            </w:rPr>
            <w:t>四、</w:t>
          </w:r>
          <w:r>
            <w:rPr>
              <w:rFonts w:hint="eastAsia" w:ascii="仿宋" w:hAnsi="仿宋" w:eastAsia="仿宋" w:cs="仿宋"/>
              <w:bCs/>
              <w:sz w:val="28"/>
              <w:szCs w:val="28"/>
              <w:lang w:val="en-US" w:eastAsia="zh-CN"/>
            </w:rPr>
            <w:t>提高</w:t>
          </w:r>
          <w:r>
            <w:rPr>
              <w:rFonts w:hint="eastAsia" w:ascii="仿宋" w:hAnsi="仿宋" w:eastAsia="仿宋" w:cs="仿宋"/>
              <w:bCs/>
              <w:sz w:val="28"/>
              <w:szCs w:val="28"/>
            </w:rPr>
            <w:t>后期管护</w:t>
          </w:r>
          <w:r>
            <w:rPr>
              <w:rFonts w:hint="eastAsia" w:ascii="仿宋" w:hAnsi="仿宋" w:eastAsia="仿宋" w:cs="仿宋"/>
              <w:bCs/>
              <w:sz w:val="28"/>
              <w:szCs w:val="28"/>
              <w:lang w:val="en-US" w:eastAsia="zh-CN"/>
            </w:rPr>
            <w:t>质量</w:t>
          </w:r>
          <w:r>
            <w:rPr>
              <w:rFonts w:hint="eastAsia" w:ascii="仿宋" w:hAnsi="仿宋" w:eastAsia="仿宋" w:cs="仿宋"/>
              <w:bCs/>
              <w:sz w:val="28"/>
              <w:szCs w:val="28"/>
            </w:rPr>
            <w:t>，发挥可持续效益</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_Toc15808 \h </w:instrText>
          </w:r>
          <w:r>
            <w:rPr>
              <w:rFonts w:hint="eastAsia" w:ascii="仿宋" w:hAnsi="仿宋" w:eastAsia="仿宋" w:cs="仿宋"/>
              <w:sz w:val="28"/>
              <w:szCs w:val="28"/>
            </w:rPr>
            <w:fldChar w:fldCharType="separate"/>
          </w:r>
          <w:r>
            <w:rPr>
              <w:rFonts w:hint="eastAsia" w:ascii="仿宋" w:hAnsi="仿宋" w:eastAsia="仿宋" w:cs="仿宋"/>
              <w:sz w:val="28"/>
              <w:szCs w:val="28"/>
            </w:rPr>
            <w:t>26</w:t>
          </w:r>
          <w:r>
            <w:rPr>
              <w:rFonts w:hint="eastAsia" w:ascii="仿宋" w:hAnsi="仿宋" w:eastAsia="仿宋" w:cs="仿宋"/>
              <w:sz w:val="28"/>
              <w:szCs w:val="28"/>
            </w:rPr>
            <w:fldChar w:fldCharType="end"/>
          </w:r>
          <w:r>
            <w:rPr>
              <w:rFonts w:hint="eastAsia" w:ascii="仿宋" w:hAnsi="仿宋" w:eastAsia="仿宋" w:cs="仿宋"/>
              <w:sz w:val="28"/>
              <w:szCs w:val="28"/>
              <w:lang w:val="zh-CN"/>
            </w:rPr>
            <w:fldChar w:fldCharType="end"/>
          </w:r>
        </w:p>
        <w:p>
          <w:pPr>
            <w:pStyle w:val="8"/>
            <w:pageBreakBefore w:val="0"/>
            <w:tabs>
              <w:tab w:val="right" w:leader="dot" w:pos="8306"/>
              <w:tab w:val="clear" w:pos="8296"/>
            </w:tabs>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lang w:val="zh-CN"/>
            </w:rPr>
            <w:fldChar w:fldCharType="begin"/>
          </w:r>
          <w:r>
            <w:rPr>
              <w:rFonts w:hint="eastAsia" w:ascii="仿宋" w:hAnsi="仿宋" w:eastAsia="仿宋" w:cs="仿宋"/>
              <w:sz w:val="28"/>
              <w:szCs w:val="28"/>
              <w:lang w:val="zh-CN"/>
            </w:rPr>
            <w:instrText xml:space="preserve"> HYPERLINK \l _Toc1362 </w:instrText>
          </w:r>
          <w:r>
            <w:rPr>
              <w:rFonts w:hint="eastAsia" w:ascii="仿宋" w:hAnsi="仿宋" w:eastAsia="仿宋" w:cs="仿宋"/>
              <w:sz w:val="28"/>
              <w:szCs w:val="28"/>
              <w:lang w:val="zh-CN"/>
            </w:rPr>
            <w:fldChar w:fldCharType="separate"/>
          </w:r>
          <w:r>
            <w:rPr>
              <w:rFonts w:hint="eastAsia" w:ascii="仿宋" w:hAnsi="仿宋" w:eastAsia="仿宋" w:cs="仿宋"/>
              <w:bCs/>
              <w:sz w:val="28"/>
              <w:szCs w:val="28"/>
            </w:rPr>
            <w:t>附件：</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_Toc1362 \h </w:instrText>
          </w:r>
          <w:r>
            <w:rPr>
              <w:rFonts w:hint="eastAsia" w:ascii="仿宋" w:hAnsi="仿宋" w:eastAsia="仿宋" w:cs="仿宋"/>
              <w:sz w:val="28"/>
              <w:szCs w:val="28"/>
            </w:rPr>
            <w:fldChar w:fldCharType="separate"/>
          </w:r>
          <w:r>
            <w:rPr>
              <w:rFonts w:hint="eastAsia" w:ascii="仿宋" w:hAnsi="仿宋" w:eastAsia="仿宋" w:cs="仿宋"/>
              <w:sz w:val="28"/>
              <w:szCs w:val="28"/>
            </w:rPr>
            <w:t>28</w:t>
          </w:r>
          <w:r>
            <w:rPr>
              <w:rFonts w:hint="eastAsia" w:ascii="仿宋" w:hAnsi="仿宋" w:eastAsia="仿宋" w:cs="仿宋"/>
              <w:sz w:val="28"/>
              <w:szCs w:val="28"/>
            </w:rPr>
            <w:fldChar w:fldCharType="end"/>
          </w:r>
          <w:r>
            <w:rPr>
              <w:rFonts w:hint="eastAsia" w:ascii="仿宋" w:hAnsi="仿宋" w:eastAsia="仿宋" w:cs="仿宋"/>
              <w:sz w:val="28"/>
              <w:szCs w:val="28"/>
              <w:lang w:val="zh-CN"/>
            </w:rPr>
            <w:fldChar w:fldCharType="end"/>
          </w:r>
        </w:p>
        <w:p>
          <w:pPr>
            <w:pageBreakBefore w:val="0"/>
            <w:kinsoku/>
            <w:wordWrap/>
            <w:overflowPunct/>
            <w:topLinePunct w:val="0"/>
            <w:autoSpaceDE/>
            <w:autoSpaceDN/>
            <w:bidi w:val="0"/>
            <w:adjustRightInd/>
            <w:snapToGrid/>
            <w:spacing w:line="360" w:lineRule="auto"/>
            <w:textAlignment w:val="auto"/>
            <w:rPr>
              <w:rFonts w:ascii="仿宋" w:hAnsi="仿宋" w:eastAsia="仿宋" w:cs="仿宋"/>
            </w:rPr>
          </w:pPr>
          <w:r>
            <w:rPr>
              <w:rFonts w:hint="eastAsia" w:ascii="仿宋" w:hAnsi="仿宋" w:eastAsia="仿宋" w:cs="仿宋"/>
              <w:sz w:val="28"/>
              <w:szCs w:val="28"/>
              <w:lang w:val="zh-CN"/>
            </w:rPr>
            <w:fldChar w:fldCharType="end"/>
          </w:r>
        </w:p>
      </w:sdtContent>
    </w:sdt>
    <w:p>
      <w:pPr>
        <w:jc w:val="center"/>
        <w:outlineLvl w:val="0"/>
        <w:rPr>
          <w:rFonts w:ascii="仿宋" w:hAnsi="仿宋" w:eastAsia="仿宋" w:cs="仿宋"/>
          <w:sz w:val="36"/>
          <w:szCs w:val="36"/>
        </w:rPr>
        <w:sectPr>
          <w:pgSz w:w="11906" w:h="16838"/>
          <w:pgMar w:top="1440" w:right="1800" w:bottom="1440" w:left="1800" w:header="851" w:footer="992" w:gutter="0"/>
          <w:cols w:space="425" w:num="1"/>
          <w:docGrid w:type="lines" w:linePitch="312" w:charSpace="0"/>
        </w:sectPr>
      </w:pPr>
    </w:p>
    <w:p>
      <w:pPr>
        <w:rPr>
          <w:rFonts w:ascii="仿宋" w:hAnsi="仿宋" w:eastAsia="仿宋" w:cs="仿宋"/>
        </w:rPr>
      </w:pPr>
    </w:p>
    <w:p>
      <w:pPr>
        <w:jc w:val="center"/>
        <w:outlineLvl w:val="0"/>
        <w:rPr>
          <w:rFonts w:ascii="仿宋" w:hAnsi="仿宋" w:eastAsia="仿宋" w:cs="仿宋"/>
          <w:b/>
          <w:bCs/>
          <w:sz w:val="36"/>
          <w:szCs w:val="36"/>
        </w:rPr>
      </w:pPr>
      <w:bookmarkStart w:id="3" w:name="_Toc2549"/>
      <w:bookmarkStart w:id="4" w:name="_Toc4927"/>
      <w:bookmarkStart w:id="5" w:name="_Toc19883"/>
      <w:bookmarkStart w:id="6" w:name="_Toc20173"/>
      <w:r>
        <w:rPr>
          <w:rFonts w:hint="eastAsia" w:ascii="仿宋" w:hAnsi="仿宋" w:eastAsia="仿宋" w:cs="仿宋"/>
          <w:b/>
          <w:bCs/>
          <w:sz w:val="36"/>
          <w:szCs w:val="36"/>
        </w:rPr>
        <w:t>第一部分 基本概况</w:t>
      </w:r>
      <w:bookmarkEnd w:id="2"/>
      <w:bookmarkEnd w:id="3"/>
      <w:bookmarkEnd w:id="4"/>
      <w:bookmarkEnd w:id="5"/>
      <w:bookmarkEnd w:id="6"/>
    </w:p>
    <w:p>
      <w:pPr>
        <w:rPr>
          <w:rFonts w:ascii="仿宋" w:hAnsi="仿宋" w:eastAsia="仿宋" w:cs="仿宋"/>
          <w:b/>
          <w:bCs/>
          <w:sz w:val="24"/>
        </w:rPr>
      </w:pPr>
    </w:p>
    <w:p>
      <w:pPr>
        <w:spacing w:before="156" w:beforeLines="50" w:after="156" w:afterLines="50"/>
        <w:ind w:firstLine="643" w:firstLineChars="200"/>
        <w:outlineLvl w:val="1"/>
        <w:rPr>
          <w:rFonts w:ascii="仿宋" w:hAnsi="仿宋" w:eastAsia="仿宋" w:cs="仿宋"/>
          <w:b/>
          <w:bCs/>
          <w:sz w:val="32"/>
          <w:szCs w:val="32"/>
        </w:rPr>
      </w:pPr>
      <w:bookmarkStart w:id="7" w:name="_Toc28783"/>
      <w:bookmarkStart w:id="8" w:name="_Toc19176"/>
      <w:bookmarkStart w:id="9" w:name="_Toc10660"/>
      <w:bookmarkStart w:id="10" w:name="_Toc6190"/>
      <w:r>
        <w:rPr>
          <w:rFonts w:hint="eastAsia" w:ascii="仿宋" w:hAnsi="仿宋" w:eastAsia="仿宋" w:cs="仿宋"/>
          <w:b/>
          <w:bCs/>
          <w:sz w:val="32"/>
          <w:szCs w:val="32"/>
        </w:rPr>
        <w:t>一、项目背景</w:t>
      </w:r>
      <w:bookmarkEnd w:id="7"/>
      <w:bookmarkEnd w:id="8"/>
      <w:bookmarkEnd w:id="9"/>
      <w:bookmarkEnd w:id="10"/>
    </w:p>
    <w:p>
      <w:pPr>
        <w:ind w:firstLine="560" w:firstLineChars="200"/>
        <w:rPr>
          <w:rFonts w:ascii="仿宋" w:hAnsi="仿宋" w:eastAsia="仿宋" w:cs="仿宋"/>
        </w:rPr>
      </w:pPr>
      <w:bookmarkStart w:id="11" w:name="_Toc881946015"/>
      <w:r>
        <w:rPr>
          <w:rFonts w:hint="eastAsia" w:ascii="仿宋" w:hAnsi="仿宋" w:eastAsia="仿宋" w:cs="仿宋"/>
        </w:rPr>
        <w:t>党的二十大报告提出，要</w:t>
      </w:r>
      <w:r>
        <w:rPr>
          <w:rFonts w:hint="eastAsia" w:ascii="仿宋" w:hAnsi="仿宋" w:eastAsia="仿宋" w:cs="仿宋"/>
          <w:lang w:eastAsia="zh-CN"/>
        </w:rPr>
        <w:t>“</w:t>
      </w:r>
      <w:r>
        <w:rPr>
          <w:rFonts w:hint="eastAsia" w:ascii="仿宋" w:hAnsi="仿宋" w:eastAsia="仿宋" w:cs="仿宋"/>
        </w:rPr>
        <w:t>广泛开展全民健身活动，加强青少年体育工作，促进群众体育和竞技体育全面发展，加快建设体育强国</w:t>
      </w:r>
      <w:r>
        <w:rPr>
          <w:rFonts w:hint="eastAsia" w:ascii="仿宋" w:hAnsi="仿宋" w:eastAsia="仿宋" w:cs="仿宋"/>
          <w:lang w:eastAsia="zh-CN"/>
        </w:rPr>
        <w:t>”</w:t>
      </w:r>
      <w:r>
        <w:rPr>
          <w:rFonts w:hint="eastAsia" w:ascii="仿宋" w:hAnsi="仿宋" w:eastAsia="仿宋" w:cs="仿宋"/>
        </w:rPr>
        <w:t>。体育基础设施作为人们进行身体锻炼、体育竞赛和社会交往的载体，是体育运动的主要物质保证。体育基础设施的数量和质量，是社会发展的重要标志，不仅关系到一个地区群众活动的普及程度和竞技水平的提高，还关系到社会主义精神文明的发展和提高。同时，体育设施作为体育产业的重要载体，对体育经济的发展意义重大。我国具有深厚的文化底蕴，加快对公共体育设施的投入，重视公益性体育设施的建设，为群众健身提供更好的物质条件，既是推进文化建设的需要，也是落实科学发展观，坚持以人为本、建设和谐社会的要求。</w:t>
      </w:r>
    </w:p>
    <w:p>
      <w:pPr>
        <w:ind w:firstLine="560" w:firstLineChars="200"/>
        <w:rPr>
          <w:rFonts w:ascii="仿宋" w:hAnsi="仿宋" w:eastAsia="仿宋" w:cs="仿宋"/>
        </w:rPr>
      </w:pPr>
      <w:r>
        <w:rPr>
          <w:rFonts w:hint="eastAsia" w:ascii="仿宋" w:hAnsi="仿宋" w:eastAsia="仿宋" w:cs="仿宋"/>
        </w:rPr>
        <w:t>根据省委、省政府《关于开展</w:t>
      </w:r>
      <w:r>
        <w:rPr>
          <w:rFonts w:hint="default" w:ascii="Times New Roman" w:hAnsi="Times New Roman" w:eastAsia="仿宋" w:cs="Times New Roman"/>
        </w:rPr>
        <w:t>2021</w:t>
      </w:r>
      <w:r>
        <w:rPr>
          <w:rFonts w:hint="eastAsia" w:ascii="仿宋" w:hAnsi="仿宋" w:eastAsia="仿宋" w:cs="仿宋"/>
        </w:rPr>
        <w:t>年为民办实事工作的通知》（闽委</w:t>
      </w:r>
      <w:r>
        <w:rPr>
          <w:rFonts w:hint="eastAsia" w:ascii="仿宋" w:hAnsi="仿宋" w:eastAsia="仿宋" w:cs="仿宋"/>
          <w:lang w:eastAsia="zh-CN"/>
        </w:rPr>
        <w:t>〔</w:t>
      </w:r>
      <w:r>
        <w:rPr>
          <w:rFonts w:hint="default" w:ascii="Times New Roman" w:hAnsi="Times New Roman" w:eastAsia="仿宋" w:cs="Times New Roman"/>
        </w:rPr>
        <w:t>2021</w:t>
      </w:r>
      <w:r>
        <w:rPr>
          <w:rFonts w:hint="eastAsia" w:ascii="Times New Roman" w:hAnsi="Times New Roman" w:eastAsia="仿宋" w:cs="Times New Roman"/>
          <w:lang w:eastAsia="zh-CN"/>
        </w:rPr>
        <w:t>〕</w:t>
      </w:r>
      <w:r>
        <w:rPr>
          <w:rFonts w:hint="default" w:ascii="Times New Roman" w:hAnsi="Times New Roman" w:eastAsia="仿宋" w:cs="Times New Roman"/>
        </w:rPr>
        <w:t>6</w:t>
      </w:r>
      <w:r>
        <w:rPr>
          <w:rFonts w:hint="eastAsia" w:ascii="仿宋" w:hAnsi="仿宋" w:eastAsia="仿宋" w:cs="仿宋"/>
        </w:rPr>
        <w:t>号</w:t>
      </w:r>
      <w:r>
        <w:rPr>
          <w:rFonts w:hint="eastAsia" w:ascii="仿宋" w:hAnsi="仿宋" w:eastAsia="仿宋" w:cs="仿宋"/>
          <w:lang w:eastAsia="zh-CN"/>
        </w:rPr>
        <w:t>）</w:t>
      </w:r>
      <w:r>
        <w:rPr>
          <w:rFonts w:hint="eastAsia" w:ascii="仿宋" w:hAnsi="仿宋" w:eastAsia="仿宋" w:cs="仿宋"/>
        </w:rPr>
        <w:t>及《加强全民健身场地设施建设发展群众体育实施方案》（闽政办</w:t>
      </w:r>
      <w:r>
        <w:rPr>
          <w:rFonts w:hint="eastAsia" w:ascii="仿宋" w:hAnsi="仿宋" w:eastAsia="仿宋" w:cs="仿宋"/>
          <w:lang w:eastAsia="zh-CN"/>
        </w:rPr>
        <w:t>〔</w:t>
      </w:r>
      <w:r>
        <w:rPr>
          <w:rFonts w:hint="default" w:ascii="Times New Roman" w:hAnsi="Times New Roman" w:eastAsia="仿宋" w:cs="Times New Roman"/>
        </w:rPr>
        <w:t>2021</w:t>
      </w:r>
      <w:r>
        <w:rPr>
          <w:rFonts w:hint="eastAsia" w:ascii="Times New Roman" w:hAnsi="Times New Roman" w:eastAsia="仿宋" w:cs="Times New Roman"/>
          <w:lang w:eastAsia="zh-CN"/>
        </w:rPr>
        <w:t>〕</w:t>
      </w:r>
      <w:r>
        <w:rPr>
          <w:rFonts w:hint="default" w:ascii="Times New Roman" w:hAnsi="Times New Roman" w:eastAsia="仿宋" w:cs="Times New Roman"/>
        </w:rPr>
        <w:t>33</w:t>
      </w:r>
      <w:r>
        <w:rPr>
          <w:rFonts w:hint="eastAsia" w:ascii="仿宋" w:hAnsi="仿宋" w:eastAsia="仿宋" w:cs="仿宋"/>
        </w:rPr>
        <w:t>号</w:t>
      </w:r>
      <w:r>
        <w:rPr>
          <w:rFonts w:hint="eastAsia" w:ascii="仿宋" w:hAnsi="仿宋" w:eastAsia="仿宋" w:cs="仿宋"/>
          <w:lang w:eastAsia="zh-CN"/>
        </w:rPr>
        <w:t>）</w:t>
      </w:r>
      <w:r>
        <w:rPr>
          <w:rFonts w:hint="eastAsia" w:ascii="仿宋" w:hAnsi="仿宋" w:eastAsia="仿宋" w:cs="仿宋"/>
        </w:rPr>
        <w:t>精神，要求全省各地市紧紧围绕满足人民群众需求，增加健身设施有效供给，大力开展群众体育活动，发展更具活力的体育社会组织，提供更加科学的健身指导，构建更高水平的全民健身公共服务体系，以满足群众日益增长的健身需求，不断完善</w:t>
      </w:r>
      <w:r>
        <w:rPr>
          <w:rFonts w:hint="default" w:ascii="Times New Roman" w:hAnsi="Times New Roman" w:eastAsia="仿宋" w:cs="Times New Roman"/>
        </w:rPr>
        <w:t>15</w:t>
      </w:r>
      <w:r>
        <w:rPr>
          <w:rFonts w:hint="eastAsia" w:ascii="仿宋" w:hAnsi="仿宋" w:eastAsia="仿宋" w:cs="仿宋"/>
        </w:rPr>
        <w:t>分钟体育健身圈，全方位推进我省群众体育实现高质量发展超越。</w:t>
      </w:r>
    </w:p>
    <w:p>
      <w:pPr>
        <w:ind w:firstLine="700" w:firstLineChars="250"/>
        <w:rPr>
          <w:rFonts w:ascii="仿宋" w:hAnsi="仿宋" w:eastAsia="仿宋" w:cs="仿宋"/>
        </w:rPr>
      </w:pPr>
      <w:r>
        <w:rPr>
          <w:rFonts w:hint="eastAsia" w:ascii="仿宋" w:hAnsi="仿宋" w:eastAsia="仿宋" w:cs="仿宋"/>
        </w:rPr>
        <w:t>为贯彻落实全省、全市城市和农村建设工作会议精神，立足惠安</w:t>
      </w:r>
      <w:r>
        <w:rPr>
          <w:rFonts w:hint="eastAsia" w:ascii="仿宋" w:hAnsi="仿宋" w:eastAsia="仿宋" w:cs="仿宋"/>
          <w:lang w:eastAsia="zh-CN"/>
        </w:rPr>
        <w:t>“</w:t>
      </w:r>
      <w:r>
        <w:rPr>
          <w:rFonts w:hint="eastAsia" w:ascii="仿宋" w:hAnsi="仿宋" w:eastAsia="仿宋" w:cs="仿宋"/>
        </w:rPr>
        <w:t>建筑之乡</w:t>
      </w:r>
      <w:r>
        <w:rPr>
          <w:rFonts w:hint="eastAsia" w:ascii="仿宋" w:hAnsi="仿宋" w:eastAsia="仿宋" w:cs="仿宋"/>
          <w:lang w:eastAsia="zh-CN"/>
        </w:rPr>
        <w:t>”</w:t>
      </w:r>
      <w:r>
        <w:rPr>
          <w:rFonts w:hint="eastAsia" w:ascii="仿宋" w:hAnsi="仿宋" w:eastAsia="仿宋" w:cs="仿宋"/>
        </w:rPr>
        <w:t>和</w:t>
      </w:r>
      <w:r>
        <w:rPr>
          <w:rFonts w:hint="eastAsia" w:ascii="仿宋" w:hAnsi="仿宋" w:eastAsia="仿宋" w:cs="仿宋"/>
          <w:lang w:eastAsia="zh-CN"/>
        </w:rPr>
        <w:t>“</w:t>
      </w:r>
      <w:r>
        <w:rPr>
          <w:rFonts w:hint="eastAsia" w:ascii="仿宋" w:hAnsi="仿宋" w:eastAsia="仿宋" w:cs="仿宋"/>
        </w:rPr>
        <w:t>世界石雕之都</w:t>
      </w:r>
      <w:r>
        <w:rPr>
          <w:rFonts w:hint="eastAsia" w:ascii="仿宋" w:hAnsi="仿宋" w:eastAsia="仿宋" w:cs="仿宋"/>
          <w:lang w:eastAsia="zh-CN"/>
        </w:rPr>
        <w:t>”</w:t>
      </w:r>
      <w:r>
        <w:rPr>
          <w:rFonts w:hint="eastAsia" w:ascii="仿宋" w:hAnsi="仿宋" w:eastAsia="仿宋" w:cs="仿宋"/>
        </w:rPr>
        <w:t>品牌，进一步提升城乡基础设施公共服务能级，提升人民群众幸福感、获得感、安全感，根据省、市关于全民健身场地设施建设品质提升行动的决策部署，惠安县结合实际制定建设体育基础设施方案，以</w:t>
      </w:r>
      <w:r>
        <w:rPr>
          <w:rFonts w:hint="eastAsia" w:ascii="仿宋" w:hAnsi="仿宋" w:eastAsia="仿宋" w:cs="仿宋"/>
          <w:lang w:eastAsia="zh-CN"/>
        </w:rPr>
        <w:t>“</w:t>
      </w:r>
      <w:r>
        <w:rPr>
          <w:rFonts w:hint="eastAsia" w:ascii="仿宋" w:hAnsi="仿宋" w:eastAsia="仿宋" w:cs="仿宋"/>
        </w:rPr>
        <w:t>惠</w:t>
      </w:r>
      <w:r>
        <w:rPr>
          <w:rFonts w:hint="eastAsia" w:ascii="仿宋" w:hAnsi="仿宋" w:eastAsia="仿宋" w:cs="仿宋"/>
          <w:lang w:eastAsia="zh-CN"/>
        </w:rPr>
        <w:t>”</w:t>
      </w:r>
      <w:r>
        <w:rPr>
          <w:rFonts w:hint="eastAsia" w:ascii="仿宋" w:hAnsi="仿宋" w:eastAsia="仿宋" w:cs="仿宋"/>
        </w:rPr>
        <w:t>字当先、</w:t>
      </w:r>
      <w:r>
        <w:rPr>
          <w:rFonts w:hint="eastAsia" w:ascii="仿宋" w:hAnsi="仿宋" w:eastAsia="仿宋" w:cs="仿宋"/>
          <w:lang w:eastAsia="zh-CN"/>
        </w:rPr>
        <w:t>“</w:t>
      </w:r>
      <w:r>
        <w:rPr>
          <w:rFonts w:hint="eastAsia" w:ascii="仿宋" w:hAnsi="仿宋" w:eastAsia="仿宋" w:cs="仿宋"/>
        </w:rPr>
        <w:t>强</w:t>
      </w:r>
      <w:r>
        <w:rPr>
          <w:rFonts w:hint="eastAsia" w:ascii="仿宋" w:hAnsi="仿宋" w:eastAsia="仿宋" w:cs="仿宋"/>
          <w:lang w:eastAsia="zh-CN"/>
        </w:rPr>
        <w:t>”</w:t>
      </w:r>
      <w:r>
        <w:rPr>
          <w:rFonts w:hint="eastAsia" w:ascii="仿宋" w:hAnsi="仿宋" w:eastAsia="仿宋" w:cs="仿宋"/>
        </w:rPr>
        <w:t>字为要、</w:t>
      </w:r>
      <w:r>
        <w:rPr>
          <w:rFonts w:hint="eastAsia" w:ascii="仿宋" w:hAnsi="仿宋" w:eastAsia="仿宋" w:cs="仿宋"/>
          <w:lang w:eastAsia="zh-CN"/>
        </w:rPr>
        <w:t>“</w:t>
      </w:r>
      <w:r>
        <w:rPr>
          <w:rFonts w:hint="eastAsia" w:ascii="仿宋" w:hAnsi="仿宋" w:eastAsia="仿宋" w:cs="仿宋"/>
        </w:rPr>
        <w:t>聚</w:t>
      </w:r>
      <w:r>
        <w:rPr>
          <w:rFonts w:hint="eastAsia" w:ascii="仿宋" w:hAnsi="仿宋" w:eastAsia="仿宋" w:cs="仿宋"/>
          <w:lang w:eastAsia="zh-CN"/>
        </w:rPr>
        <w:t>”</w:t>
      </w:r>
      <w:r>
        <w:rPr>
          <w:rFonts w:hint="eastAsia" w:ascii="仿宋" w:hAnsi="仿宋" w:eastAsia="仿宋" w:cs="仿宋"/>
        </w:rPr>
        <w:t>字固本的原则，</w:t>
      </w:r>
      <w:r>
        <w:rPr>
          <w:rFonts w:hint="eastAsia" w:ascii="仿宋" w:hAnsi="仿宋" w:eastAsia="仿宋" w:cs="仿宋"/>
          <w:lang w:eastAsia="zh-CN"/>
        </w:rPr>
        <w:t>“</w:t>
      </w:r>
      <w:r>
        <w:rPr>
          <w:rFonts w:hint="eastAsia" w:ascii="仿宋" w:hAnsi="仿宋" w:eastAsia="仿宋" w:cs="仿宋"/>
        </w:rPr>
        <w:t>惠民生、强体育、聚力量</w:t>
      </w:r>
      <w:r>
        <w:rPr>
          <w:rFonts w:hint="eastAsia" w:ascii="仿宋" w:hAnsi="仿宋" w:eastAsia="仿宋" w:cs="仿宋"/>
          <w:lang w:eastAsia="zh-CN"/>
        </w:rPr>
        <w:t>”</w:t>
      </w:r>
      <w:r>
        <w:rPr>
          <w:rFonts w:hint="eastAsia" w:ascii="仿宋" w:hAnsi="仿宋" w:eastAsia="仿宋" w:cs="仿宋"/>
        </w:rPr>
        <w:t>，在全县范围内建设多条传统及只能健身路径、</w:t>
      </w:r>
      <w:r>
        <w:rPr>
          <w:rFonts w:hint="default" w:ascii="Times New Roman" w:hAnsi="Times New Roman" w:eastAsia="仿宋" w:cs="Times New Roman"/>
        </w:rPr>
        <w:t>5</w:t>
      </w:r>
      <w:r>
        <w:rPr>
          <w:rFonts w:hint="eastAsia" w:ascii="仿宋" w:hAnsi="仿宋" w:eastAsia="仿宋" w:cs="仿宋"/>
        </w:rPr>
        <w:t>人制足球场与</w:t>
      </w:r>
      <w:r>
        <w:rPr>
          <w:rFonts w:hint="default" w:ascii="Times New Roman" w:hAnsi="Times New Roman" w:eastAsia="仿宋" w:cs="Times New Roman"/>
        </w:rPr>
        <w:t>7</w:t>
      </w:r>
      <w:r>
        <w:rPr>
          <w:rFonts w:hint="eastAsia" w:ascii="仿宋" w:hAnsi="仿宋" w:eastAsia="仿宋" w:cs="仿宋"/>
        </w:rPr>
        <w:t>人制足球场、口袋健身公园健身设施、多功能运动场、青山湾帆船训练基地等等，以满足群众日益增长的健身需求，大力推进惠安全民运动健身模范县建设。</w:t>
      </w:r>
    </w:p>
    <w:p>
      <w:pPr>
        <w:pStyle w:val="19"/>
        <w:spacing w:before="156" w:beforeLines="50" w:after="156" w:afterLines="50"/>
        <w:ind w:left="720" w:firstLine="0" w:firstLineChars="0"/>
        <w:outlineLvl w:val="1"/>
        <w:rPr>
          <w:rFonts w:ascii="仿宋" w:hAnsi="仿宋" w:eastAsia="仿宋" w:cs="仿宋"/>
          <w:b/>
          <w:bCs/>
          <w:sz w:val="32"/>
          <w:szCs w:val="32"/>
        </w:rPr>
      </w:pPr>
      <w:bookmarkStart w:id="12" w:name="_Toc28688"/>
      <w:bookmarkStart w:id="13" w:name="_Toc415"/>
      <w:bookmarkStart w:id="14" w:name="_Toc2381"/>
      <w:bookmarkStart w:id="15" w:name="_Toc17412"/>
      <w:r>
        <w:rPr>
          <w:rFonts w:hint="eastAsia" w:ascii="仿宋" w:hAnsi="仿宋" w:eastAsia="仿宋" w:cs="仿宋"/>
          <w:b/>
          <w:bCs/>
          <w:sz w:val="32"/>
          <w:szCs w:val="32"/>
        </w:rPr>
        <w:t>二、专项资金立项依据</w:t>
      </w:r>
      <w:bookmarkEnd w:id="11"/>
      <w:bookmarkEnd w:id="12"/>
      <w:bookmarkEnd w:id="13"/>
      <w:bookmarkEnd w:id="14"/>
      <w:bookmarkEnd w:id="15"/>
    </w:p>
    <w:p>
      <w:pPr>
        <w:pStyle w:val="10"/>
        <w:spacing w:before="0" w:beforeAutospacing="0" w:after="0" w:afterAutospacing="0" w:line="360" w:lineRule="auto"/>
        <w:ind w:firstLine="560" w:firstLineChars="200"/>
        <w:jc w:val="both"/>
        <w:rPr>
          <w:rFonts w:ascii="仿宋" w:hAnsi="仿宋" w:eastAsia="仿宋" w:cs="仿宋"/>
          <w:sz w:val="28"/>
          <w:szCs w:val="28"/>
          <w:highlight w:val="yellow"/>
        </w:rPr>
      </w:pPr>
      <w:r>
        <w:rPr>
          <w:rFonts w:hint="eastAsia" w:ascii="仿宋" w:hAnsi="仿宋" w:eastAsia="仿宋" w:cs="仿宋"/>
          <w:sz w:val="28"/>
          <w:szCs w:val="28"/>
        </w:rPr>
        <w:t>本专项资金立项依据为《中共惠安县委办公室惠安县人民政府办公室关于印发&lt;</w:t>
      </w:r>
      <w:r>
        <w:rPr>
          <w:rFonts w:hint="default" w:ascii="Times New Roman" w:hAnsi="Times New Roman" w:eastAsia="仿宋" w:cs="Times New Roman"/>
          <w:sz w:val="28"/>
          <w:szCs w:val="28"/>
        </w:rPr>
        <w:t>2021</w:t>
      </w:r>
      <w:r>
        <w:rPr>
          <w:rFonts w:hint="eastAsia" w:ascii="仿宋" w:hAnsi="仿宋" w:eastAsia="仿宋" w:cs="仿宋"/>
          <w:sz w:val="28"/>
          <w:szCs w:val="28"/>
        </w:rPr>
        <w:t>年全县城乡建设品质提升实施方案&gt;的通知》（惠委办</w:t>
      </w:r>
      <w:r>
        <w:rPr>
          <w:rFonts w:hint="eastAsia" w:ascii="仿宋" w:hAnsi="仿宋" w:eastAsia="仿宋" w:cs="仿宋"/>
          <w:sz w:val="28"/>
          <w:szCs w:val="28"/>
          <w:lang w:eastAsia="zh-CN"/>
        </w:rPr>
        <w:t>〔</w:t>
      </w:r>
      <w:r>
        <w:rPr>
          <w:rFonts w:hint="default" w:ascii="Times New Roman" w:hAnsi="Times New Roman" w:eastAsia="仿宋" w:cs="Times New Roman"/>
          <w:sz w:val="28"/>
          <w:szCs w:val="28"/>
        </w:rPr>
        <w:t>2021</w:t>
      </w:r>
      <w:r>
        <w:rPr>
          <w:rFonts w:hint="eastAsia" w:ascii="Times New Roman" w:hAnsi="Times New Roman" w:eastAsia="仿宋" w:cs="Times New Roman"/>
          <w:sz w:val="28"/>
          <w:szCs w:val="28"/>
          <w:lang w:eastAsia="zh-CN"/>
        </w:rPr>
        <w:t>〕</w:t>
      </w:r>
      <w:r>
        <w:rPr>
          <w:rFonts w:hint="default" w:ascii="Times New Roman" w:hAnsi="Times New Roman" w:eastAsia="仿宋" w:cs="Times New Roman"/>
          <w:sz w:val="28"/>
          <w:szCs w:val="28"/>
        </w:rPr>
        <w:t>12</w:t>
      </w:r>
      <w:r>
        <w:rPr>
          <w:rFonts w:hint="eastAsia" w:ascii="仿宋" w:hAnsi="仿宋" w:eastAsia="仿宋" w:cs="仿宋"/>
          <w:sz w:val="28"/>
          <w:szCs w:val="28"/>
        </w:rPr>
        <w:t>号</w:t>
      </w:r>
      <w:r>
        <w:rPr>
          <w:rFonts w:hint="eastAsia" w:ascii="仿宋" w:hAnsi="仿宋" w:eastAsia="仿宋" w:cs="仿宋"/>
          <w:sz w:val="28"/>
          <w:szCs w:val="28"/>
          <w:lang w:eastAsia="zh-CN"/>
        </w:rPr>
        <w:t>）</w:t>
      </w:r>
      <w:r>
        <w:rPr>
          <w:rFonts w:hint="eastAsia" w:ascii="仿宋" w:hAnsi="仿宋" w:eastAsia="仿宋" w:cs="仿宋"/>
          <w:sz w:val="28"/>
          <w:szCs w:val="28"/>
        </w:rPr>
        <w:t>、《中共惠安县委惠安县人民政府关于确定</w:t>
      </w:r>
      <w:r>
        <w:rPr>
          <w:rFonts w:hint="default" w:ascii="Times New Roman" w:hAnsi="Times New Roman" w:eastAsia="仿宋" w:cs="Times New Roman"/>
          <w:sz w:val="28"/>
          <w:szCs w:val="28"/>
        </w:rPr>
        <w:t>2021年全国文明城市创建达标提升项目的通知》（惠委</w:t>
      </w:r>
      <w:r>
        <w:rPr>
          <w:rFonts w:hint="eastAsia" w:ascii="Times New Roman" w:hAnsi="Times New Roman" w:eastAsia="仿宋" w:cs="Times New Roman"/>
          <w:sz w:val="28"/>
          <w:szCs w:val="28"/>
          <w:lang w:eastAsia="zh-CN"/>
        </w:rPr>
        <w:t>〔</w:t>
      </w:r>
      <w:r>
        <w:rPr>
          <w:rFonts w:hint="default" w:ascii="Times New Roman" w:hAnsi="Times New Roman" w:eastAsia="仿宋" w:cs="Times New Roman"/>
          <w:sz w:val="28"/>
          <w:szCs w:val="28"/>
        </w:rPr>
        <w:t>2021</w:t>
      </w:r>
      <w:r>
        <w:rPr>
          <w:rFonts w:hint="eastAsia" w:ascii="Times New Roman" w:hAnsi="Times New Roman" w:eastAsia="仿宋" w:cs="Times New Roman"/>
          <w:sz w:val="28"/>
          <w:szCs w:val="28"/>
          <w:lang w:eastAsia="zh-CN"/>
        </w:rPr>
        <w:t>〕</w:t>
      </w:r>
      <w:r>
        <w:rPr>
          <w:rFonts w:hint="default" w:ascii="Times New Roman" w:hAnsi="Times New Roman" w:eastAsia="仿宋" w:cs="Times New Roman"/>
          <w:sz w:val="28"/>
          <w:szCs w:val="28"/>
        </w:rPr>
        <w:t>13号</w:t>
      </w:r>
      <w:r>
        <w:rPr>
          <w:rFonts w:hint="eastAsia" w:ascii="仿宋" w:hAnsi="仿宋" w:eastAsia="仿宋" w:cs="仿宋"/>
          <w:sz w:val="28"/>
          <w:szCs w:val="28"/>
          <w:lang w:eastAsia="zh-CN"/>
        </w:rPr>
        <w:t>）</w:t>
      </w:r>
      <w:r>
        <w:rPr>
          <w:rFonts w:hint="eastAsia" w:ascii="仿宋" w:hAnsi="仿宋" w:eastAsia="仿宋" w:cs="仿宋"/>
          <w:sz w:val="28"/>
          <w:szCs w:val="28"/>
        </w:rPr>
        <w:t>、《泉州市人民政府办公室关于印发泉州市口袋健身公园建设三年行动实施方案的通知》（泉政办</w:t>
      </w:r>
      <w:r>
        <w:rPr>
          <w:rFonts w:hint="eastAsia" w:ascii="Times New Roman" w:hAnsi="Times New Roman" w:eastAsia="仿宋" w:cs="Times New Roman"/>
          <w:sz w:val="28"/>
          <w:szCs w:val="28"/>
          <w:lang w:eastAsia="zh-CN"/>
        </w:rPr>
        <w:t>〔</w:t>
      </w:r>
      <w:r>
        <w:rPr>
          <w:rFonts w:hint="default" w:ascii="Times New Roman" w:hAnsi="Times New Roman" w:eastAsia="仿宋" w:cs="Times New Roman"/>
          <w:sz w:val="28"/>
          <w:szCs w:val="28"/>
        </w:rPr>
        <w:t>2021</w:t>
      </w:r>
      <w:r>
        <w:rPr>
          <w:rFonts w:hint="eastAsia" w:ascii="Times New Roman" w:hAnsi="Times New Roman" w:eastAsia="仿宋" w:cs="Times New Roman"/>
          <w:sz w:val="28"/>
          <w:szCs w:val="28"/>
          <w:lang w:eastAsia="zh-CN"/>
        </w:rPr>
        <w:t>〕</w:t>
      </w:r>
      <w:r>
        <w:rPr>
          <w:rFonts w:hint="default" w:ascii="Times New Roman" w:hAnsi="Times New Roman" w:eastAsia="仿宋" w:cs="Times New Roman"/>
          <w:sz w:val="28"/>
          <w:szCs w:val="28"/>
        </w:rPr>
        <w:t>39号</w:t>
      </w:r>
      <w:r>
        <w:rPr>
          <w:rFonts w:hint="eastAsia" w:ascii="Times New Roman" w:hAnsi="Times New Roman" w:eastAsia="仿宋" w:cs="Times New Roman"/>
          <w:sz w:val="28"/>
          <w:szCs w:val="28"/>
          <w:lang w:eastAsia="zh-CN"/>
        </w:rPr>
        <w:t>）</w:t>
      </w:r>
      <w:r>
        <w:rPr>
          <w:rFonts w:hint="default" w:ascii="Times New Roman" w:hAnsi="Times New Roman" w:eastAsia="仿宋" w:cs="Times New Roman"/>
          <w:sz w:val="28"/>
          <w:szCs w:val="28"/>
        </w:rPr>
        <w:t>、《惠安县人民政府办公室关于2022年县政府工作报告目标任务责任分解的通知》（惠政办</w:t>
      </w:r>
      <w:r>
        <w:rPr>
          <w:rFonts w:hint="eastAsia" w:ascii="Times New Roman" w:hAnsi="Times New Roman" w:eastAsia="仿宋" w:cs="Times New Roman"/>
          <w:sz w:val="28"/>
          <w:szCs w:val="28"/>
          <w:lang w:eastAsia="zh-CN"/>
        </w:rPr>
        <w:t>〔</w:t>
      </w:r>
      <w:r>
        <w:rPr>
          <w:rFonts w:hint="default" w:ascii="Times New Roman" w:hAnsi="Times New Roman" w:eastAsia="仿宋" w:cs="Times New Roman"/>
          <w:sz w:val="28"/>
          <w:szCs w:val="28"/>
        </w:rPr>
        <w:t>2022</w:t>
      </w:r>
      <w:r>
        <w:rPr>
          <w:rFonts w:hint="eastAsia" w:ascii="Times New Roman" w:hAnsi="Times New Roman" w:eastAsia="仿宋" w:cs="Times New Roman"/>
          <w:sz w:val="28"/>
          <w:szCs w:val="28"/>
          <w:lang w:eastAsia="zh-CN"/>
        </w:rPr>
        <w:t>〕</w:t>
      </w:r>
      <w:r>
        <w:rPr>
          <w:rFonts w:hint="default" w:ascii="Times New Roman" w:hAnsi="Times New Roman" w:eastAsia="仿宋" w:cs="Times New Roman"/>
          <w:sz w:val="28"/>
          <w:szCs w:val="28"/>
        </w:rPr>
        <w:t>3号</w:t>
      </w:r>
      <w:r>
        <w:rPr>
          <w:rFonts w:hint="eastAsia" w:ascii="Times New Roman" w:hAnsi="Times New Roman" w:eastAsia="仿宋" w:cs="Times New Roman"/>
          <w:sz w:val="28"/>
          <w:szCs w:val="28"/>
          <w:lang w:eastAsia="zh-CN"/>
        </w:rPr>
        <w:t>）</w:t>
      </w:r>
      <w:r>
        <w:rPr>
          <w:rFonts w:hint="default" w:ascii="Times New Roman" w:hAnsi="Times New Roman" w:eastAsia="仿宋" w:cs="Times New Roman"/>
          <w:sz w:val="28"/>
          <w:szCs w:val="28"/>
        </w:rPr>
        <w:t>、《泉州市全民健身领导小组办公室关于2022年泉州市口袋健身公园项目建设的通知》（泉健办</w:t>
      </w:r>
      <w:r>
        <w:rPr>
          <w:rFonts w:hint="eastAsia" w:ascii="Times New Roman" w:hAnsi="Times New Roman" w:eastAsia="仿宋" w:cs="Times New Roman"/>
          <w:sz w:val="28"/>
          <w:szCs w:val="28"/>
          <w:lang w:eastAsia="zh-CN"/>
        </w:rPr>
        <w:t>〔</w:t>
      </w:r>
      <w:r>
        <w:rPr>
          <w:rFonts w:hint="default" w:ascii="Times New Roman" w:hAnsi="Times New Roman" w:eastAsia="仿宋" w:cs="Times New Roman"/>
          <w:sz w:val="28"/>
          <w:szCs w:val="28"/>
        </w:rPr>
        <w:t>2022</w:t>
      </w:r>
      <w:r>
        <w:rPr>
          <w:rFonts w:hint="eastAsia" w:ascii="Times New Roman" w:hAnsi="Times New Roman" w:eastAsia="仿宋" w:cs="Times New Roman"/>
          <w:sz w:val="28"/>
          <w:szCs w:val="28"/>
          <w:lang w:eastAsia="zh-CN"/>
        </w:rPr>
        <w:t>〕</w:t>
      </w:r>
      <w:r>
        <w:rPr>
          <w:rFonts w:hint="default" w:ascii="Times New Roman" w:hAnsi="Times New Roman" w:eastAsia="仿宋" w:cs="Times New Roman"/>
          <w:sz w:val="28"/>
          <w:szCs w:val="28"/>
        </w:rPr>
        <w:t>3号</w:t>
      </w:r>
      <w:r>
        <w:rPr>
          <w:rFonts w:hint="eastAsia" w:ascii="Times New Roman" w:hAnsi="Times New Roman" w:eastAsia="仿宋" w:cs="Times New Roman"/>
          <w:sz w:val="28"/>
          <w:szCs w:val="28"/>
          <w:lang w:eastAsia="zh-CN"/>
        </w:rPr>
        <w:t>）</w:t>
      </w:r>
      <w:r>
        <w:rPr>
          <w:rFonts w:hint="eastAsia" w:ascii="仿宋" w:hAnsi="仿宋" w:eastAsia="仿宋" w:cs="仿宋"/>
          <w:sz w:val="28"/>
          <w:szCs w:val="28"/>
        </w:rPr>
        <w:t>、《泉州市全民健身领导小组</w:t>
      </w:r>
      <w:r>
        <w:rPr>
          <w:rFonts w:hint="default" w:ascii="Times New Roman" w:hAnsi="Times New Roman" w:eastAsia="仿宋" w:cs="Times New Roman"/>
          <w:sz w:val="28"/>
          <w:szCs w:val="28"/>
        </w:rPr>
        <w:t>办公室关于确定2022年度泉州市口袋健身公园项目建设名单的通知》（泉健办</w:t>
      </w:r>
      <w:r>
        <w:rPr>
          <w:rFonts w:hint="eastAsia" w:ascii="Times New Roman" w:hAnsi="Times New Roman" w:eastAsia="仿宋" w:cs="Times New Roman"/>
          <w:sz w:val="28"/>
          <w:szCs w:val="28"/>
          <w:lang w:eastAsia="zh-CN"/>
        </w:rPr>
        <w:t>〔</w:t>
      </w:r>
      <w:r>
        <w:rPr>
          <w:rFonts w:hint="default" w:ascii="Times New Roman" w:hAnsi="Times New Roman" w:eastAsia="仿宋" w:cs="Times New Roman"/>
          <w:sz w:val="28"/>
          <w:szCs w:val="28"/>
        </w:rPr>
        <w:t>2022</w:t>
      </w:r>
      <w:r>
        <w:rPr>
          <w:rFonts w:hint="eastAsia" w:ascii="Times New Roman" w:hAnsi="Times New Roman" w:eastAsia="仿宋" w:cs="Times New Roman"/>
          <w:sz w:val="28"/>
          <w:szCs w:val="28"/>
          <w:lang w:eastAsia="zh-CN"/>
        </w:rPr>
        <w:t>〕</w:t>
      </w:r>
      <w:r>
        <w:rPr>
          <w:rFonts w:hint="default" w:ascii="Times New Roman" w:hAnsi="Times New Roman" w:eastAsia="仿宋" w:cs="Times New Roman"/>
          <w:sz w:val="28"/>
          <w:szCs w:val="28"/>
        </w:rPr>
        <w:t>7号</w:t>
      </w:r>
      <w:r>
        <w:rPr>
          <w:rFonts w:hint="eastAsia" w:ascii="Times New Roman" w:hAnsi="Times New Roman" w:eastAsia="仿宋" w:cs="Times New Roman"/>
          <w:sz w:val="28"/>
          <w:szCs w:val="28"/>
          <w:lang w:eastAsia="zh-CN"/>
        </w:rPr>
        <w:t>）</w:t>
      </w:r>
      <w:r>
        <w:rPr>
          <w:rFonts w:hint="default" w:ascii="Times New Roman" w:hAnsi="Times New Roman" w:eastAsia="仿宋" w:cs="Times New Roman"/>
          <w:sz w:val="28"/>
          <w:szCs w:val="28"/>
        </w:rPr>
        <w:t>等</w:t>
      </w:r>
      <w:r>
        <w:rPr>
          <w:rFonts w:hint="eastAsia" w:ascii="仿宋" w:hAnsi="仿宋" w:eastAsia="仿宋" w:cs="仿宋"/>
          <w:sz w:val="28"/>
          <w:szCs w:val="28"/>
        </w:rPr>
        <w:t>政策文件。</w:t>
      </w:r>
    </w:p>
    <w:p>
      <w:pPr>
        <w:spacing w:before="156" w:beforeLines="50" w:after="156" w:afterLines="50"/>
        <w:ind w:firstLine="643" w:firstLineChars="200"/>
        <w:outlineLvl w:val="1"/>
        <w:rPr>
          <w:rFonts w:ascii="仿宋" w:hAnsi="仿宋" w:eastAsia="仿宋" w:cs="仿宋"/>
          <w:b/>
          <w:bCs/>
          <w:sz w:val="32"/>
          <w:szCs w:val="32"/>
        </w:rPr>
      </w:pPr>
      <w:bookmarkStart w:id="16" w:name="_Toc25714"/>
      <w:bookmarkStart w:id="17" w:name="_Toc1019056815"/>
      <w:bookmarkStart w:id="18" w:name="_Toc12066"/>
      <w:bookmarkStart w:id="19" w:name="_Toc1104"/>
      <w:bookmarkStart w:id="20" w:name="_Toc486"/>
      <w:r>
        <w:rPr>
          <w:rFonts w:hint="eastAsia" w:ascii="仿宋" w:hAnsi="仿宋" w:eastAsia="仿宋" w:cs="仿宋"/>
          <w:b/>
          <w:bCs/>
          <w:sz w:val="32"/>
          <w:szCs w:val="32"/>
        </w:rPr>
        <w:t>三、项目实施目标</w:t>
      </w:r>
      <w:bookmarkEnd w:id="16"/>
      <w:bookmarkEnd w:id="17"/>
      <w:bookmarkEnd w:id="18"/>
      <w:bookmarkEnd w:id="19"/>
      <w:bookmarkEnd w:id="20"/>
    </w:p>
    <w:p>
      <w:pPr>
        <w:ind w:firstLine="560" w:firstLineChars="200"/>
        <w:rPr>
          <w:rFonts w:ascii="仿宋" w:hAnsi="仿宋" w:eastAsia="仿宋" w:cs="仿宋"/>
        </w:rPr>
      </w:pPr>
      <w:r>
        <w:rPr>
          <w:rFonts w:hint="eastAsia" w:ascii="仿宋" w:hAnsi="仿宋" w:eastAsia="仿宋" w:cs="仿宋"/>
        </w:rPr>
        <w:t>依据省委、省政府</w:t>
      </w:r>
      <w:r>
        <w:rPr>
          <w:rFonts w:hint="default" w:ascii="Times New Roman" w:hAnsi="Times New Roman" w:eastAsia="仿宋" w:cs="Times New Roman"/>
        </w:rPr>
        <w:t>《关于开展2021年为民办实事工作的通知》（闽委</w:t>
      </w:r>
      <w:r>
        <w:rPr>
          <w:rFonts w:hint="eastAsia" w:ascii="Times New Roman" w:hAnsi="Times New Roman" w:eastAsia="仿宋" w:cs="Times New Roman"/>
          <w:lang w:eastAsia="zh-CN"/>
        </w:rPr>
        <w:t>〔</w:t>
      </w:r>
      <w:r>
        <w:rPr>
          <w:rFonts w:hint="default" w:ascii="Times New Roman" w:hAnsi="Times New Roman" w:eastAsia="仿宋" w:cs="Times New Roman"/>
        </w:rPr>
        <w:t>2021</w:t>
      </w:r>
      <w:r>
        <w:rPr>
          <w:rFonts w:hint="eastAsia" w:ascii="Times New Roman" w:hAnsi="Times New Roman" w:eastAsia="仿宋" w:cs="Times New Roman"/>
          <w:lang w:eastAsia="zh-CN"/>
        </w:rPr>
        <w:t>〕</w:t>
      </w:r>
      <w:r>
        <w:rPr>
          <w:rFonts w:hint="default" w:ascii="Times New Roman" w:hAnsi="Times New Roman" w:eastAsia="仿宋" w:cs="Times New Roman"/>
        </w:rPr>
        <w:t>6号</w:t>
      </w:r>
      <w:r>
        <w:rPr>
          <w:rFonts w:hint="eastAsia" w:ascii="Times New Roman" w:hAnsi="Times New Roman" w:eastAsia="仿宋" w:cs="Times New Roman"/>
          <w:lang w:eastAsia="zh-CN"/>
        </w:rPr>
        <w:t>）</w:t>
      </w:r>
      <w:r>
        <w:rPr>
          <w:rFonts w:hint="default" w:ascii="Times New Roman" w:hAnsi="Times New Roman" w:eastAsia="仿宋" w:cs="Times New Roman"/>
        </w:rPr>
        <w:t>等文件精神，惠安建设体育基础设施项目是为进一步聚焦提高人民生活便利度，打造</w:t>
      </w:r>
      <w:r>
        <w:rPr>
          <w:rFonts w:hint="eastAsia" w:ascii="Times New Roman" w:hAnsi="Times New Roman" w:eastAsia="仿宋" w:cs="Times New Roman"/>
          <w:lang w:eastAsia="zh-CN"/>
        </w:rPr>
        <w:t>“</w:t>
      </w:r>
      <w:r>
        <w:rPr>
          <w:rFonts w:hint="default" w:ascii="Times New Roman" w:hAnsi="Times New Roman" w:eastAsia="仿宋" w:cs="Times New Roman"/>
        </w:rPr>
        <w:t>15分钟便民生活圈</w:t>
      </w:r>
      <w:r>
        <w:rPr>
          <w:rFonts w:hint="eastAsia" w:ascii="Times New Roman" w:hAnsi="Times New Roman" w:eastAsia="仿宋" w:cs="Times New Roman"/>
          <w:lang w:eastAsia="zh-CN"/>
        </w:rPr>
        <w:t>”</w:t>
      </w:r>
      <w:r>
        <w:rPr>
          <w:rFonts w:hint="default" w:ascii="Times New Roman" w:hAnsi="Times New Roman" w:eastAsia="仿宋" w:cs="Times New Roman"/>
        </w:rPr>
        <w:t>，推进城区口袋公园建设，加大配套设施保障力度，持续推进惠安县全民健身场地设施建设提档升级，进一步扩大服务面、拓宽生活圈，探索形成功能完善、业态齐全、智慧便捷、服务优质的生活格局。具体实施工作是拟在全县建设：（1</w:t>
      </w:r>
      <w:r>
        <w:rPr>
          <w:rFonts w:hint="eastAsia" w:ascii="Times New Roman" w:hAnsi="Times New Roman" w:eastAsia="仿宋" w:cs="Times New Roman"/>
          <w:lang w:eastAsia="zh-CN"/>
        </w:rPr>
        <w:t>）</w:t>
      </w:r>
      <w:r>
        <w:rPr>
          <w:rFonts w:hint="default" w:ascii="Times New Roman" w:hAnsi="Times New Roman" w:eastAsia="仿宋" w:cs="Times New Roman"/>
        </w:rPr>
        <w:t>10条健身路径；（2</w:t>
      </w:r>
      <w:r>
        <w:rPr>
          <w:rFonts w:hint="eastAsia" w:ascii="Times New Roman" w:hAnsi="Times New Roman" w:eastAsia="仿宋" w:cs="Times New Roman"/>
          <w:lang w:eastAsia="zh-CN"/>
        </w:rPr>
        <w:t>）</w:t>
      </w:r>
      <w:r>
        <w:rPr>
          <w:rFonts w:hint="default" w:ascii="Times New Roman" w:hAnsi="Times New Roman" w:eastAsia="仿宋" w:cs="Times New Roman"/>
        </w:rPr>
        <w:t>1块5人制足球场；（3</w:t>
      </w:r>
      <w:r>
        <w:rPr>
          <w:rFonts w:hint="eastAsia" w:ascii="Times New Roman" w:hAnsi="Times New Roman" w:eastAsia="仿宋" w:cs="Times New Roman"/>
          <w:lang w:eastAsia="zh-CN"/>
        </w:rPr>
        <w:t>）</w:t>
      </w:r>
      <w:r>
        <w:rPr>
          <w:rFonts w:hint="default" w:ascii="Times New Roman" w:hAnsi="Times New Roman" w:eastAsia="仿宋" w:cs="Times New Roman"/>
        </w:rPr>
        <w:t>5个口袋健身公园健身设施；（4</w:t>
      </w:r>
      <w:r>
        <w:rPr>
          <w:rFonts w:hint="eastAsia" w:ascii="Times New Roman" w:hAnsi="Times New Roman" w:eastAsia="仿宋" w:cs="Times New Roman"/>
          <w:lang w:eastAsia="zh-CN"/>
        </w:rPr>
        <w:t>）</w:t>
      </w:r>
      <w:r>
        <w:rPr>
          <w:rFonts w:hint="default" w:ascii="Times New Roman" w:hAnsi="Times New Roman" w:eastAsia="仿宋" w:cs="Times New Roman"/>
        </w:rPr>
        <w:t>3个多功能运动场；（5</w:t>
      </w:r>
      <w:r>
        <w:rPr>
          <w:rFonts w:hint="eastAsia" w:ascii="Times New Roman" w:hAnsi="Times New Roman" w:eastAsia="仿宋" w:cs="Times New Roman"/>
          <w:lang w:eastAsia="zh-CN"/>
        </w:rPr>
        <w:t>）</w:t>
      </w:r>
      <w:r>
        <w:rPr>
          <w:rFonts w:hint="default" w:ascii="Times New Roman" w:hAnsi="Times New Roman" w:eastAsia="仿宋" w:cs="Times New Roman"/>
        </w:rPr>
        <w:t>1块7人制足球场，</w:t>
      </w:r>
      <w:r>
        <w:rPr>
          <w:rFonts w:hint="default" w:ascii="Times New Roman" w:hAnsi="Times New Roman" w:eastAsia="仿宋" w:cs="Times New Roman"/>
          <w:szCs w:val="28"/>
        </w:rPr>
        <w:t>为周边居民提供就近</w:t>
      </w:r>
      <w:r>
        <w:rPr>
          <w:rFonts w:hint="eastAsia" w:ascii="仿宋" w:hAnsi="仿宋" w:eastAsia="仿宋" w:cs="仿宋"/>
          <w:szCs w:val="28"/>
        </w:rPr>
        <w:t>的日常体育运动场所，</w:t>
      </w:r>
      <w:r>
        <w:rPr>
          <w:rFonts w:hint="eastAsia" w:ascii="仿宋" w:hAnsi="仿宋" w:eastAsia="仿宋" w:cs="仿宋"/>
        </w:rPr>
        <w:t>以满足群众日益增长的健身需求。</w:t>
      </w:r>
    </w:p>
    <w:p>
      <w:pPr>
        <w:tabs>
          <w:tab w:val="left" w:pos="2694"/>
        </w:tabs>
        <w:spacing w:before="156" w:beforeLines="50" w:after="156" w:afterLines="50"/>
        <w:ind w:firstLine="643" w:firstLineChars="200"/>
        <w:outlineLvl w:val="1"/>
        <w:rPr>
          <w:rFonts w:ascii="仿宋" w:hAnsi="仿宋" w:eastAsia="仿宋" w:cs="仿宋"/>
          <w:b/>
          <w:bCs/>
        </w:rPr>
      </w:pPr>
      <w:bookmarkStart w:id="21" w:name="_Toc1474093742"/>
      <w:bookmarkStart w:id="22" w:name="_Toc13969"/>
      <w:bookmarkStart w:id="23" w:name="_Toc1588"/>
      <w:bookmarkStart w:id="24" w:name="_Toc31928"/>
      <w:bookmarkStart w:id="25" w:name="_Toc8002"/>
      <w:r>
        <w:rPr>
          <w:rFonts w:hint="eastAsia" w:ascii="仿宋" w:hAnsi="仿宋" w:eastAsia="仿宋" w:cs="仿宋"/>
          <w:b/>
          <w:bCs/>
          <w:sz w:val="32"/>
          <w:szCs w:val="32"/>
        </w:rPr>
        <w:t>四、资金</w:t>
      </w:r>
      <w:bookmarkEnd w:id="21"/>
      <w:r>
        <w:rPr>
          <w:rFonts w:hint="eastAsia" w:ascii="仿宋" w:hAnsi="仿宋" w:eastAsia="仿宋" w:cs="仿宋"/>
          <w:b/>
          <w:bCs/>
          <w:sz w:val="32"/>
          <w:szCs w:val="32"/>
        </w:rPr>
        <w:t>执行情况</w:t>
      </w:r>
      <w:bookmarkEnd w:id="22"/>
      <w:bookmarkEnd w:id="23"/>
      <w:bookmarkEnd w:id="24"/>
      <w:bookmarkEnd w:id="25"/>
      <w:bookmarkStart w:id="26" w:name="_Hlk115714663"/>
    </w:p>
    <w:p>
      <w:pPr>
        <w:ind w:firstLine="560" w:firstLineChars="200"/>
        <w:rPr>
          <w:rFonts w:ascii="仿宋" w:hAnsi="仿宋" w:eastAsia="仿宋" w:cs="仿宋"/>
          <w:szCs w:val="28"/>
        </w:rPr>
      </w:pPr>
      <w:r>
        <w:rPr>
          <w:rFonts w:hint="eastAsia" w:ascii="仿宋" w:hAnsi="仿宋" w:eastAsia="仿宋" w:cs="仿宋"/>
        </w:rPr>
        <w:t>惠安县建设</w:t>
      </w:r>
      <w:r>
        <w:rPr>
          <w:rFonts w:hint="default" w:ascii="Times New Roman" w:hAnsi="Times New Roman" w:eastAsia="仿宋" w:cs="Times New Roman"/>
        </w:rPr>
        <w:t>体育基础设施</w:t>
      </w:r>
      <w:r>
        <w:rPr>
          <w:rFonts w:hint="default" w:ascii="Times New Roman" w:hAnsi="Times New Roman" w:eastAsia="仿宋" w:cs="Times New Roman"/>
          <w:szCs w:val="28"/>
        </w:rPr>
        <w:t>项目资金共计606万元，该资金由惠安县财政统筹安排，自2021年起分三年下达。根据惠安县文化体育和旅游局政府采购验收报告单及工程竣工验收报告等相关材料，2021年和2022年度</w:t>
      </w:r>
      <w:r>
        <w:rPr>
          <w:rFonts w:hint="default" w:ascii="Times New Roman" w:hAnsi="Times New Roman" w:eastAsia="仿宋" w:cs="Times New Roman"/>
        </w:rPr>
        <w:t>建设体育基础设施项目资金</w:t>
      </w:r>
      <w:r>
        <w:rPr>
          <w:rFonts w:hint="default" w:ascii="Times New Roman" w:hAnsi="Times New Roman" w:eastAsia="仿宋" w:cs="Times New Roman"/>
          <w:szCs w:val="28"/>
        </w:rPr>
        <w:t>支出总额分别为128.81万元、395.264万元，执行情况详见表1。综合来看，多功能运动场项目支出占比最大，其次是传统健身路径</w:t>
      </w:r>
      <w:r>
        <w:rPr>
          <w:rFonts w:hint="eastAsia" w:ascii="仿宋" w:hAnsi="仿宋" w:eastAsia="仿宋" w:cs="仿宋"/>
          <w:szCs w:val="28"/>
        </w:rPr>
        <w:t>与足球场项目。</w:t>
      </w:r>
    </w:p>
    <w:p>
      <w:pPr>
        <w:ind w:firstLine="560" w:firstLineChars="200"/>
        <w:rPr>
          <w:rFonts w:hint="default" w:ascii="Times New Roman" w:hAnsi="Times New Roman" w:eastAsia="仿宋" w:cs="Times New Roman"/>
          <w:szCs w:val="28"/>
        </w:rPr>
      </w:pPr>
      <w:r>
        <w:rPr>
          <w:rFonts w:hint="eastAsia" w:ascii="仿宋" w:hAnsi="仿宋" w:eastAsia="仿宋" w:cs="仿宋"/>
          <w:szCs w:val="28"/>
        </w:rPr>
        <w:t>具体来看，专项资金主要用于体育健身设施、器材采购配备。足球场的项目支出主要在于</w:t>
      </w:r>
      <w:r>
        <w:rPr>
          <w:rFonts w:hint="default" w:ascii="Times New Roman" w:hAnsi="Times New Roman" w:eastAsia="仿宋" w:cs="Times New Roman"/>
          <w:szCs w:val="28"/>
        </w:rPr>
        <w:t>购买人造草皮，以7人制足球场为例，70%以上的支出集中于人造草的购买（如表2</w:t>
      </w:r>
      <w:r>
        <w:rPr>
          <w:rFonts w:hint="eastAsia" w:ascii="Times New Roman" w:hAnsi="Times New Roman" w:eastAsia="仿宋" w:cs="Times New Roman"/>
          <w:szCs w:val="28"/>
          <w:lang w:eastAsia="zh-CN"/>
        </w:rPr>
        <w:t>）</w:t>
      </w:r>
      <w:r>
        <w:rPr>
          <w:rFonts w:hint="default" w:ascii="Times New Roman" w:hAnsi="Times New Roman" w:eastAsia="仿宋" w:cs="Times New Roman"/>
          <w:szCs w:val="28"/>
        </w:rPr>
        <w:t>，属于足球场建设的核心产品。</w:t>
      </w:r>
    </w:p>
    <w:p>
      <w:pPr>
        <w:ind w:firstLine="560" w:firstLineChars="200"/>
        <w:rPr>
          <w:rFonts w:ascii="仿宋" w:hAnsi="仿宋" w:eastAsia="仿宋" w:cs="仿宋"/>
          <w:szCs w:val="28"/>
        </w:rPr>
      </w:pPr>
    </w:p>
    <w:p>
      <w:pPr>
        <w:spacing w:line="240" w:lineRule="auto"/>
        <w:jc w:val="center"/>
        <w:rPr>
          <w:rFonts w:hint="default" w:ascii="Times New Roman" w:hAnsi="Times New Roman" w:eastAsia="仿宋" w:cs="Times New Roman"/>
          <w:szCs w:val="28"/>
        </w:rPr>
      </w:pPr>
      <w:r>
        <w:rPr>
          <w:rFonts w:hint="default" w:ascii="Times New Roman" w:hAnsi="Times New Roman" w:eastAsia="仿宋" w:cs="Times New Roman"/>
          <w:b/>
          <w:bCs/>
          <w:color w:val="000000"/>
          <w:kern w:val="0"/>
          <w:sz w:val="24"/>
          <w:lang w:bidi="ar"/>
        </w:rPr>
        <w:t>表</w:t>
      </w:r>
      <w:r>
        <w:rPr>
          <w:rStyle w:val="23"/>
          <w:rFonts w:hint="default" w:ascii="Times New Roman" w:hAnsi="Times New Roman" w:eastAsia="仿宋" w:cs="Times New Roman"/>
          <w:lang w:bidi="ar"/>
        </w:rPr>
        <w:t>1</w:t>
      </w:r>
      <w:r>
        <w:rPr>
          <w:rStyle w:val="24"/>
          <w:rFonts w:hint="default" w:ascii="Times New Roman" w:hAnsi="Times New Roman" w:eastAsia="仿宋" w:cs="Times New Roman"/>
          <w:lang w:bidi="ar"/>
        </w:rPr>
        <w:t xml:space="preserve">  </w:t>
      </w:r>
      <w:r>
        <w:rPr>
          <w:rStyle w:val="23"/>
          <w:rFonts w:hint="default" w:ascii="Times New Roman" w:hAnsi="Times New Roman" w:eastAsia="仿宋" w:cs="Times New Roman"/>
          <w:lang w:bidi="ar"/>
        </w:rPr>
        <w:t>2021-2022</w:t>
      </w:r>
      <w:r>
        <w:rPr>
          <w:rStyle w:val="24"/>
          <w:rFonts w:hint="default" w:ascii="Times New Roman" w:hAnsi="Times New Roman" w:eastAsia="仿宋" w:cs="Times New Roman"/>
          <w:lang w:bidi="ar"/>
        </w:rPr>
        <w:t>年建设体育基础设施专项资金执行情况</w:t>
      </w:r>
    </w:p>
    <w:tbl>
      <w:tblPr>
        <w:tblStyle w:val="11"/>
        <w:tblW w:w="6720" w:type="dxa"/>
        <w:jc w:val="center"/>
        <w:tblLayout w:type="autofit"/>
        <w:tblCellMar>
          <w:top w:w="0" w:type="dxa"/>
          <w:left w:w="108" w:type="dxa"/>
          <w:bottom w:w="0" w:type="dxa"/>
          <w:right w:w="108" w:type="dxa"/>
        </w:tblCellMar>
      </w:tblPr>
      <w:tblGrid>
        <w:gridCol w:w="1930"/>
        <w:gridCol w:w="2080"/>
        <w:gridCol w:w="2710"/>
      </w:tblGrid>
      <w:tr>
        <w:tblPrEx>
          <w:tblCellMar>
            <w:top w:w="0" w:type="dxa"/>
            <w:left w:w="108" w:type="dxa"/>
            <w:bottom w:w="0" w:type="dxa"/>
            <w:right w:w="108" w:type="dxa"/>
          </w:tblCellMar>
        </w:tblPrEx>
        <w:trPr>
          <w:trHeight w:val="23" w:hRule="atLeast"/>
          <w:jc w:val="center"/>
        </w:trPr>
        <w:tc>
          <w:tcPr>
            <w:tcW w:w="1930" w:type="dxa"/>
            <w:tcBorders>
              <w:top w:val="single" w:color="auto" w:sz="8" w:space="0"/>
              <w:left w:val="nil"/>
              <w:bottom w:val="single" w:color="auto" w:sz="4" w:space="0"/>
              <w:right w:val="nil"/>
            </w:tcBorders>
            <w:shd w:val="clear" w:color="auto" w:fill="auto"/>
            <w:vAlign w:val="center"/>
          </w:tcPr>
          <w:p>
            <w:pPr>
              <w:widowControl/>
              <w:spacing w:line="240" w:lineRule="auto"/>
              <w:jc w:val="center"/>
              <w:textAlignment w:val="center"/>
              <w:rPr>
                <w:rFonts w:hint="default" w:ascii="Times New Roman" w:hAnsi="Times New Roman" w:eastAsia="仿宋" w:cs="Times New Roman"/>
                <w:b/>
                <w:bCs/>
                <w:color w:val="000000"/>
                <w:sz w:val="22"/>
                <w:szCs w:val="22"/>
              </w:rPr>
            </w:pPr>
            <w:r>
              <w:rPr>
                <w:rFonts w:hint="default" w:ascii="Times New Roman" w:hAnsi="Times New Roman" w:eastAsia="仿宋" w:cs="Times New Roman"/>
                <w:b/>
                <w:bCs/>
                <w:color w:val="000000"/>
                <w:kern w:val="0"/>
                <w:sz w:val="22"/>
                <w:szCs w:val="22"/>
                <w:lang w:bidi="ar"/>
              </w:rPr>
              <w:t>所属预算年度</w:t>
            </w:r>
          </w:p>
        </w:tc>
        <w:tc>
          <w:tcPr>
            <w:tcW w:w="2080" w:type="dxa"/>
            <w:tcBorders>
              <w:top w:val="single" w:color="auto" w:sz="8" w:space="0"/>
              <w:left w:val="nil"/>
              <w:bottom w:val="single" w:color="auto" w:sz="4" w:space="0"/>
              <w:right w:val="nil"/>
            </w:tcBorders>
            <w:shd w:val="clear" w:color="auto" w:fill="auto"/>
            <w:vAlign w:val="center"/>
          </w:tcPr>
          <w:p>
            <w:pPr>
              <w:widowControl/>
              <w:spacing w:line="240" w:lineRule="auto"/>
              <w:jc w:val="center"/>
              <w:textAlignment w:val="center"/>
              <w:rPr>
                <w:rFonts w:hint="default" w:ascii="Times New Roman" w:hAnsi="Times New Roman" w:eastAsia="仿宋" w:cs="Times New Roman"/>
                <w:b/>
                <w:bCs/>
                <w:color w:val="000000"/>
                <w:sz w:val="22"/>
                <w:szCs w:val="22"/>
              </w:rPr>
            </w:pPr>
            <w:r>
              <w:rPr>
                <w:rFonts w:hint="default" w:ascii="Times New Roman" w:hAnsi="Times New Roman" w:eastAsia="仿宋" w:cs="Times New Roman"/>
                <w:b/>
                <w:bCs/>
                <w:color w:val="000000"/>
                <w:kern w:val="0"/>
                <w:sz w:val="22"/>
                <w:szCs w:val="22"/>
                <w:lang w:bidi="ar"/>
              </w:rPr>
              <w:t>项目</w:t>
            </w:r>
          </w:p>
        </w:tc>
        <w:tc>
          <w:tcPr>
            <w:tcW w:w="2710" w:type="dxa"/>
            <w:tcBorders>
              <w:top w:val="single" w:color="auto" w:sz="8" w:space="0"/>
              <w:left w:val="nil"/>
              <w:bottom w:val="single" w:color="auto" w:sz="4" w:space="0"/>
              <w:right w:val="nil"/>
            </w:tcBorders>
            <w:shd w:val="clear" w:color="auto" w:fill="auto"/>
            <w:vAlign w:val="center"/>
          </w:tcPr>
          <w:p>
            <w:pPr>
              <w:widowControl/>
              <w:spacing w:line="240" w:lineRule="auto"/>
              <w:jc w:val="center"/>
              <w:textAlignment w:val="center"/>
              <w:rPr>
                <w:rFonts w:hint="eastAsia" w:ascii="Times New Roman" w:hAnsi="Times New Roman" w:eastAsia="仿宋" w:cs="Times New Roman"/>
                <w:b/>
                <w:bCs/>
                <w:color w:val="000000"/>
                <w:sz w:val="22"/>
                <w:szCs w:val="22"/>
                <w:lang w:eastAsia="zh-CN"/>
              </w:rPr>
            </w:pPr>
            <w:r>
              <w:rPr>
                <w:rFonts w:hint="default" w:ascii="Times New Roman" w:hAnsi="Times New Roman" w:eastAsia="仿宋" w:cs="Times New Roman"/>
                <w:b/>
                <w:bCs/>
                <w:color w:val="000000"/>
                <w:kern w:val="0"/>
                <w:sz w:val="22"/>
                <w:szCs w:val="22"/>
                <w:lang w:bidi="ar"/>
              </w:rPr>
              <w:t>实际支出（万元</w:t>
            </w:r>
            <w:r>
              <w:rPr>
                <w:rFonts w:hint="eastAsia" w:ascii="Times New Roman" w:hAnsi="Times New Roman" w:eastAsia="仿宋" w:cs="Times New Roman"/>
                <w:b/>
                <w:bCs/>
                <w:color w:val="000000"/>
                <w:kern w:val="0"/>
                <w:sz w:val="22"/>
                <w:szCs w:val="22"/>
                <w:lang w:eastAsia="zh-CN" w:bidi="ar"/>
              </w:rPr>
              <w:t>）</w:t>
            </w:r>
          </w:p>
        </w:tc>
      </w:tr>
      <w:tr>
        <w:tblPrEx>
          <w:tblCellMar>
            <w:top w:w="0" w:type="dxa"/>
            <w:left w:w="108" w:type="dxa"/>
            <w:bottom w:w="0" w:type="dxa"/>
            <w:right w:w="108" w:type="dxa"/>
          </w:tblCellMar>
        </w:tblPrEx>
        <w:trPr>
          <w:trHeight w:val="23" w:hRule="atLeast"/>
          <w:jc w:val="center"/>
        </w:trPr>
        <w:tc>
          <w:tcPr>
            <w:tcW w:w="1930" w:type="dxa"/>
            <w:vMerge w:val="restart"/>
            <w:tcBorders>
              <w:top w:val="single" w:color="auto" w:sz="4" w:space="0"/>
              <w:left w:val="nil"/>
              <w:bottom w:val="nil"/>
              <w:right w:val="nil"/>
            </w:tcBorders>
            <w:shd w:val="clear" w:color="auto" w:fill="auto"/>
            <w:vAlign w:val="center"/>
          </w:tcPr>
          <w:p>
            <w:pPr>
              <w:widowControl/>
              <w:spacing w:line="240" w:lineRule="auto"/>
              <w:jc w:val="center"/>
              <w:textAlignment w:val="center"/>
              <w:rPr>
                <w:rFonts w:hint="default" w:ascii="Times New Roman" w:hAnsi="Times New Roman" w:eastAsia="仿宋" w:cs="Times New Roman"/>
                <w:b/>
                <w:bCs/>
                <w:color w:val="000000"/>
                <w:sz w:val="22"/>
                <w:szCs w:val="22"/>
              </w:rPr>
            </w:pPr>
            <w:r>
              <w:rPr>
                <w:rStyle w:val="28"/>
                <w:rFonts w:hint="default" w:ascii="Times New Roman" w:hAnsi="Times New Roman" w:eastAsia="仿宋" w:cs="Times New Roman"/>
                <w:lang w:bidi="ar"/>
              </w:rPr>
              <w:t>2021</w:t>
            </w:r>
            <w:r>
              <w:rPr>
                <w:rFonts w:hint="default" w:ascii="Times New Roman" w:hAnsi="Times New Roman" w:eastAsia="仿宋" w:cs="Times New Roman"/>
                <w:b/>
                <w:bCs/>
                <w:color w:val="000000"/>
                <w:kern w:val="0"/>
                <w:sz w:val="22"/>
                <w:szCs w:val="22"/>
                <w:lang w:bidi="ar"/>
              </w:rPr>
              <w:t>年</w:t>
            </w:r>
          </w:p>
        </w:tc>
        <w:tc>
          <w:tcPr>
            <w:tcW w:w="2080" w:type="dxa"/>
            <w:tcBorders>
              <w:top w:val="single" w:color="auto" w:sz="4" w:space="0"/>
              <w:left w:val="nil"/>
              <w:bottom w:val="nil"/>
              <w:right w:val="nil"/>
            </w:tcBorders>
            <w:shd w:val="clear" w:color="auto" w:fill="auto"/>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传统健身路径</w:t>
            </w:r>
          </w:p>
        </w:tc>
        <w:tc>
          <w:tcPr>
            <w:tcW w:w="2710" w:type="dxa"/>
            <w:tcBorders>
              <w:top w:val="single" w:color="auto" w:sz="4" w:space="0"/>
              <w:left w:val="nil"/>
              <w:bottom w:val="nil"/>
              <w:right w:val="nil"/>
            </w:tcBorders>
            <w:shd w:val="clear" w:color="auto" w:fill="auto"/>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70.9968</w:t>
            </w:r>
          </w:p>
        </w:tc>
      </w:tr>
      <w:tr>
        <w:tblPrEx>
          <w:tblCellMar>
            <w:top w:w="0" w:type="dxa"/>
            <w:left w:w="108" w:type="dxa"/>
            <w:bottom w:w="0" w:type="dxa"/>
            <w:right w:w="108" w:type="dxa"/>
          </w:tblCellMar>
        </w:tblPrEx>
        <w:trPr>
          <w:trHeight w:val="23" w:hRule="atLeast"/>
          <w:jc w:val="center"/>
        </w:trPr>
        <w:tc>
          <w:tcPr>
            <w:tcW w:w="1930" w:type="dxa"/>
            <w:vMerge w:val="continue"/>
            <w:tcBorders>
              <w:top w:val="nil"/>
              <w:left w:val="nil"/>
              <w:bottom w:val="single" w:color="auto" w:sz="4" w:space="0"/>
              <w:right w:val="nil"/>
            </w:tcBorders>
            <w:shd w:val="clear" w:color="auto" w:fill="auto"/>
            <w:vAlign w:val="center"/>
          </w:tcPr>
          <w:p>
            <w:pPr>
              <w:spacing w:line="240" w:lineRule="auto"/>
              <w:jc w:val="center"/>
              <w:rPr>
                <w:rFonts w:hint="default" w:ascii="Times New Roman" w:hAnsi="Times New Roman" w:eastAsia="仿宋" w:cs="Times New Roman"/>
                <w:b/>
                <w:bCs/>
                <w:color w:val="000000"/>
                <w:sz w:val="22"/>
                <w:szCs w:val="22"/>
              </w:rPr>
            </w:pPr>
          </w:p>
        </w:tc>
        <w:tc>
          <w:tcPr>
            <w:tcW w:w="2080" w:type="dxa"/>
            <w:tcBorders>
              <w:top w:val="nil"/>
              <w:left w:val="nil"/>
              <w:bottom w:val="single" w:color="auto" w:sz="4" w:space="0"/>
              <w:right w:val="nil"/>
            </w:tcBorders>
            <w:shd w:val="clear" w:color="auto" w:fill="auto"/>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多功能运动场</w:t>
            </w:r>
          </w:p>
        </w:tc>
        <w:tc>
          <w:tcPr>
            <w:tcW w:w="2710" w:type="dxa"/>
            <w:tcBorders>
              <w:top w:val="nil"/>
              <w:left w:val="nil"/>
              <w:bottom w:val="single" w:color="auto" w:sz="4" w:space="0"/>
              <w:right w:val="nil"/>
            </w:tcBorders>
            <w:shd w:val="clear" w:color="auto" w:fill="auto"/>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57.8118</w:t>
            </w:r>
          </w:p>
        </w:tc>
      </w:tr>
      <w:tr>
        <w:tblPrEx>
          <w:tblCellMar>
            <w:top w:w="0" w:type="dxa"/>
            <w:left w:w="108" w:type="dxa"/>
            <w:bottom w:w="0" w:type="dxa"/>
            <w:right w:w="108" w:type="dxa"/>
          </w:tblCellMar>
        </w:tblPrEx>
        <w:trPr>
          <w:trHeight w:val="23" w:hRule="atLeast"/>
          <w:jc w:val="center"/>
        </w:trPr>
        <w:tc>
          <w:tcPr>
            <w:tcW w:w="4010" w:type="dxa"/>
            <w:gridSpan w:val="2"/>
            <w:tcBorders>
              <w:top w:val="single" w:color="auto" w:sz="4" w:space="0"/>
              <w:left w:val="nil"/>
              <w:bottom w:val="single" w:color="auto" w:sz="4" w:space="0"/>
              <w:right w:val="nil"/>
            </w:tcBorders>
            <w:shd w:val="clear" w:color="auto" w:fill="auto"/>
            <w:vAlign w:val="center"/>
          </w:tcPr>
          <w:p>
            <w:pPr>
              <w:widowControl/>
              <w:spacing w:line="240" w:lineRule="auto"/>
              <w:jc w:val="center"/>
              <w:textAlignment w:val="center"/>
              <w:rPr>
                <w:rFonts w:hint="default" w:ascii="Times New Roman" w:hAnsi="Times New Roman" w:eastAsia="仿宋" w:cs="Times New Roman"/>
                <w:b/>
                <w:bCs/>
                <w:color w:val="000000"/>
                <w:sz w:val="22"/>
                <w:szCs w:val="22"/>
              </w:rPr>
            </w:pPr>
            <w:r>
              <w:rPr>
                <w:rFonts w:hint="default" w:ascii="Times New Roman" w:hAnsi="Times New Roman" w:eastAsia="仿宋" w:cs="Times New Roman"/>
                <w:b/>
                <w:bCs/>
                <w:color w:val="000000"/>
                <w:kern w:val="0"/>
                <w:sz w:val="22"/>
                <w:szCs w:val="22"/>
                <w:lang w:bidi="ar"/>
              </w:rPr>
              <w:t>小计</w:t>
            </w:r>
          </w:p>
        </w:tc>
        <w:tc>
          <w:tcPr>
            <w:tcW w:w="2710" w:type="dxa"/>
            <w:tcBorders>
              <w:top w:val="single" w:color="auto" w:sz="4" w:space="0"/>
              <w:left w:val="nil"/>
              <w:bottom w:val="single" w:color="auto" w:sz="4" w:space="0"/>
              <w:right w:val="nil"/>
            </w:tcBorders>
            <w:shd w:val="clear" w:color="auto" w:fill="auto"/>
            <w:vAlign w:val="center"/>
          </w:tcPr>
          <w:p>
            <w:pPr>
              <w:widowControl/>
              <w:spacing w:line="240" w:lineRule="auto"/>
              <w:jc w:val="center"/>
              <w:textAlignment w:val="center"/>
              <w:rPr>
                <w:rFonts w:hint="default" w:ascii="Times New Roman" w:hAnsi="Times New Roman" w:eastAsia="仿宋" w:cs="Times New Roman"/>
                <w:b/>
                <w:bCs/>
                <w:color w:val="000000"/>
                <w:sz w:val="22"/>
                <w:szCs w:val="22"/>
              </w:rPr>
            </w:pPr>
            <w:r>
              <w:rPr>
                <w:rFonts w:hint="default" w:ascii="Times New Roman" w:hAnsi="Times New Roman" w:eastAsia="仿宋" w:cs="Times New Roman"/>
                <w:b/>
                <w:bCs/>
                <w:color w:val="000000"/>
                <w:kern w:val="0"/>
                <w:sz w:val="22"/>
                <w:szCs w:val="22"/>
                <w:lang w:bidi="ar"/>
              </w:rPr>
              <w:t>128.8086</w:t>
            </w:r>
          </w:p>
        </w:tc>
      </w:tr>
      <w:tr>
        <w:tblPrEx>
          <w:tblCellMar>
            <w:top w:w="0" w:type="dxa"/>
            <w:left w:w="108" w:type="dxa"/>
            <w:bottom w:w="0" w:type="dxa"/>
            <w:right w:w="108" w:type="dxa"/>
          </w:tblCellMar>
        </w:tblPrEx>
        <w:trPr>
          <w:trHeight w:val="23" w:hRule="atLeast"/>
          <w:jc w:val="center"/>
        </w:trPr>
        <w:tc>
          <w:tcPr>
            <w:tcW w:w="1930" w:type="dxa"/>
            <w:vMerge w:val="restart"/>
            <w:tcBorders>
              <w:top w:val="single" w:color="auto" w:sz="4" w:space="0"/>
              <w:left w:val="nil"/>
              <w:bottom w:val="nil"/>
              <w:right w:val="nil"/>
            </w:tcBorders>
            <w:shd w:val="clear" w:color="auto" w:fill="auto"/>
            <w:vAlign w:val="center"/>
          </w:tcPr>
          <w:p>
            <w:pPr>
              <w:widowControl/>
              <w:spacing w:line="240" w:lineRule="auto"/>
              <w:jc w:val="center"/>
              <w:textAlignment w:val="center"/>
              <w:rPr>
                <w:rFonts w:hint="default" w:ascii="Times New Roman" w:hAnsi="Times New Roman" w:eastAsia="仿宋" w:cs="Times New Roman"/>
                <w:b/>
                <w:bCs/>
                <w:color w:val="000000"/>
                <w:sz w:val="22"/>
                <w:szCs w:val="22"/>
              </w:rPr>
            </w:pPr>
            <w:r>
              <w:rPr>
                <w:rStyle w:val="28"/>
                <w:rFonts w:hint="default" w:ascii="Times New Roman" w:hAnsi="Times New Roman" w:eastAsia="仿宋" w:cs="Times New Roman"/>
                <w:lang w:bidi="ar"/>
              </w:rPr>
              <w:t>2022</w:t>
            </w:r>
            <w:r>
              <w:rPr>
                <w:rFonts w:hint="default" w:ascii="Times New Roman" w:hAnsi="Times New Roman" w:eastAsia="仿宋" w:cs="Times New Roman"/>
                <w:b/>
                <w:bCs/>
                <w:color w:val="000000"/>
                <w:kern w:val="0"/>
                <w:sz w:val="22"/>
                <w:szCs w:val="22"/>
                <w:lang w:bidi="ar"/>
              </w:rPr>
              <w:t>年</w:t>
            </w:r>
          </w:p>
        </w:tc>
        <w:tc>
          <w:tcPr>
            <w:tcW w:w="2080" w:type="dxa"/>
            <w:tcBorders>
              <w:top w:val="single" w:color="auto" w:sz="4" w:space="0"/>
              <w:left w:val="nil"/>
              <w:bottom w:val="nil"/>
              <w:right w:val="nil"/>
            </w:tcBorders>
            <w:shd w:val="clear" w:color="auto" w:fill="auto"/>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智能健身路径</w:t>
            </w:r>
          </w:p>
        </w:tc>
        <w:tc>
          <w:tcPr>
            <w:tcW w:w="2710" w:type="dxa"/>
            <w:tcBorders>
              <w:top w:val="single" w:color="auto" w:sz="4" w:space="0"/>
              <w:left w:val="nil"/>
              <w:bottom w:val="nil"/>
              <w:right w:val="nil"/>
            </w:tcBorders>
            <w:shd w:val="clear" w:color="auto" w:fill="auto"/>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34.97</w:t>
            </w:r>
          </w:p>
        </w:tc>
      </w:tr>
      <w:tr>
        <w:tblPrEx>
          <w:tblCellMar>
            <w:top w:w="0" w:type="dxa"/>
            <w:left w:w="108" w:type="dxa"/>
            <w:bottom w:w="0" w:type="dxa"/>
            <w:right w:w="108" w:type="dxa"/>
          </w:tblCellMar>
        </w:tblPrEx>
        <w:trPr>
          <w:trHeight w:val="23" w:hRule="atLeast"/>
          <w:jc w:val="center"/>
        </w:trPr>
        <w:tc>
          <w:tcPr>
            <w:tcW w:w="1930" w:type="dxa"/>
            <w:vMerge w:val="continue"/>
            <w:tcBorders>
              <w:top w:val="nil"/>
              <w:left w:val="nil"/>
              <w:bottom w:val="nil"/>
              <w:right w:val="nil"/>
            </w:tcBorders>
            <w:shd w:val="clear" w:color="auto" w:fill="auto"/>
            <w:vAlign w:val="center"/>
          </w:tcPr>
          <w:p>
            <w:pPr>
              <w:spacing w:line="240" w:lineRule="auto"/>
              <w:jc w:val="center"/>
              <w:rPr>
                <w:rFonts w:hint="default" w:ascii="Times New Roman" w:hAnsi="Times New Roman" w:eastAsia="仿宋" w:cs="Times New Roman"/>
                <w:b/>
                <w:bCs/>
                <w:color w:val="000000"/>
                <w:sz w:val="22"/>
                <w:szCs w:val="22"/>
              </w:rPr>
            </w:pPr>
          </w:p>
        </w:tc>
        <w:tc>
          <w:tcPr>
            <w:tcW w:w="2080" w:type="dxa"/>
            <w:tcBorders>
              <w:top w:val="nil"/>
              <w:left w:val="nil"/>
              <w:bottom w:val="nil"/>
              <w:right w:val="nil"/>
            </w:tcBorders>
            <w:shd w:val="clear" w:color="auto" w:fill="auto"/>
            <w:vAlign w:val="center"/>
          </w:tcPr>
          <w:p>
            <w:pPr>
              <w:widowControl/>
              <w:spacing w:line="240" w:lineRule="auto"/>
              <w:jc w:val="center"/>
              <w:textAlignment w:val="center"/>
              <w:rPr>
                <w:rFonts w:hint="eastAsia" w:ascii="Times New Roman" w:hAnsi="Times New Roman" w:eastAsia="仿宋" w:cs="Times New Roman"/>
                <w:color w:val="000000"/>
                <w:sz w:val="22"/>
                <w:szCs w:val="22"/>
                <w:lang w:eastAsia="zh-CN"/>
              </w:rPr>
            </w:pPr>
            <w:r>
              <w:rPr>
                <w:rFonts w:hint="default" w:ascii="Times New Roman" w:hAnsi="Times New Roman" w:eastAsia="仿宋" w:cs="Times New Roman"/>
                <w:color w:val="000000"/>
                <w:kern w:val="0"/>
                <w:sz w:val="22"/>
                <w:szCs w:val="22"/>
                <w:lang w:bidi="ar"/>
              </w:rPr>
              <w:t>多功能运动场</w:t>
            </w:r>
            <w:r>
              <w:rPr>
                <w:rFonts w:hint="default" w:ascii="Times New Roman" w:hAnsi="Times New Roman" w:eastAsia="仿宋" w:cs="Times New Roman"/>
                <w:color w:val="000000"/>
                <w:kern w:val="0"/>
                <w:sz w:val="22"/>
                <w:szCs w:val="22"/>
                <w:lang w:bidi="ar"/>
              </w:rPr>
              <w:br w:type="textWrapping"/>
            </w:r>
            <w:r>
              <w:rPr>
                <w:rFonts w:hint="default" w:ascii="Times New Roman" w:hAnsi="Times New Roman" w:eastAsia="仿宋" w:cs="Times New Roman"/>
                <w:color w:val="000000"/>
                <w:kern w:val="0"/>
                <w:sz w:val="22"/>
                <w:szCs w:val="22"/>
                <w:lang w:bidi="ar"/>
              </w:rPr>
              <w:t>（口袋健身公园</w:t>
            </w:r>
            <w:r>
              <w:rPr>
                <w:rFonts w:hint="eastAsia" w:ascii="Times New Roman" w:hAnsi="Times New Roman" w:eastAsia="仿宋" w:cs="Times New Roman"/>
                <w:color w:val="000000"/>
                <w:kern w:val="0"/>
                <w:sz w:val="22"/>
                <w:szCs w:val="22"/>
                <w:lang w:eastAsia="zh-CN" w:bidi="ar"/>
              </w:rPr>
              <w:t>）</w:t>
            </w:r>
          </w:p>
        </w:tc>
        <w:tc>
          <w:tcPr>
            <w:tcW w:w="2710" w:type="dxa"/>
            <w:tcBorders>
              <w:top w:val="nil"/>
              <w:left w:val="nil"/>
              <w:bottom w:val="nil"/>
              <w:right w:val="nil"/>
            </w:tcBorders>
            <w:shd w:val="clear" w:color="auto" w:fill="auto"/>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59.2618</w:t>
            </w:r>
          </w:p>
        </w:tc>
      </w:tr>
      <w:tr>
        <w:tblPrEx>
          <w:tblCellMar>
            <w:top w:w="0" w:type="dxa"/>
            <w:left w:w="108" w:type="dxa"/>
            <w:bottom w:w="0" w:type="dxa"/>
            <w:right w:w="108" w:type="dxa"/>
          </w:tblCellMar>
        </w:tblPrEx>
        <w:trPr>
          <w:trHeight w:val="23" w:hRule="atLeast"/>
          <w:jc w:val="center"/>
        </w:trPr>
        <w:tc>
          <w:tcPr>
            <w:tcW w:w="1930" w:type="dxa"/>
            <w:vMerge w:val="continue"/>
            <w:tcBorders>
              <w:top w:val="nil"/>
              <w:left w:val="nil"/>
              <w:bottom w:val="nil"/>
              <w:right w:val="nil"/>
            </w:tcBorders>
            <w:shd w:val="clear" w:color="auto" w:fill="auto"/>
            <w:vAlign w:val="center"/>
          </w:tcPr>
          <w:p>
            <w:pPr>
              <w:spacing w:line="240" w:lineRule="auto"/>
              <w:jc w:val="center"/>
              <w:rPr>
                <w:rFonts w:hint="default" w:ascii="Times New Roman" w:hAnsi="Times New Roman" w:eastAsia="仿宋" w:cs="Times New Roman"/>
                <w:b/>
                <w:bCs/>
                <w:color w:val="000000"/>
                <w:sz w:val="22"/>
                <w:szCs w:val="22"/>
              </w:rPr>
            </w:pPr>
          </w:p>
        </w:tc>
        <w:tc>
          <w:tcPr>
            <w:tcW w:w="2080" w:type="dxa"/>
            <w:tcBorders>
              <w:top w:val="nil"/>
              <w:left w:val="nil"/>
              <w:bottom w:val="nil"/>
              <w:right w:val="nil"/>
            </w:tcBorders>
            <w:shd w:val="clear" w:color="auto" w:fill="auto"/>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多功能运动场</w:t>
            </w:r>
          </w:p>
        </w:tc>
        <w:tc>
          <w:tcPr>
            <w:tcW w:w="2710" w:type="dxa"/>
            <w:tcBorders>
              <w:top w:val="nil"/>
              <w:left w:val="nil"/>
              <w:bottom w:val="nil"/>
              <w:right w:val="nil"/>
            </w:tcBorders>
            <w:shd w:val="clear" w:color="auto" w:fill="auto"/>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86.175</w:t>
            </w:r>
          </w:p>
        </w:tc>
      </w:tr>
      <w:tr>
        <w:tblPrEx>
          <w:tblCellMar>
            <w:top w:w="0" w:type="dxa"/>
            <w:left w:w="108" w:type="dxa"/>
            <w:bottom w:w="0" w:type="dxa"/>
            <w:right w:w="108" w:type="dxa"/>
          </w:tblCellMar>
        </w:tblPrEx>
        <w:trPr>
          <w:trHeight w:val="23" w:hRule="atLeast"/>
          <w:jc w:val="center"/>
        </w:trPr>
        <w:tc>
          <w:tcPr>
            <w:tcW w:w="1930" w:type="dxa"/>
            <w:vMerge w:val="continue"/>
            <w:tcBorders>
              <w:top w:val="nil"/>
              <w:left w:val="nil"/>
              <w:bottom w:val="nil"/>
              <w:right w:val="nil"/>
            </w:tcBorders>
            <w:shd w:val="clear" w:color="auto" w:fill="auto"/>
            <w:vAlign w:val="center"/>
          </w:tcPr>
          <w:p>
            <w:pPr>
              <w:spacing w:line="240" w:lineRule="auto"/>
              <w:jc w:val="center"/>
              <w:rPr>
                <w:rFonts w:hint="default" w:ascii="Times New Roman" w:hAnsi="Times New Roman" w:eastAsia="仿宋" w:cs="Times New Roman"/>
                <w:b/>
                <w:bCs/>
                <w:color w:val="000000"/>
                <w:sz w:val="22"/>
                <w:szCs w:val="22"/>
              </w:rPr>
            </w:pPr>
          </w:p>
        </w:tc>
        <w:tc>
          <w:tcPr>
            <w:tcW w:w="2080" w:type="dxa"/>
            <w:tcBorders>
              <w:top w:val="nil"/>
              <w:left w:val="nil"/>
              <w:bottom w:val="nil"/>
              <w:right w:val="nil"/>
            </w:tcBorders>
            <w:shd w:val="clear" w:color="auto" w:fill="auto"/>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传统健身路径</w:t>
            </w:r>
          </w:p>
        </w:tc>
        <w:tc>
          <w:tcPr>
            <w:tcW w:w="2710" w:type="dxa"/>
            <w:tcBorders>
              <w:top w:val="nil"/>
              <w:left w:val="nil"/>
              <w:bottom w:val="nil"/>
              <w:right w:val="nil"/>
            </w:tcBorders>
            <w:shd w:val="clear" w:color="auto" w:fill="auto"/>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72.618</w:t>
            </w:r>
          </w:p>
        </w:tc>
      </w:tr>
      <w:tr>
        <w:tblPrEx>
          <w:tblCellMar>
            <w:top w:w="0" w:type="dxa"/>
            <w:left w:w="108" w:type="dxa"/>
            <w:bottom w:w="0" w:type="dxa"/>
            <w:right w:w="108" w:type="dxa"/>
          </w:tblCellMar>
        </w:tblPrEx>
        <w:trPr>
          <w:trHeight w:val="23" w:hRule="atLeast"/>
          <w:jc w:val="center"/>
        </w:trPr>
        <w:tc>
          <w:tcPr>
            <w:tcW w:w="1930" w:type="dxa"/>
            <w:vMerge w:val="continue"/>
            <w:tcBorders>
              <w:top w:val="nil"/>
              <w:left w:val="nil"/>
              <w:bottom w:val="single" w:color="auto" w:sz="4" w:space="0"/>
              <w:right w:val="nil"/>
            </w:tcBorders>
            <w:shd w:val="clear" w:color="auto" w:fill="auto"/>
            <w:vAlign w:val="center"/>
          </w:tcPr>
          <w:p>
            <w:pPr>
              <w:spacing w:line="240" w:lineRule="auto"/>
              <w:jc w:val="center"/>
              <w:rPr>
                <w:rFonts w:hint="default" w:ascii="Times New Roman" w:hAnsi="Times New Roman" w:eastAsia="仿宋" w:cs="Times New Roman"/>
                <w:b/>
                <w:bCs/>
                <w:color w:val="000000"/>
                <w:sz w:val="22"/>
                <w:szCs w:val="22"/>
              </w:rPr>
            </w:pPr>
          </w:p>
        </w:tc>
        <w:tc>
          <w:tcPr>
            <w:tcW w:w="2080" w:type="dxa"/>
            <w:tcBorders>
              <w:top w:val="nil"/>
              <w:left w:val="nil"/>
              <w:bottom w:val="single" w:color="auto" w:sz="4" w:space="0"/>
              <w:right w:val="nil"/>
            </w:tcBorders>
            <w:shd w:val="clear" w:color="auto" w:fill="auto"/>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足球场</w:t>
            </w:r>
          </w:p>
        </w:tc>
        <w:tc>
          <w:tcPr>
            <w:tcW w:w="2710" w:type="dxa"/>
            <w:tcBorders>
              <w:top w:val="nil"/>
              <w:left w:val="nil"/>
              <w:bottom w:val="single" w:color="auto" w:sz="4" w:space="0"/>
              <w:right w:val="nil"/>
            </w:tcBorders>
            <w:shd w:val="clear" w:color="auto" w:fill="auto"/>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102.9224</w:t>
            </w:r>
          </w:p>
        </w:tc>
      </w:tr>
      <w:tr>
        <w:tblPrEx>
          <w:tblCellMar>
            <w:top w:w="0" w:type="dxa"/>
            <w:left w:w="108" w:type="dxa"/>
            <w:bottom w:w="0" w:type="dxa"/>
            <w:right w:w="108" w:type="dxa"/>
          </w:tblCellMar>
        </w:tblPrEx>
        <w:trPr>
          <w:trHeight w:val="23" w:hRule="atLeast"/>
          <w:jc w:val="center"/>
        </w:trPr>
        <w:tc>
          <w:tcPr>
            <w:tcW w:w="4010" w:type="dxa"/>
            <w:gridSpan w:val="2"/>
            <w:tcBorders>
              <w:top w:val="single" w:color="auto" w:sz="4" w:space="0"/>
              <w:left w:val="nil"/>
              <w:bottom w:val="single" w:color="auto" w:sz="4" w:space="0"/>
              <w:right w:val="nil"/>
            </w:tcBorders>
            <w:shd w:val="clear" w:color="auto" w:fill="auto"/>
            <w:vAlign w:val="center"/>
          </w:tcPr>
          <w:p>
            <w:pPr>
              <w:widowControl/>
              <w:spacing w:line="240" w:lineRule="auto"/>
              <w:jc w:val="center"/>
              <w:textAlignment w:val="center"/>
              <w:rPr>
                <w:rFonts w:hint="default" w:ascii="Times New Roman" w:hAnsi="Times New Roman" w:eastAsia="仿宋" w:cs="Times New Roman"/>
                <w:b/>
                <w:bCs/>
                <w:color w:val="000000"/>
                <w:sz w:val="22"/>
                <w:szCs w:val="22"/>
              </w:rPr>
            </w:pPr>
            <w:r>
              <w:rPr>
                <w:rFonts w:hint="default" w:ascii="Times New Roman" w:hAnsi="Times New Roman" w:eastAsia="仿宋" w:cs="Times New Roman"/>
                <w:b/>
                <w:bCs/>
                <w:color w:val="000000"/>
                <w:kern w:val="0"/>
                <w:sz w:val="22"/>
                <w:szCs w:val="22"/>
                <w:lang w:bidi="ar"/>
              </w:rPr>
              <w:t>小计</w:t>
            </w:r>
          </w:p>
        </w:tc>
        <w:tc>
          <w:tcPr>
            <w:tcW w:w="2710" w:type="dxa"/>
            <w:tcBorders>
              <w:top w:val="single" w:color="auto" w:sz="4" w:space="0"/>
              <w:left w:val="nil"/>
              <w:bottom w:val="single" w:color="auto" w:sz="4" w:space="0"/>
              <w:right w:val="nil"/>
            </w:tcBorders>
            <w:shd w:val="clear" w:color="auto" w:fill="auto"/>
            <w:vAlign w:val="center"/>
          </w:tcPr>
          <w:p>
            <w:pPr>
              <w:widowControl/>
              <w:spacing w:line="240" w:lineRule="auto"/>
              <w:jc w:val="center"/>
              <w:textAlignment w:val="center"/>
              <w:rPr>
                <w:rFonts w:hint="default" w:ascii="Times New Roman" w:hAnsi="Times New Roman" w:eastAsia="仿宋" w:cs="Times New Roman"/>
                <w:b/>
                <w:bCs/>
                <w:color w:val="000000"/>
                <w:sz w:val="22"/>
                <w:szCs w:val="22"/>
              </w:rPr>
            </w:pPr>
            <w:r>
              <w:rPr>
                <w:rFonts w:hint="default" w:ascii="Times New Roman" w:hAnsi="Times New Roman" w:eastAsia="仿宋" w:cs="Times New Roman"/>
                <w:b/>
                <w:bCs/>
                <w:color w:val="000000"/>
                <w:kern w:val="0"/>
                <w:sz w:val="22"/>
                <w:szCs w:val="22"/>
                <w:lang w:bidi="ar"/>
              </w:rPr>
              <w:t>355.9472</w:t>
            </w:r>
          </w:p>
        </w:tc>
      </w:tr>
      <w:tr>
        <w:tblPrEx>
          <w:tblCellMar>
            <w:top w:w="0" w:type="dxa"/>
            <w:left w:w="108" w:type="dxa"/>
            <w:bottom w:w="0" w:type="dxa"/>
            <w:right w:w="108" w:type="dxa"/>
          </w:tblCellMar>
        </w:tblPrEx>
        <w:trPr>
          <w:trHeight w:val="23" w:hRule="atLeast"/>
          <w:jc w:val="center"/>
        </w:trPr>
        <w:tc>
          <w:tcPr>
            <w:tcW w:w="4010" w:type="dxa"/>
            <w:gridSpan w:val="2"/>
            <w:tcBorders>
              <w:top w:val="single" w:color="auto" w:sz="4" w:space="0"/>
              <w:left w:val="nil"/>
              <w:bottom w:val="single" w:color="000000" w:sz="8" w:space="0"/>
              <w:right w:val="nil"/>
            </w:tcBorders>
            <w:shd w:val="clear" w:color="auto" w:fill="auto"/>
            <w:vAlign w:val="center"/>
          </w:tcPr>
          <w:p>
            <w:pPr>
              <w:widowControl/>
              <w:spacing w:line="240" w:lineRule="auto"/>
              <w:jc w:val="center"/>
              <w:textAlignment w:val="center"/>
              <w:rPr>
                <w:rFonts w:hint="default" w:ascii="Times New Roman" w:hAnsi="Times New Roman" w:eastAsia="仿宋" w:cs="Times New Roman"/>
                <w:b/>
                <w:bCs/>
                <w:color w:val="000000"/>
                <w:sz w:val="22"/>
                <w:szCs w:val="22"/>
              </w:rPr>
            </w:pPr>
            <w:r>
              <w:rPr>
                <w:rFonts w:hint="default" w:ascii="Times New Roman" w:hAnsi="Times New Roman" w:eastAsia="仿宋" w:cs="Times New Roman"/>
                <w:b/>
                <w:bCs/>
                <w:color w:val="000000"/>
                <w:kern w:val="0"/>
                <w:sz w:val="22"/>
                <w:szCs w:val="22"/>
                <w:lang w:bidi="ar"/>
              </w:rPr>
              <w:t>合计</w:t>
            </w:r>
          </w:p>
        </w:tc>
        <w:tc>
          <w:tcPr>
            <w:tcW w:w="2710" w:type="dxa"/>
            <w:tcBorders>
              <w:top w:val="single" w:color="auto" w:sz="4" w:space="0"/>
              <w:left w:val="nil"/>
              <w:bottom w:val="single" w:color="000000" w:sz="8" w:space="0"/>
              <w:right w:val="nil"/>
            </w:tcBorders>
            <w:shd w:val="clear" w:color="auto" w:fill="auto"/>
            <w:vAlign w:val="center"/>
          </w:tcPr>
          <w:p>
            <w:pPr>
              <w:widowControl/>
              <w:spacing w:line="240" w:lineRule="auto"/>
              <w:jc w:val="center"/>
              <w:textAlignment w:val="center"/>
              <w:rPr>
                <w:rFonts w:hint="default" w:ascii="Times New Roman" w:hAnsi="Times New Roman" w:eastAsia="仿宋" w:cs="Times New Roman"/>
                <w:b/>
                <w:bCs/>
                <w:color w:val="000000"/>
                <w:sz w:val="22"/>
                <w:szCs w:val="22"/>
              </w:rPr>
            </w:pPr>
            <w:r>
              <w:rPr>
                <w:rFonts w:hint="default" w:ascii="Times New Roman" w:hAnsi="Times New Roman" w:eastAsia="仿宋" w:cs="Times New Roman"/>
                <w:b/>
                <w:bCs/>
                <w:color w:val="000000"/>
                <w:kern w:val="0"/>
                <w:sz w:val="22"/>
                <w:szCs w:val="22"/>
                <w:lang w:bidi="ar"/>
              </w:rPr>
              <w:t>484.7558</w:t>
            </w:r>
          </w:p>
        </w:tc>
      </w:tr>
    </w:tbl>
    <w:p>
      <w:pPr>
        <w:jc w:val="center"/>
        <w:rPr>
          <w:rFonts w:hint="default" w:ascii="Times New Roman" w:hAnsi="Times New Roman" w:eastAsia="仿宋" w:cs="Times New Roman"/>
          <w:szCs w:val="28"/>
        </w:rPr>
      </w:pPr>
    </w:p>
    <w:p>
      <w:pPr>
        <w:spacing w:line="240" w:lineRule="auto"/>
        <w:jc w:val="center"/>
        <w:rPr>
          <w:rFonts w:hint="default" w:ascii="Times New Roman" w:hAnsi="Times New Roman" w:eastAsia="仿宋" w:cs="Times New Roman"/>
          <w:szCs w:val="28"/>
        </w:rPr>
      </w:pPr>
      <w:r>
        <w:rPr>
          <w:rFonts w:hint="default" w:ascii="Times New Roman" w:hAnsi="Times New Roman" w:eastAsia="仿宋" w:cs="Times New Roman"/>
          <w:b/>
          <w:bCs/>
          <w:color w:val="000000"/>
          <w:kern w:val="0"/>
          <w:sz w:val="24"/>
          <w:lang w:bidi="ar"/>
        </w:rPr>
        <w:t>表</w:t>
      </w:r>
      <w:r>
        <w:rPr>
          <w:rStyle w:val="23"/>
          <w:rFonts w:hint="default" w:ascii="Times New Roman" w:hAnsi="Times New Roman" w:eastAsia="仿宋" w:cs="Times New Roman"/>
          <w:lang w:bidi="ar"/>
        </w:rPr>
        <w:t>2</w:t>
      </w:r>
      <w:r>
        <w:rPr>
          <w:rStyle w:val="24"/>
          <w:rFonts w:hint="default" w:ascii="Times New Roman" w:hAnsi="Times New Roman" w:eastAsia="仿宋" w:cs="Times New Roman"/>
          <w:lang w:bidi="ar"/>
        </w:rPr>
        <w:t xml:space="preserve">  </w:t>
      </w:r>
      <w:r>
        <w:rPr>
          <w:rStyle w:val="23"/>
          <w:rFonts w:hint="default" w:ascii="Times New Roman" w:hAnsi="Times New Roman" w:eastAsia="仿宋" w:cs="Times New Roman"/>
          <w:lang w:bidi="ar"/>
        </w:rPr>
        <w:t>2022</w:t>
      </w:r>
      <w:r>
        <w:rPr>
          <w:rStyle w:val="24"/>
          <w:rFonts w:hint="default" w:ascii="Times New Roman" w:hAnsi="Times New Roman" w:eastAsia="仿宋" w:cs="Times New Roman"/>
          <w:lang w:bidi="ar"/>
        </w:rPr>
        <w:t>年7人制足球场项目资金支出明细</w:t>
      </w:r>
    </w:p>
    <w:tbl>
      <w:tblPr>
        <w:tblStyle w:val="11"/>
        <w:tblW w:w="6913" w:type="dxa"/>
        <w:jc w:val="center"/>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190"/>
        <w:gridCol w:w="1233"/>
        <w:gridCol w:w="1490"/>
      </w:tblGrid>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4190" w:type="dxa"/>
            <w:tcBorders>
              <w:bottom w:val="single" w:color="auto" w:sz="4" w:space="0"/>
            </w:tcBorders>
            <w:shd w:val="clear" w:color="auto" w:fill="auto"/>
            <w:noWrap/>
            <w:vAlign w:val="center"/>
          </w:tcPr>
          <w:p>
            <w:pPr>
              <w:widowControl/>
              <w:spacing w:line="240" w:lineRule="auto"/>
              <w:jc w:val="center"/>
              <w:textAlignment w:val="center"/>
              <w:rPr>
                <w:rStyle w:val="25"/>
                <w:rFonts w:hint="default" w:ascii="Times New Roman" w:hAnsi="Times New Roman" w:eastAsia="仿宋" w:cs="Times New Roman"/>
                <w:lang w:bidi="ar"/>
              </w:rPr>
            </w:pPr>
            <w:r>
              <w:rPr>
                <w:rStyle w:val="25"/>
                <w:rFonts w:hint="default" w:ascii="Times New Roman" w:hAnsi="Times New Roman" w:eastAsia="仿宋" w:cs="Times New Roman"/>
                <w:lang w:bidi="ar"/>
              </w:rPr>
              <w:t>货物（劳务</w:t>
            </w:r>
            <w:r>
              <w:rPr>
                <w:rStyle w:val="25"/>
                <w:rFonts w:hint="eastAsia" w:ascii="Times New Roman" w:hAnsi="Times New Roman" w:eastAsia="仿宋" w:cs="Times New Roman"/>
                <w:lang w:eastAsia="zh-CN" w:bidi="ar"/>
              </w:rPr>
              <w:t>）</w:t>
            </w:r>
            <w:r>
              <w:rPr>
                <w:rStyle w:val="25"/>
                <w:rFonts w:hint="default" w:ascii="Times New Roman" w:hAnsi="Times New Roman" w:eastAsia="仿宋" w:cs="Times New Roman"/>
                <w:lang w:bidi="ar"/>
              </w:rPr>
              <w:t>名称</w:t>
            </w:r>
          </w:p>
        </w:tc>
        <w:tc>
          <w:tcPr>
            <w:tcW w:w="1233" w:type="dxa"/>
            <w:tcBorders>
              <w:bottom w:val="single" w:color="auto" w:sz="4" w:space="0"/>
            </w:tcBorders>
            <w:shd w:val="clear" w:color="auto" w:fill="auto"/>
            <w:noWrap/>
            <w:vAlign w:val="center"/>
          </w:tcPr>
          <w:p>
            <w:pPr>
              <w:widowControl/>
              <w:spacing w:line="240" w:lineRule="auto"/>
              <w:jc w:val="center"/>
              <w:textAlignment w:val="center"/>
              <w:rPr>
                <w:rStyle w:val="25"/>
                <w:rFonts w:hint="eastAsia" w:ascii="Times New Roman" w:hAnsi="Times New Roman" w:eastAsia="仿宋" w:cs="Times New Roman"/>
                <w:lang w:eastAsia="zh-CN" w:bidi="ar"/>
              </w:rPr>
            </w:pPr>
            <w:r>
              <w:rPr>
                <w:rStyle w:val="25"/>
                <w:rFonts w:hint="default" w:ascii="Times New Roman" w:hAnsi="Times New Roman" w:eastAsia="仿宋" w:cs="Times New Roman"/>
                <w:lang w:bidi="ar"/>
              </w:rPr>
              <w:t>金额（元</w:t>
            </w:r>
            <w:r>
              <w:rPr>
                <w:rStyle w:val="25"/>
                <w:rFonts w:hint="eastAsia" w:ascii="Times New Roman" w:hAnsi="Times New Roman" w:eastAsia="仿宋" w:cs="Times New Roman"/>
                <w:lang w:eastAsia="zh-CN" w:bidi="ar"/>
              </w:rPr>
              <w:t>）</w:t>
            </w:r>
          </w:p>
        </w:tc>
        <w:tc>
          <w:tcPr>
            <w:tcW w:w="1490" w:type="dxa"/>
            <w:tcBorders>
              <w:bottom w:val="single" w:color="auto" w:sz="4" w:space="0"/>
            </w:tcBorders>
            <w:shd w:val="clear" w:color="auto" w:fill="auto"/>
            <w:noWrap/>
            <w:vAlign w:val="center"/>
          </w:tcPr>
          <w:p>
            <w:pPr>
              <w:widowControl/>
              <w:spacing w:line="240" w:lineRule="auto"/>
              <w:jc w:val="center"/>
              <w:textAlignment w:val="center"/>
              <w:rPr>
                <w:rStyle w:val="25"/>
                <w:rFonts w:hint="default" w:ascii="Times New Roman" w:hAnsi="Times New Roman" w:eastAsia="仿宋" w:cs="Times New Roman"/>
                <w:lang w:bidi="ar"/>
              </w:rPr>
            </w:pPr>
            <w:r>
              <w:rPr>
                <w:rStyle w:val="25"/>
                <w:rFonts w:hint="default" w:ascii="Times New Roman" w:hAnsi="Times New Roman" w:eastAsia="仿宋" w:cs="Times New Roman"/>
                <w:lang w:bidi="ar"/>
              </w:rPr>
              <w:t>支出占比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4190" w:type="dxa"/>
            <w:tcBorders>
              <w:top w:val="single" w:color="auto" w:sz="4" w:space="0"/>
              <w:bottom w:val="nil"/>
            </w:tcBorders>
            <w:shd w:val="clear" w:color="auto" w:fill="auto"/>
            <w:noWrap/>
            <w:vAlign w:val="center"/>
          </w:tcPr>
          <w:p>
            <w:pPr>
              <w:widowControl/>
              <w:spacing w:line="240" w:lineRule="auto"/>
              <w:jc w:val="center"/>
              <w:textAlignment w:val="center"/>
              <w:rPr>
                <w:rFonts w:hint="eastAsia" w:ascii="Times New Roman" w:hAnsi="Times New Roman" w:eastAsia="仿宋" w:cs="Times New Roman"/>
                <w:color w:val="000000"/>
                <w:sz w:val="22"/>
                <w:szCs w:val="22"/>
                <w:lang w:eastAsia="zh-CN"/>
              </w:rPr>
            </w:pPr>
            <w:r>
              <w:rPr>
                <w:rFonts w:hint="default" w:ascii="Times New Roman" w:hAnsi="Times New Roman" w:eastAsia="仿宋" w:cs="Times New Roman"/>
                <w:color w:val="000000"/>
                <w:kern w:val="0"/>
                <w:sz w:val="22"/>
                <w:szCs w:val="22"/>
                <w:lang w:bidi="ar"/>
              </w:rPr>
              <w:t>30mm高足球场专用人造草（核心产品</w:t>
            </w:r>
            <w:r>
              <w:rPr>
                <w:rFonts w:hint="eastAsia" w:ascii="Times New Roman" w:hAnsi="Times New Roman" w:eastAsia="仿宋" w:cs="Times New Roman"/>
                <w:color w:val="000000"/>
                <w:kern w:val="0"/>
                <w:sz w:val="22"/>
                <w:szCs w:val="22"/>
                <w:lang w:eastAsia="zh-CN" w:bidi="ar"/>
              </w:rPr>
              <w:t>）</w:t>
            </w:r>
          </w:p>
        </w:tc>
        <w:tc>
          <w:tcPr>
            <w:tcW w:w="1233" w:type="dxa"/>
            <w:tcBorders>
              <w:top w:val="single" w:color="auto" w:sz="4" w:space="0"/>
              <w:bottom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524453.4</w:t>
            </w:r>
          </w:p>
        </w:tc>
        <w:tc>
          <w:tcPr>
            <w:tcW w:w="1490" w:type="dxa"/>
            <w:tcBorders>
              <w:top w:val="single" w:color="auto" w:sz="4" w:space="0"/>
              <w:bottom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71.29%</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4190" w:type="dxa"/>
            <w:tcBorders>
              <w:top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26mm高足球场专用水沟盖板草</w:t>
            </w:r>
          </w:p>
        </w:tc>
        <w:tc>
          <w:tcPr>
            <w:tcW w:w="1233" w:type="dxa"/>
            <w:tcBorders>
              <w:top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14850</w:t>
            </w:r>
          </w:p>
        </w:tc>
        <w:tc>
          <w:tcPr>
            <w:tcW w:w="1490" w:type="dxa"/>
            <w:tcBorders>
              <w:top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2.02%</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4190" w:type="dxa"/>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人造草专用胶</w:t>
            </w:r>
          </w:p>
        </w:tc>
        <w:tc>
          <w:tcPr>
            <w:tcW w:w="1233" w:type="dxa"/>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22063.6</w:t>
            </w:r>
          </w:p>
        </w:tc>
        <w:tc>
          <w:tcPr>
            <w:tcW w:w="1490" w:type="dxa"/>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3.00%</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4190" w:type="dxa"/>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人造草专用接缝布</w:t>
            </w:r>
          </w:p>
        </w:tc>
        <w:tc>
          <w:tcPr>
            <w:tcW w:w="1233" w:type="dxa"/>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5220</w:t>
            </w:r>
          </w:p>
        </w:tc>
        <w:tc>
          <w:tcPr>
            <w:tcW w:w="1490" w:type="dxa"/>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0.71%</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4190" w:type="dxa"/>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人造草坪摊铺</w:t>
            </w:r>
          </w:p>
        </w:tc>
        <w:tc>
          <w:tcPr>
            <w:tcW w:w="1233" w:type="dxa"/>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51534</w:t>
            </w:r>
          </w:p>
        </w:tc>
        <w:tc>
          <w:tcPr>
            <w:tcW w:w="1490" w:type="dxa"/>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7.01%</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4190" w:type="dxa"/>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7人制足球门</w:t>
            </w:r>
          </w:p>
        </w:tc>
        <w:tc>
          <w:tcPr>
            <w:tcW w:w="1233" w:type="dxa"/>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2969</w:t>
            </w:r>
          </w:p>
        </w:tc>
        <w:tc>
          <w:tcPr>
            <w:tcW w:w="1490" w:type="dxa"/>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0.40%</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4190" w:type="dxa"/>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3人制足球门</w:t>
            </w:r>
          </w:p>
        </w:tc>
        <w:tc>
          <w:tcPr>
            <w:tcW w:w="1233" w:type="dxa"/>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1266</w:t>
            </w:r>
          </w:p>
        </w:tc>
        <w:tc>
          <w:tcPr>
            <w:tcW w:w="1490" w:type="dxa"/>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0.17%</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4190" w:type="dxa"/>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球场灯柱</w:t>
            </w:r>
          </w:p>
        </w:tc>
        <w:tc>
          <w:tcPr>
            <w:tcW w:w="1233" w:type="dxa"/>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77340</w:t>
            </w:r>
          </w:p>
        </w:tc>
        <w:tc>
          <w:tcPr>
            <w:tcW w:w="1490" w:type="dxa"/>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10.51%</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4190" w:type="dxa"/>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灯柱预埋件施工费</w:t>
            </w:r>
          </w:p>
        </w:tc>
        <w:tc>
          <w:tcPr>
            <w:tcW w:w="1233" w:type="dxa"/>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13740</w:t>
            </w:r>
          </w:p>
        </w:tc>
        <w:tc>
          <w:tcPr>
            <w:tcW w:w="1490" w:type="dxa"/>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1.87%</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4190" w:type="dxa"/>
            <w:tcBorders>
              <w:bottom w:val="single" w:color="auto" w:sz="4" w:space="0"/>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灯柱线路施工费</w:t>
            </w:r>
          </w:p>
        </w:tc>
        <w:tc>
          <w:tcPr>
            <w:tcW w:w="1233" w:type="dxa"/>
            <w:tcBorders>
              <w:bottom w:val="single" w:color="auto" w:sz="4" w:space="0"/>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22200</w:t>
            </w:r>
          </w:p>
        </w:tc>
        <w:tc>
          <w:tcPr>
            <w:tcW w:w="1490" w:type="dxa"/>
            <w:tcBorders>
              <w:bottom w:val="single" w:color="auto" w:sz="4" w:space="0"/>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3.02%</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4190" w:type="dxa"/>
            <w:tcBorders>
              <w:top w:val="single" w:color="auto" w:sz="4" w:space="0"/>
              <w:bottom w:val="single" w:color="auto" w:sz="8" w:space="0"/>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b/>
                <w:bCs/>
                <w:color w:val="000000"/>
                <w:kern w:val="0"/>
                <w:sz w:val="22"/>
                <w:szCs w:val="22"/>
                <w:lang w:bidi="ar"/>
              </w:rPr>
            </w:pPr>
            <w:r>
              <w:rPr>
                <w:rFonts w:hint="default" w:ascii="Times New Roman" w:hAnsi="Times New Roman" w:eastAsia="仿宋" w:cs="Times New Roman"/>
                <w:b/>
                <w:bCs/>
                <w:color w:val="000000"/>
                <w:kern w:val="0"/>
                <w:sz w:val="22"/>
                <w:szCs w:val="22"/>
                <w:lang w:bidi="ar"/>
              </w:rPr>
              <w:t>合计</w:t>
            </w:r>
          </w:p>
        </w:tc>
        <w:tc>
          <w:tcPr>
            <w:tcW w:w="1233" w:type="dxa"/>
            <w:tcBorders>
              <w:top w:val="single" w:color="auto" w:sz="4" w:space="0"/>
              <w:bottom w:val="single" w:color="auto" w:sz="8" w:space="0"/>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b/>
                <w:bCs/>
                <w:color w:val="000000"/>
                <w:kern w:val="0"/>
                <w:sz w:val="22"/>
                <w:szCs w:val="22"/>
                <w:lang w:bidi="ar"/>
              </w:rPr>
            </w:pPr>
            <w:r>
              <w:rPr>
                <w:rFonts w:hint="default" w:ascii="Times New Roman" w:hAnsi="Times New Roman" w:eastAsia="仿宋" w:cs="Times New Roman"/>
                <w:b/>
                <w:bCs/>
                <w:color w:val="000000"/>
                <w:kern w:val="0"/>
                <w:sz w:val="22"/>
                <w:szCs w:val="22"/>
                <w:lang w:bidi="ar"/>
              </w:rPr>
              <w:t>735636</w:t>
            </w:r>
          </w:p>
        </w:tc>
        <w:tc>
          <w:tcPr>
            <w:tcW w:w="1490" w:type="dxa"/>
            <w:tcBorders>
              <w:top w:val="single" w:color="auto" w:sz="4" w:space="0"/>
              <w:bottom w:val="single" w:color="auto" w:sz="8" w:space="0"/>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b/>
                <w:bCs/>
                <w:color w:val="000000"/>
                <w:kern w:val="0"/>
                <w:sz w:val="22"/>
                <w:szCs w:val="22"/>
                <w:lang w:bidi="ar"/>
              </w:rPr>
            </w:pPr>
            <w:r>
              <w:rPr>
                <w:rFonts w:hint="default" w:ascii="Times New Roman" w:hAnsi="Times New Roman" w:eastAsia="仿宋" w:cs="Times New Roman"/>
                <w:b/>
                <w:bCs/>
                <w:color w:val="000000"/>
                <w:kern w:val="0"/>
                <w:sz w:val="22"/>
                <w:szCs w:val="22"/>
                <w:lang w:bidi="ar"/>
              </w:rPr>
              <w:t>100.00%</w:t>
            </w:r>
          </w:p>
        </w:tc>
      </w:tr>
    </w:tbl>
    <w:p>
      <w:pPr>
        <w:ind w:firstLine="560" w:firstLineChars="200"/>
        <w:rPr>
          <w:rFonts w:ascii="仿宋" w:hAnsi="仿宋" w:eastAsia="仿宋" w:cs="仿宋"/>
          <w:szCs w:val="28"/>
        </w:rPr>
      </w:pPr>
    </w:p>
    <w:p>
      <w:pPr>
        <w:ind w:firstLine="560" w:firstLineChars="200"/>
        <w:rPr>
          <w:rFonts w:hint="default" w:ascii="Times New Roman" w:hAnsi="Times New Roman" w:eastAsia="仿宋" w:cs="Times New Roman"/>
          <w:szCs w:val="28"/>
        </w:rPr>
      </w:pPr>
      <w:r>
        <w:rPr>
          <w:rFonts w:hint="eastAsia" w:ascii="仿宋" w:hAnsi="仿宋" w:eastAsia="仿宋" w:cs="仿宋"/>
          <w:szCs w:val="28"/>
        </w:rPr>
        <w:t>健身路径的资金主要用于常见的各项体育健身器材的购买，智能健身路径与传统健身路径的差异正是在健身器材方面。与传统设备相比，智能健身器材采用太阳能电池板进行充电，可供夜晚照明，有遮阳棚，器材上有一块显示屏，方便使用者即时了解运动情况，包括运</w:t>
      </w:r>
      <w:r>
        <w:rPr>
          <w:rFonts w:hint="default" w:ascii="Times New Roman" w:hAnsi="Times New Roman" w:eastAsia="仿宋" w:cs="Times New Roman"/>
          <w:szCs w:val="28"/>
        </w:rPr>
        <w:t>动时间、运动次数、运动频率、消耗卡路里等参数，使锻炼过程更清晰、更科学，智能器材带有USB充电，方便健身市民充电。</w:t>
      </w:r>
    </w:p>
    <w:p>
      <w:pPr>
        <w:ind w:firstLine="560" w:firstLineChars="200"/>
        <w:rPr>
          <w:rFonts w:hint="default" w:ascii="Times New Roman" w:hAnsi="Times New Roman" w:eastAsia="仿宋" w:cs="Times New Roman"/>
          <w:szCs w:val="28"/>
        </w:rPr>
      </w:pPr>
      <w:r>
        <w:rPr>
          <w:rFonts w:hint="default" w:ascii="Times New Roman" w:hAnsi="Times New Roman" w:eastAsia="仿宋" w:cs="Times New Roman"/>
          <w:szCs w:val="28"/>
        </w:rPr>
        <w:t>以2022年健身路径项目资金支出明细为例（见表3</w:t>
      </w:r>
      <w:r>
        <w:rPr>
          <w:rFonts w:hint="eastAsia" w:ascii="Times New Roman" w:hAnsi="Times New Roman" w:eastAsia="仿宋" w:cs="Times New Roman"/>
          <w:szCs w:val="28"/>
          <w:lang w:eastAsia="zh-CN"/>
        </w:rPr>
        <w:t>）</w:t>
      </w:r>
      <w:r>
        <w:rPr>
          <w:rFonts w:hint="default" w:ascii="Times New Roman" w:hAnsi="Times New Roman" w:eastAsia="仿宋" w:cs="Times New Roman"/>
          <w:szCs w:val="28"/>
        </w:rPr>
        <w:t>，智能健身器材相较于传统设备单价明显较高，如智能健身车达到传统健身车8.6倍以上，结合2022年5月与同年12月采购单价对比，智能健身器材的价格存在明显波动，如智能健身车在2022年5月采购单价为19620元，同年12月采购单价为23440元，单件商品存在3820元的价格波动，形成较大的成本差异。</w:t>
      </w:r>
    </w:p>
    <w:p>
      <w:pPr>
        <w:ind w:firstLine="560" w:firstLineChars="200"/>
        <w:rPr>
          <w:rFonts w:hint="default" w:ascii="Times New Roman" w:hAnsi="Times New Roman" w:eastAsia="仿宋" w:cs="Times New Roman"/>
          <w:szCs w:val="28"/>
        </w:rPr>
      </w:pPr>
    </w:p>
    <w:p>
      <w:pPr>
        <w:spacing w:line="240" w:lineRule="auto"/>
        <w:jc w:val="center"/>
        <w:rPr>
          <w:rStyle w:val="24"/>
          <w:rFonts w:hint="default" w:ascii="Times New Roman" w:hAnsi="Times New Roman" w:eastAsia="仿宋" w:cs="Times New Roman"/>
          <w:lang w:bidi="ar"/>
        </w:rPr>
      </w:pPr>
      <w:r>
        <w:rPr>
          <w:rFonts w:hint="default" w:ascii="Times New Roman" w:hAnsi="Times New Roman" w:eastAsia="仿宋" w:cs="Times New Roman"/>
          <w:b/>
          <w:bCs/>
          <w:color w:val="000000"/>
          <w:kern w:val="0"/>
          <w:sz w:val="24"/>
          <w:lang w:bidi="ar"/>
        </w:rPr>
        <w:t>表</w:t>
      </w:r>
      <w:r>
        <w:rPr>
          <w:rStyle w:val="23"/>
          <w:rFonts w:hint="default" w:ascii="Times New Roman" w:hAnsi="Times New Roman" w:eastAsia="仿宋" w:cs="Times New Roman"/>
          <w:lang w:bidi="ar"/>
        </w:rPr>
        <w:t>3</w:t>
      </w:r>
      <w:r>
        <w:rPr>
          <w:rStyle w:val="24"/>
          <w:rFonts w:hint="default" w:ascii="Times New Roman" w:hAnsi="Times New Roman" w:eastAsia="仿宋" w:cs="Times New Roman"/>
          <w:lang w:bidi="ar"/>
        </w:rPr>
        <w:t xml:space="preserve">  </w:t>
      </w:r>
      <w:r>
        <w:rPr>
          <w:rStyle w:val="23"/>
          <w:rFonts w:hint="default" w:ascii="Times New Roman" w:hAnsi="Times New Roman" w:eastAsia="仿宋" w:cs="Times New Roman"/>
          <w:lang w:bidi="ar"/>
        </w:rPr>
        <w:t>2022</w:t>
      </w:r>
      <w:r>
        <w:rPr>
          <w:rStyle w:val="24"/>
          <w:rFonts w:hint="default" w:ascii="Times New Roman" w:hAnsi="Times New Roman" w:eastAsia="仿宋" w:cs="Times New Roman"/>
          <w:lang w:bidi="ar"/>
        </w:rPr>
        <w:t>年健身路径项目资金支出明细</w:t>
      </w:r>
    </w:p>
    <w:tbl>
      <w:tblPr>
        <w:tblStyle w:val="11"/>
        <w:tblW w:w="6674" w:type="dxa"/>
        <w:jc w:val="center"/>
        <w:tblLayout w:type="fixed"/>
        <w:tblCellMar>
          <w:top w:w="0" w:type="dxa"/>
          <w:left w:w="108" w:type="dxa"/>
          <w:bottom w:w="0" w:type="dxa"/>
          <w:right w:w="108" w:type="dxa"/>
        </w:tblCellMar>
      </w:tblPr>
      <w:tblGrid>
        <w:gridCol w:w="2252"/>
        <w:gridCol w:w="1502"/>
        <w:gridCol w:w="1299"/>
        <w:gridCol w:w="1621"/>
      </w:tblGrid>
      <w:tr>
        <w:tblPrEx>
          <w:tblCellMar>
            <w:top w:w="0" w:type="dxa"/>
            <w:left w:w="108" w:type="dxa"/>
            <w:bottom w:w="0" w:type="dxa"/>
            <w:right w:w="108" w:type="dxa"/>
          </w:tblCellMar>
        </w:tblPrEx>
        <w:trPr>
          <w:trHeight w:val="280" w:hRule="atLeast"/>
          <w:tblHeader/>
          <w:jc w:val="center"/>
        </w:trPr>
        <w:tc>
          <w:tcPr>
            <w:tcW w:w="2252" w:type="dxa"/>
            <w:tcBorders>
              <w:top w:val="single" w:color="auto" w:sz="8" w:space="0"/>
              <w:left w:val="nil"/>
              <w:bottom w:val="single" w:color="auto" w:sz="4" w:space="0"/>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b/>
                <w:bCs/>
                <w:color w:val="000000"/>
                <w:kern w:val="0"/>
                <w:sz w:val="22"/>
                <w:szCs w:val="22"/>
                <w:lang w:bidi="ar"/>
              </w:rPr>
            </w:pPr>
            <w:r>
              <w:rPr>
                <w:rFonts w:hint="default" w:ascii="Times New Roman" w:hAnsi="Times New Roman" w:eastAsia="仿宋" w:cs="Times New Roman"/>
                <w:b/>
                <w:bCs/>
                <w:color w:val="000000"/>
                <w:kern w:val="0"/>
                <w:sz w:val="22"/>
                <w:szCs w:val="22"/>
                <w:lang w:bidi="ar"/>
              </w:rPr>
              <w:t>货物名称</w:t>
            </w:r>
          </w:p>
        </w:tc>
        <w:tc>
          <w:tcPr>
            <w:tcW w:w="1502" w:type="dxa"/>
            <w:tcBorders>
              <w:top w:val="single" w:color="auto" w:sz="8" w:space="0"/>
              <w:left w:val="nil"/>
              <w:bottom w:val="single" w:color="auto" w:sz="4" w:space="0"/>
              <w:right w:val="nil"/>
            </w:tcBorders>
            <w:shd w:val="clear" w:color="auto" w:fill="auto"/>
            <w:noWrap/>
            <w:vAlign w:val="center"/>
          </w:tcPr>
          <w:p>
            <w:pPr>
              <w:widowControl/>
              <w:spacing w:line="240" w:lineRule="auto"/>
              <w:jc w:val="center"/>
              <w:textAlignment w:val="center"/>
              <w:rPr>
                <w:rFonts w:hint="eastAsia" w:ascii="Times New Roman" w:hAnsi="Times New Roman" w:eastAsia="仿宋" w:cs="Times New Roman"/>
                <w:b/>
                <w:bCs/>
                <w:color w:val="000000"/>
                <w:kern w:val="0"/>
                <w:sz w:val="22"/>
                <w:szCs w:val="22"/>
                <w:lang w:eastAsia="zh-CN" w:bidi="ar"/>
              </w:rPr>
            </w:pPr>
            <w:r>
              <w:rPr>
                <w:rFonts w:hint="default" w:ascii="Times New Roman" w:hAnsi="Times New Roman" w:eastAsia="仿宋" w:cs="Times New Roman"/>
                <w:b/>
                <w:bCs/>
                <w:color w:val="000000"/>
                <w:kern w:val="0"/>
                <w:sz w:val="22"/>
                <w:szCs w:val="22"/>
                <w:lang w:bidi="ar"/>
              </w:rPr>
              <w:t>单价（元</w:t>
            </w:r>
            <w:r>
              <w:rPr>
                <w:rFonts w:hint="eastAsia" w:ascii="Times New Roman" w:hAnsi="Times New Roman" w:eastAsia="仿宋" w:cs="Times New Roman"/>
                <w:b/>
                <w:bCs/>
                <w:color w:val="000000"/>
                <w:kern w:val="0"/>
                <w:sz w:val="22"/>
                <w:szCs w:val="22"/>
                <w:lang w:eastAsia="zh-CN" w:bidi="ar"/>
              </w:rPr>
              <w:t>）</w:t>
            </w:r>
          </w:p>
        </w:tc>
        <w:tc>
          <w:tcPr>
            <w:tcW w:w="1299" w:type="dxa"/>
            <w:tcBorders>
              <w:top w:val="single" w:color="auto" w:sz="8" w:space="0"/>
              <w:left w:val="nil"/>
              <w:bottom w:val="single" w:color="auto" w:sz="4" w:space="0"/>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b/>
                <w:bCs/>
                <w:color w:val="000000"/>
                <w:kern w:val="0"/>
                <w:sz w:val="22"/>
                <w:szCs w:val="22"/>
                <w:lang w:bidi="ar"/>
              </w:rPr>
            </w:pPr>
            <w:r>
              <w:rPr>
                <w:rFonts w:hint="default" w:ascii="Times New Roman" w:hAnsi="Times New Roman" w:eastAsia="仿宋" w:cs="Times New Roman"/>
                <w:b/>
                <w:bCs/>
                <w:color w:val="000000"/>
                <w:kern w:val="0"/>
                <w:sz w:val="22"/>
                <w:szCs w:val="22"/>
                <w:lang w:bidi="ar"/>
              </w:rPr>
              <w:t>数量</w:t>
            </w:r>
          </w:p>
        </w:tc>
        <w:tc>
          <w:tcPr>
            <w:tcW w:w="1621" w:type="dxa"/>
            <w:tcBorders>
              <w:top w:val="single" w:color="auto" w:sz="8" w:space="0"/>
              <w:left w:val="nil"/>
              <w:bottom w:val="single" w:color="auto" w:sz="4" w:space="0"/>
              <w:right w:val="nil"/>
            </w:tcBorders>
            <w:shd w:val="clear" w:color="auto" w:fill="auto"/>
            <w:noWrap/>
            <w:vAlign w:val="center"/>
          </w:tcPr>
          <w:p>
            <w:pPr>
              <w:widowControl/>
              <w:spacing w:line="240" w:lineRule="auto"/>
              <w:jc w:val="center"/>
              <w:textAlignment w:val="center"/>
              <w:rPr>
                <w:rFonts w:hint="eastAsia" w:ascii="Times New Roman" w:hAnsi="Times New Roman" w:eastAsia="仿宋" w:cs="Times New Roman"/>
                <w:b/>
                <w:bCs/>
                <w:color w:val="000000"/>
                <w:kern w:val="0"/>
                <w:sz w:val="22"/>
                <w:szCs w:val="22"/>
                <w:lang w:eastAsia="zh-CN" w:bidi="ar"/>
              </w:rPr>
            </w:pPr>
            <w:r>
              <w:rPr>
                <w:rFonts w:hint="default" w:ascii="Times New Roman" w:hAnsi="Times New Roman" w:eastAsia="仿宋" w:cs="Times New Roman"/>
                <w:b/>
                <w:bCs/>
                <w:color w:val="000000"/>
                <w:kern w:val="0"/>
                <w:sz w:val="22"/>
                <w:szCs w:val="22"/>
                <w:lang w:bidi="ar"/>
              </w:rPr>
              <w:t>总价（元</w:t>
            </w:r>
            <w:r>
              <w:rPr>
                <w:rFonts w:hint="eastAsia" w:ascii="Times New Roman" w:hAnsi="Times New Roman" w:eastAsia="仿宋" w:cs="Times New Roman"/>
                <w:b/>
                <w:bCs/>
                <w:color w:val="000000"/>
                <w:kern w:val="0"/>
                <w:sz w:val="22"/>
                <w:szCs w:val="22"/>
                <w:lang w:eastAsia="zh-CN" w:bidi="ar"/>
              </w:rPr>
              <w:t>）</w:t>
            </w:r>
          </w:p>
        </w:tc>
      </w:tr>
      <w:tr>
        <w:tblPrEx>
          <w:tblCellMar>
            <w:top w:w="0" w:type="dxa"/>
            <w:left w:w="108" w:type="dxa"/>
            <w:bottom w:w="0" w:type="dxa"/>
            <w:right w:w="108" w:type="dxa"/>
          </w:tblCellMar>
        </w:tblPrEx>
        <w:trPr>
          <w:trHeight w:val="280" w:hRule="atLeast"/>
          <w:tblHeader/>
          <w:jc w:val="center"/>
        </w:trPr>
        <w:tc>
          <w:tcPr>
            <w:tcW w:w="2252" w:type="dxa"/>
            <w:tcBorders>
              <w:top w:val="single" w:color="auto" w:sz="4" w:space="0"/>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智能漫步机</w:t>
            </w:r>
          </w:p>
        </w:tc>
        <w:tc>
          <w:tcPr>
            <w:tcW w:w="1502" w:type="dxa"/>
            <w:tcBorders>
              <w:top w:val="single" w:color="auto" w:sz="4" w:space="0"/>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18770</w:t>
            </w:r>
          </w:p>
        </w:tc>
        <w:tc>
          <w:tcPr>
            <w:tcW w:w="1299" w:type="dxa"/>
            <w:tcBorders>
              <w:top w:val="single" w:color="auto" w:sz="4" w:space="0"/>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3</w:t>
            </w:r>
          </w:p>
        </w:tc>
        <w:tc>
          <w:tcPr>
            <w:tcW w:w="1621" w:type="dxa"/>
            <w:tcBorders>
              <w:top w:val="single" w:color="auto" w:sz="4" w:space="0"/>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56310</w:t>
            </w:r>
          </w:p>
        </w:tc>
      </w:tr>
      <w:tr>
        <w:tblPrEx>
          <w:tblCellMar>
            <w:top w:w="0" w:type="dxa"/>
            <w:left w:w="108" w:type="dxa"/>
            <w:bottom w:w="0" w:type="dxa"/>
            <w:right w:w="108" w:type="dxa"/>
          </w:tblCellMar>
        </w:tblPrEx>
        <w:trPr>
          <w:trHeight w:val="280" w:hRule="atLeast"/>
          <w:tblHeader/>
          <w:jc w:val="center"/>
        </w:trPr>
        <w:tc>
          <w:tcPr>
            <w:tcW w:w="2252"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智能扭腰器</w:t>
            </w:r>
          </w:p>
        </w:tc>
        <w:tc>
          <w:tcPr>
            <w:tcW w:w="1502"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17640</w:t>
            </w:r>
          </w:p>
        </w:tc>
        <w:tc>
          <w:tcPr>
            <w:tcW w:w="1299"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3</w:t>
            </w:r>
          </w:p>
        </w:tc>
        <w:tc>
          <w:tcPr>
            <w:tcW w:w="1621"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52920</w:t>
            </w:r>
          </w:p>
        </w:tc>
      </w:tr>
      <w:tr>
        <w:tblPrEx>
          <w:tblCellMar>
            <w:top w:w="0" w:type="dxa"/>
            <w:left w:w="108" w:type="dxa"/>
            <w:bottom w:w="0" w:type="dxa"/>
            <w:right w:w="108" w:type="dxa"/>
          </w:tblCellMar>
        </w:tblPrEx>
        <w:trPr>
          <w:trHeight w:val="280" w:hRule="atLeast"/>
          <w:tblHeader/>
          <w:jc w:val="center"/>
        </w:trPr>
        <w:tc>
          <w:tcPr>
            <w:tcW w:w="2252"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智能划船器</w:t>
            </w:r>
          </w:p>
        </w:tc>
        <w:tc>
          <w:tcPr>
            <w:tcW w:w="1502"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19270</w:t>
            </w:r>
          </w:p>
        </w:tc>
        <w:tc>
          <w:tcPr>
            <w:tcW w:w="1299"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3</w:t>
            </w:r>
          </w:p>
        </w:tc>
        <w:tc>
          <w:tcPr>
            <w:tcW w:w="1621"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57810</w:t>
            </w:r>
          </w:p>
        </w:tc>
      </w:tr>
      <w:tr>
        <w:tblPrEx>
          <w:tblCellMar>
            <w:top w:w="0" w:type="dxa"/>
            <w:left w:w="108" w:type="dxa"/>
            <w:bottom w:w="0" w:type="dxa"/>
            <w:right w:w="108" w:type="dxa"/>
          </w:tblCellMar>
        </w:tblPrEx>
        <w:trPr>
          <w:trHeight w:val="280" w:hRule="atLeast"/>
          <w:tblHeader/>
          <w:jc w:val="center"/>
        </w:trPr>
        <w:tc>
          <w:tcPr>
            <w:tcW w:w="2252"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智能蹬力器</w:t>
            </w:r>
          </w:p>
        </w:tc>
        <w:tc>
          <w:tcPr>
            <w:tcW w:w="1502"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17950</w:t>
            </w:r>
          </w:p>
        </w:tc>
        <w:tc>
          <w:tcPr>
            <w:tcW w:w="1299"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3</w:t>
            </w:r>
          </w:p>
        </w:tc>
        <w:tc>
          <w:tcPr>
            <w:tcW w:w="1621"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53850</w:t>
            </w:r>
          </w:p>
        </w:tc>
      </w:tr>
      <w:tr>
        <w:tblPrEx>
          <w:tblCellMar>
            <w:top w:w="0" w:type="dxa"/>
            <w:left w:w="108" w:type="dxa"/>
            <w:bottom w:w="0" w:type="dxa"/>
            <w:right w:w="108" w:type="dxa"/>
          </w:tblCellMar>
        </w:tblPrEx>
        <w:trPr>
          <w:trHeight w:val="280" w:hRule="atLeast"/>
          <w:tblHeader/>
          <w:jc w:val="center"/>
        </w:trPr>
        <w:tc>
          <w:tcPr>
            <w:tcW w:w="2252"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智能揉推器</w:t>
            </w:r>
          </w:p>
        </w:tc>
        <w:tc>
          <w:tcPr>
            <w:tcW w:w="1502"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17840</w:t>
            </w:r>
          </w:p>
        </w:tc>
        <w:tc>
          <w:tcPr>
            <w:tcW w:w="1299"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3</w:t>
            </w:r>
          </w:p>
        </w:tc>
        <w:tc>
          <w:tcPr>
            <w:tcW w:w="1621"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53520</w:t>
            </w:r>
          </w:p>
        </w:tc>
      </w:tr>
      <w:tr>
        <w:tblPrEx>
          <w:tblCellMar>
            <w:top w:w="0" w:type="dxa"/>
            <w:left w:w="108" w:type="dxa"/>
            <w:bottom w:w="0" w:type="dxa"/>
            <w:right w:w="108" w:type="dxa"/>
          </w:tblCellMar>
        </w:tblPrEx>
        <w:trPr>
          <w:trHeight w:val="280" w:hRule="atLeast"/>
          <w:tblHeader/>
          <w:jc w:val="center"/>
        </w:trPr>
        <w:tc>
          <w:tcPr>
            <w:tcW w:w="2252"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智能椭圆机</w:t>
            </w:r>
          </w:p>
        </w:tc>
        <w:tc>
          <w:tcPr>
            <w:tcW w:w="1502"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19750</w:t>
            </w:r>
          </w:p>
        </w:tc>
        <w:tc>
          <w:tcPr>
            <w:tcW w:w="1299"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2</w:t>
            </w:r>
          </w:p>
        </w:tc>
        <w:tc>
          <w:tcPr>
            <w:tcW w:w="1621"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39500</w:t>
            </w:r>
          </w:p>
        </w:tc>
      </w:tr>
      <w:tr>
        <w:tblPrEx>
          <w:tblCellMar>
            <w:top w:w="0" w:type="dxa"/>
            <w:left w:w="108" w:type="dxa"/>
            <w:bottom w:w="0" w:type="dxa"/>
            <w:right w:w="108" w:type="dxa"/>
          </w:tblCellMar>
        </w:tblPrEx>
        <w:trPr>
          <w:trHeight w:val="280" w:hRule="atLeast"/>
          <w:tblHeader/>
          <w:jc w:val="center"/>
        </w:trPr>
        <w:tc>
          <w:tcPr>
            <w:tcW w:w="2252"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智能钟摆训练器</w:t>
            </w:r>
          </w:p>
        </w:tc>
        <w:tc>
          <w:tcPr>
            <w:tcW w:w="1502"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18440</w:t>
            </w:r>
          </w:p>
        </w:tc>
        <w:tc>
          <w:tcPr>
            <w:tcW w:w="1299"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2</w:t>
            </w:r>
          </w:p>
        </w:tc>
        <w:tc>
          <w:tcPr>
            <w:tcW w:w="1621"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36880</w:t>
            </w:r>
          </w:p>
        </w:tc>
      </w:tr>
      <w:tr>
        <w:tblPrEx>
          <w:tblCellMar>
            <w:top w:w="0" w:type="dxa"/>
            <w:left w:w="108" w:type="dxa"/>
            <w:bottom w:w="0" w:type="dxa"/>
            <w:right w:w="108" w:type="dxa"/>
          </w:tblCellMar>
        </w:tblPrEx>
        <w:trPr>
          <w:trHeight w:val="280" w:hRule="atLeast"/>
          <w:tblHeader/>
          <w:jc w:val="center"/>
        </w:trPr>
        <w:tc>
          <w:tcPr>
            <w:tcW w:w="2252"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智能健身车</w:t>
            </w:r>
          </w:p>
        </w:tc>
        <w:tc>
          <w:tcPr>
            <w:tcW w:w="1502"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19620</w:t>
            </w:r>
          </w:p>
        </w:tc>
        <w:tc>
          <w:tcPr>
            <w:tcW w:w="1299"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2</w:t>
            </w:r>
          </w:p>
        </w:tc>
        <w:tc>
          <w:tcPr>
            <w:tcW w:w="1621"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39240</w:t>
            </w:r>
          </w:p>
        </w:tc>
      </w:tr>
      <w:tr>
        <w:tblPrEx>
          <w:tblCellMar>
            <w:top w:w="0" w:type="dxa"/>
            <w:left w:w="108" w:type="dxa"/>
            <w:bottom w:w="0" w:type="dxa"/>
            <w:right w:w="108" w:type="dxa"/>
          </w:tblCellMar>
        </w:tblPrEx>
        <w:trPr>
          <w:trHeight w:val="280" w:hRule="atLeast"/>
          <w:tblHeader/>
          <w:jc w:val="center"/>
        </w:trPr>
        <w:tc>
          <w:tcPr>
            <w:tcW w:w="2252"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智能推举训练器</w:t>
            </w:r>
          </w:p>
        </w:tc>
        <w:tc>
          <w:tcPr>
            <w:tcW w:w="1502"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18780</w:t>
            </w:r>
          </w:p>
        </w:tc>
        <w:tc>
          <w:tcPr>
            <w:tcW w:w="1299"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2</w:t>
            </w:r>
          </w:p>
        </w:tc>
        <w:tc>
          <w:tcPr>
            <w:tcW w:w="1621"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37560</w:t>
            </w:r>
          </w:p>
        </w:tc>
      </w:tr>
      <w:tr>
        <w:tblPrEx>
          <w:tblCellMar>
            <w:top w:w="0" w:type="dxa"/>
            <w:left w:w="108" w:type="dxa"/>
            <w:bottom w:w="0" w:type="dxa"/>
            <w:right w:w="108" w:type="dxa"/>
          </w:tblCellMar>
        </w:tblPrEx>
        <w:trPr>
          <w:trHeight w:val="280" w:hRule="atLeast"/>
          <w:tblHeader/>
          <w:jc w:val="center"/>
        </w:trPr>
        <w:tc>
          <w:tcPr>
            <w:tcW w:w="2252"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二位太空漫步机</w:t>
            </w:r>
          </w:p>
        </w:tc>
        <w:tc>
          <w:tcPr>
            <w:tcW w:w="1502"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2670</w:t>
            </w:r>
          </w:p>
        </w:tc>
        <w:tc>
          <w:tcPr>
            <w:tcW w:w="1299"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10</w:t>
            </w:r>
          </w:p>
        </w:tc>
        <w:tc>
          <w:tcPr>
            <w:tcW w:w="1621"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26700</w:t>
            </w:r>
          </w:p>
        </w:tc>
      </w:tr>
      <w:tr>
        <w:tblPrEx>
          <w:tblCellMar>
            <w:top w:w="0" w:type="dxa"/>
            <w:left w:w="108" w:type="dxa"/>
            <w:bottom w:w="0" w:type="dxa"/>
            <w:right w:w="108" w:type="dxa"/>
          </w:tblCellMar>
        </w:tblPrEx>
        <w:trPr>
          <w:trHeight w:val="280" w:hRule="atLeast"/>
          <w:tblHeader/>
          <w:jc w:val="center"/>
        </w:trPr>
        <w:tc>
          <w:tcPr>
            <w:tcW w:w="2252"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腿部按摩器</w:t>
            </w:r>
          </w:p>
        </w:tc>
        <w:tc>
          <w:tcPr>
            <w:tcW w:w="1502"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2040</w:t>
            </w:r>
          </w:p>
        </w:tc>
        <w:tc>
          <w:tcPr>
            <w:tcW w:w="1299"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10</w:t>
            </w:r>
          </w:p>
        </w:tc>
        <w:tc>
          <w:tcPr>
            <w:tcW w:w="1621"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20400</w:t>
            </w:r>
          </w:p>
        </w:tc>
      </w:tr>
      <w:tr>
        <w:tblPrEx>
          <w:tblCellMar>
            <w:top w:w="0" w:type="dxa"/>
            <w:left w:w="108" w:type="dxa"/>
            <w:bottom w:w="0" w:type="dxa"/>
            <w:right w:w="108" w:type="dxa"/>
          </w:tblCellMar>
        </w:tblPrEx>
        <w:trPr>
          <w:trHeight w:val="280" w:hRule="atLeast"/>
          <w:tblHeader/>
          <w:jc w:val="center"/>
        </w:trPr>
        <w:tc>
          <w:tcPr>
            <w:tcW w:w="2252"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腰背按摩器</w:t>
            </w:r>
          </w:p>
        </w:tc>
        <w:tc>
          <w:tcPr>
            <w:tcW w:w="1502"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2210</w:t>
            </w:r>
          </w:p>
        </w:tc>
        <w:tc>
          <w:tcPr>
            <w:tcW w:w="1299"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10</w:t>
            </w:r>
          </w:p>
        </w:tc>
        <w:tc>
          <w:tcPr>
            <w:tcW w:w="1621"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22100</w:t>
            </w:r>
          </w:p>
        </w:tc>
      </w:tr>
      <w:tr>
        <w:tblPrEx>
          <w:tblCellMar>
            <w:top w:w="0" w:type="dxa"/>
            <w:left w:w="108" w:type="dxa"/>
            <w:bottom w:w="0" w:type="dxa"/>
            <w:right w:w="108" w:type="dxa"/>
          </w:tblCellMar>
        </w:tblPrEx>
        <w:trPr>
          <w:trHeight w:val="280" w:hRule="atLeast"/>
          <w:jc w:val="center"/>
        </w:trPr>
        <w:tc>
          <w:tcPr>
            <w:tcW w:w="2252"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骑马机</w:t>
            </w:r>
          </w:p>
        </w:tc>
        <w:tc>
          <w:tcPr>
            <w:tcW w:w="1502"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2340</w:t>
            </w:r>
          </w:p>
        </w:tc>
        <w:tc>
          <w:tcPr>
            <w:tcW w:w="1299"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10</w:t>
            </w:r>
          </w:p>
        </w:tc>
        <w:tc>
          <w:tcPr>
            <w:tcW w:w="1621"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23400</w:t>
            </w:r>
          </w:p>
        </w:tc>
      </w:tr>
      <w:tr>
        <w:tblPrEx>
          <w:tblCellMar>
            <w:top w:w="0" w:type="dxa"/>
            <w:left w:w="108" w:type="dxa"/>
            <w:bottom w:w="0" w:type="dxa"/>
            <w:right w:w="108" w:type="dxa"/>
          </w:tblCellMar>
        </w:tblPrEx>
        <w:trPr>
          <w:trHeight w:val="280" w:hRule="atLeast"/>
          <w:jc w:val="center"/>
        </w:trPr>
        <w:tc>
          <w:tcPr>
            <w:tcW w:w="2252"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仰卧起坐板</w:t>
            </w:r>
          </w:p>
        </w:tc>
        <w:tc>
          <w:tcPr>
            <w:tcW w:w="1502"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1940</w:t>
            </w:r>
          </w:p>
        </w:tc>
        <w:tc>
          <w:tcPr>
            <w:tcW w:w="1299"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10</w:t>
            </w:r>
          </w:p>
        </w:tc>
        <w:tc>
          <w:tcPr>
            <w:tcW w:w="1621"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19400</w:t>
            </w:r>
          </w:p>
        </w:tc>
      </w:tr>
      <w:tr>
        <w:tblPrEx>
          <w:tblCellMar>
            <w:top w:w="0" w:type="dxa"/>
            <w:left w:w="108" w:type="dxa"/>
            <w:bottom w:w="0" w:type="dxa"/>
            <w:right w:w="108" w:type="dxa"/>
          </w:tblCellMar>
        </w:tblPrEx>
        <w:trPr>
          <w:trHeight w:val="280" w:hRule="atLeast"/>
          <w:jc w:val="center"/>
        </w:trPr>
        <w:tc>
          <w:tcPr>
            <w:tcW w:w="2252"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二位蹬力器</w:t>
            </w:r>
          </w:p>
        </w:tc>
        <w:tc>
          <w:tcPr>
            <w:tcW w:w="1502"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2530</w:t>
            </w:r>
          </w:p>
        </w:tc>
        <w:tc>
          <w:tcPr>
            <w:tcW w:w="1299"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10</w:t>
            </w:r>
          </w:p>
        </w:tc>
        <w:tc>
          <w:tcPr>
            <w:tcW w:w="1621"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25300</w:t>
            </w:r>
          </w:p>
        </w:tc>
      </w:tr>
      <w:tr>
        <w:tblPrEx>
          <w:tblCellMar>
            <w:top w:w="0" w:type="dxa"/>
            <w:left w:w="108" w:type="dxa"/>
            <w:bottom w:w="0" w:type="dxa"/>
            <w:right w:w="108" w:type="dxa"/>
          </w:tblCellMar>
        </w:tblPrEx>
        <w:trPr>
          <w:trHeight w:val="280" w:hRule="atLeast"/>
          <w:jc w:val="center"/>
        </w:trPr>
        <w:tc>
          <w:tcPr>
            <w:tcW w:w="2252"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划船器</w:t>
            </w:r>
          </w:p>
        </w:tc>
        <w:tc>
          <w:tcPr>
            <w:tcW w:w="1502"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2430</w:t>
            </w:r>
          </w:p>
        </w:tc>
        <w:tc>
          <w:tcPr>
            <w:tcW w:w="1299"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10</w:t>
            </w:r>
          </w:p>
        </w:tc>
        <w:tc>
          <w:tcPr>
            <w:tcW w:w="1621"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24300</w:t>
            </w:r>
          </w:p>
        </w:tc>
      </w:tr>
      <w:tr>
        <w:tblPrEx>
          <w:tblCellMar>
            <w:top w:w="0" w:type="dxa"/>
            <w:left w:w="108" w:type="dxa"/>
            <w:bottom w:w="0" w:type="dxa"/>
            <w:right w:w="108" w:type="dxa"/>
          </w:tblCellMar>
        </w:tblPrEx>
        <w:trPr>
          <w:trHeight w:val="280" w:hRule="atLeast"/>
          <w:jc w:val="center"/>
        </w:trPr>
        <w:tc>
          <w:tcPr>
            <w:tcW w:w="2252"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四联压腿按摩器</w:t>
            </w:r>
          </w:p>
        </w:tc>
        <w:tc>
          <w:tcPr>
            <w:tcW w:w="1502"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2079</w:t>
            </w:r>
          </w:p>
        </w:tc>
        <w:tc>
          <w:tcPr>
            <w:tcW w:w="1299"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10</w:t>
            </w:r>
          </w:p>
        </w:tc>
        <w:tc>
          <w:tcPr>
            <w:tcW w:w="1621"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20790</w:t>
            </w:r>
          </w:p>
        </w:tc>
      </w:tr>
      <w:tr>
        <w:tblPrEx>
          <w:tblCellMar>
            <w:top w:w="0" w:type="dxa"/>
            <w:left w:w="108" w:type="dxa"/>
            <w:bottom w:w="0" w:type="dxa"/>
            <w:right w:w="108" w:type="dxa"/>
          </w:tblCellMar>
        </w:tblPrEx>
        <w:trPr>
          <w:trHeight w:val="280" w:hRule="atLeast"/>
          <w:jc w:val="center"/>
        </w:trPr>
        <w:tc>
          <w:tcPr>
            <w:tcW w:w="2252"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太极揉推轮</w:t>
            </w:r>
          </w:p>
        </w:tc>
        <w:tc>
          <w:tcPr>
            <w:tcW w:w="1502"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2110</w:t>
            </w:r>
          </w:p>
        </w:tc>
        <w:tc>
          <w:tcPr>
            <w:tcW w:w="1299"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10</w:t>
            </w:r>
          </w:p>
        </w:tc>
        <w:tc>
          <w:tcPr>
            <w:tcW w:w="1621"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21100</w:t>
            </w:r>
          </w:p>
        </w:tc>
      </w:tr>
      <w:tr>
        <w:tblPrEx>
          <w:tblCellMar>
            <w:top w:w="0" w:type="dxa"/>
            <w:left w:w="108" w:type="dxa"/>
            <w:bottom w:w="0" w:type="dxa"/>
            <w:right w:w="108" w:type="dxa"/>
          </w:tblCellMar>
        </w:tblPrEx>
        <w:trPr>
          <w:trHeight w:val="280" w:hRule="atLeast"/>
          <w:jc w:val="center"/>
        </w:trPr>
        <w:tc>
          <w:tcPr>
            <w:tcW w:w="2252"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荡板</w:t>
            </w:r>
          </w:p>
        </w:tc>
        <w:tc>
          <w:tcPr>
            <w:tcW w:w="1502"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2310</w:t>
            </w:r>
          </w:p>
        </w:tc>
        <w:tc>
          <w:tcPr>
            <w:tcW w:w="1299"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10</w:t>
            </w:r>
          </w:p>
        </w:tc>
        <w:tc>
          <w:tcPr>
            <w:tcW w:w="1621"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23100</w:t>
            </w:r>
          </w:p>
        </w:tc>
      </w:tr>
      <w:tr>
        <w:tblPrEx>
          <w:tblCellMar>
            <w:top w:w="0" w:type="dxa"/>
            <w:left w:w="108" w:type="dxa"/>
            <w:bottom w:w="0" w:type="dxa"/>
            <w:right w:w="108" w:type="dxa"/>
          </w:tblCellMar>
        </w:tblPrEx>
        <w:trPr>
          <w:trHeight w:val="280" w:hRule="atLeast"/>
          <w:jc w:val="center"/>
        </w:trPr>
        <w:tc>
          <w:tcPr>
            <w:tcW w:w="2252"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双位扭腰器</w:t>
            </w:r>
          </w:p>
        </w:tc>
        <w:tc>
          <w:tcPr>
            <w:tcW w:w="1502"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2140</w:t>
            </w:r>
          </w:p>
        </w:tc>
        <w:tc>
          <w:tcPr>
            <w:tcW w:w="1299"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10</w:t>
            </w:r>
          </w:p>
        </w:tc>
        <w:tc>
          <w:tcPr>
            <w:tcW w:w="1621"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21400</w:t>
            </w:r>
          </w:p>
        </w:tc>
      </w:tr>
      <w:tr>
        <w:tblPrEx>
          <w:tblCellMar>
            <w:top w:w="0" w:type="dxa"/>
            <w:left w:w="108" w:type="dxa"/>
            <w:bottom w:w="0" w:type="dxa"/>
            <w:right w:w="108" w:type="dxa"/>
          </w:tblCellMar>
        </w:tblPrEx>
        <w:trPr>
          <w:trHeight w:val="280" w:hRule="atLeast"/>
          <w:jc w:val="center"/>
        </w:trPr>
        <w:tc>
          <w:tcPr>
            <w:tcW w:w="2252"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健身车</w:t>
            </w:r>
          </w:p>
        </w:tc>
        <w:tc>
          <w:tcPr>
            <w:tcW w:w="1502"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2280</w:t>
            </w:r>
          </w:p>
        </w:tc>
        <w:tc>
          <w:tcPr>
            <w:tcW w:w="1299"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10</w:t>
            </w:r>
          </w:p>
        </w:tc>
        <w:tc>
          <w:tcPr>
            <w:tcW w:w="1621"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22800</w:t>
            </w:r>
          </w:p>
        </w:tc>
      </w:tr>
      <w:tr>
        <w:tblPrEx>
          <w:tblCellMar>
            <w:top w:w="0" w:type="dxa"/>
            <w:left w:w="108" w:type="dxa"/>
            <w:bottom w:w="0" w:type="dxa"/>
            <w:right w:w="108" w:type="dxa"/>
          </w:tblCellMar>
        </w:tblPrEx>
        <w:trPr>
          <w:trHeight w:val="280" w:hRule="atLeast"/>
          <w:jc w:val="center"/>
        </w:trPr>
        <w:tc>
          <w:tcPr>
            <w:tcW w:w="2252" w:type="dxa"/>
            <w:tcBorders>
              <w:top w:val="nil"/>
              <w:left w:val="nil"/>
              <w:bottom w:val="single" w:color="auto" w:sz="4" w:space="0"/>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平步机</w:t>
            </w:r>
          </w:p>
        </w:tc>
        <w:tc>
          <w:tcPr>
            <w:tcW w:w="1502" w:type="dxa"/>
            <w:tcBorders>
              <w:top w:val="nil"/>
              <w:left w:val="nil"/>
              <w:bottom w:val="single" w:color="auto" w:sz="4" w:space="0"/>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2780</w:t>
            </w:r>
          </w:p>
        </w:tc>
        <w:tc>
          <w:tcPr>
            <w:tcW w:w="1299" w:type="dxa"/>
            <w:tcBorders>
              <w:top w:val="nil"/>
              <w:left w:val="nil"/>
              <w:bottom w:val="single" w:color="auto" w:sz="4" w:space="0"/>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10</w:t>
            </w:r>
          </w:p>
        </w:tc>
        <w:tc>
          <w:tcPr>
            <w:tcW w:w="1621" w:type="dxa"/>
            <w:tcBorders>
              <w:top w:val="nil"/>
              <w:left w:val="nil"/>
              <w:bottom w:val="single" w:color="auto" w:sz="4" w:space="0"/>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27800</w:t>
            </w:r>
          </w:p>
        </w:tc>
      </w:tr>
      <w:tr>
        <w:tblPrEx>
          <w:tblCellMar>
            <w:top w:w="0" w:type="dxa"/>
            <w:left w:w="108" w:type="dxa"/>
            <w:bottom w:w="0" w:type="dxa"/>
            <w:right w:w="108" w:type="dxa"/>
          </w:tblCellMar>
        </w:tblPrEx>
        <w:trPr>
          <w:trHeight w:val="280" w:hRule="atLeast"/>
          <w:jc w:val="center"/>
        </w:trPr>
        <w:tc>
          <w:tcPr>
            <w:tcW w:w="5053" w:type="dxa"/>
            <w:gridSpan w:val="3"/>
            <w:tcBorders>
              <w:top w:val="single" w:color="auto" w:sz="4" w:space="0"/>
              <w:left w:val="nil"/>
              <w:bottom w:val="single" w:color="auto" w:sz="8" w:space="0"/>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b/>
                <w:bCs/>
                <w:color w:val="000000"/>
                <w:kern w:val="0"/>
                <w:sz w:val="22"/>
                <w:szCs w:val="22"/>
                <w:lang w:bidi="ar"/>
              </w:rPr>
            </w:pPr>
            <w:r>
              <w:rPr>
                <w:rFonts w:hint="default" w:ascii="Times New Roman" w:hAnsi="Times New Roman" w:eastAsia="仿宋" w:cs="Times New Roman"/>
                <w:b/>
                <w:bCs/>
                <w:color w:val="000000"/>
                <w:kern w:val="0"/>
                <w:sz w:val="22"/>
                <w:szCs w:val="22"/>
                <w:lang w:bidi="ar"/>
              </w:rPr>
              <w:t>合计</w:t>
            </w:r>
          </w:p>
        </w:tc>
        <w:tc>
          <w:tcPr>
            <w:tcW w:w="1621" w:type="dxa"/>
            <w:tcBorders>
              <w:top w:val="single" w:color="auto" w:sz="4" w:space="0"/>
              <w:left w:val="nil"/>
              <w:bottom w:val="single" w:color="auto" w:sz="8" w:space="0"/>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b/>
                <w:bCs/>
                <w:color w:val="000000"/>
                <w:kern w:val="0"/>
                <w:sz w:val="22"/>
                <w:szCs w:val="22"/>
                <w:lang w:bidi="ar"/>
              </w:rPr>
            </w:pPr>
            <w:r>
              <w:rPr>
                <w:rFonts w:hint="default" w:ascii="Times New Roman" w:hAnsi="Times New Roman" w:eastAsia="仿宋" w:cs="Times New Roman"/>
                <w:b/>
                <w:bCs/>
                <w:color w:val="000000"/>
                <w:kern w:val="0"/>
                <w:sz w:val="22"/>
                <w:szCs w:val="22"/>
                <w:lang w:bidi="ar"/>
              </w:rPr>
              <w:t>726180</w:t>
            </w:r>
          </w:p>
        </w:tc>
      </w:tr>
    </w:tbl>
    <w:p>
      <w:pPr>
        <w:jc w:val="center"/>
        <w:rPr>
          <w:rStyle w:val="24"/>
          <w:rFonts w:hint="default" w:ascii="Times New Roman" w:hAnsi="Times New Roman" w:eastAsia="仿宋" w:cs="Times New Roman"/>
          <w:lang w:bidi="ar"/>
        </w:rPr>
      </w:pPr>
    </w:p>
    <w:p>
      <w:pPr>
        <w:ind w:firstLine="560" w:firstLineChars="200"/>
        <w:rPr>
          <w:rStyle w:val="24"/>
          <w:rFonts w:hint="default" w:ascii="Times New Roman" w:hAnsi="Times New Roman" w:eastAsia="仿宋" w:cs="Times New Roman"/>
          <w:lang w:bidi="ar"/>
        </w:rPr>
      </w:pPr>
      <w:r>
        <w:rPr>
          <w:rFonts w:hint="default" w:ascii="Times New Roman" w:hAnsi="Times New Roman" w:eastAsia="仿宋" w:cs="Times New Roman"/>
          <w:szCs w:val="28"/>
        </w:rPr>
        <w:t>2021年与2022年多功能运动场项目货物采购类别基本一致，主要支出在硅PU面层与日字型围网两项货物（如表4</w:t>
      </w:r>
      <w:r>
        <w:rPr>
          <w:rFonts w:hint="eastAsia" w:ascii="Times New Roman" w:hAnsi="Times New Roman" w:eastAsia="仿宋" w:cs="Times New Roman"/>
          <w:szCs w:val="28"/>
          <w:lang w:eastAsia="zh-CN"/>
        </w:rPr>
        <w:t>）</w:t>
      </w:r>
      <w:r>
        <w:rPr>
          <w:rFonts w:hint="default" w:ascii="Times New Roman" w:hAnsi="Times New Roman" w:eastAsia="仿宋" w:cs="Times New Roman"/>
          <w:szCs w:val="28"/>
        </w:rPr>
        <w:t>，其次是7.5米高中杆灯采购支出，其余货物（劳务</w:t>
      </w:r>
      <w:r>
        <w:rPr>
          <w:rFonts w:hint="eastAsia" w:ascii="Times New Roman" w:hAnsi="Times New Roman" w:eastAsia="仿宋" w:cs="Times New Roman"/>
          <w:szCs w:val="28"/>
          <w:lang w:eastAsia="zh-CN"/>
        </w:rPr>
        <w:t>）</w:t>
      </w:r>
      <w:r>
        <w:rPr>
          <w:rFonts w:hint="default" w:ascii="Times New Roman" w:hAnsi="Times New Roman" w:eastAsia="仿宋" w:cs="Times New Roman"/>
          <w:szCs w:val="28"/>
        </w:rPr>
        <w:t>支出规模相对较小。</w:t>
      </w:r>
    </w:p>
    <w:p>
      <w:pPr>
        <w:pStyle w:val="2"/>
        <w:rPr>
          <w:rFonts w:hint="default" w:ascii="Times New Roman" w:hAnsi="Times New Roman" w:cs="Times New Roman"/>
        </w:rPr>
      </w:pPr>
    </w:p>
    <w:p>
      <w:pPr>
        <w:spacing w:line="240" w:lineRule="auto"/>
        <w:jc w:val="center"/>
        <w:rPr>
          <w:rStyle w:val="24"/>
          <w:rFonts w:hint="default" w:ascii="Times New Roman" w:hAnsi="Times New Roman" w:eastAsia="仿宋" w:cs="Times New Roman"/>
          <w:lang w:bidi="ar"/>
        </w:rPr>
      </w:pPr>
      <w:r>
        <w:rPr>
          <w:rFonts w:hint="default" w:ascii="Times New Roman" w:hAnsi="Times New Roman" w:eastAsia="仿宋" w:cs="Times New Roman"/>
          <w:b/>
          <w:bCs/>
          <w:color w:val="000000"/>
          <w:kern w:val="0"/>
          <w:sz w:val="24"/>
          <w:lang w:bidi="ar"/>
        </w:rPr>
        <w:t>表</w:t>
      </w:r>
      <w:r>
        <w:rPr>
          <w:rStyle w:val="23"/>
          <w:rFonts w:hint="default" w:ascii="Times New Roman" w:hAnsi="Times New Roman" w:eastAsia="仿宋" w:cs="Times New Roman"/>
          <w:lang w:bidi="ar"/>
        </w:rPr>
        <w:t>4</w:t>
      </w:r>
      <w:r>
        <w:rPr>
          <w:rStyle w:val="24"/>
          <w:rFonts w:hint="default" w:ascii="Times New Roman" w:hAnsi="Times New Roman" w:eastAsia="仿宋" w:cs="Times New Roman"/>
          <w:lang w:bidi="ar"/>
        </w:rPr>
        <w:t xml:space="preserve">  </w:t>
      </w:r>
      <w:r>
        <w:rPr>
          <w:rStyle w:val="23"/>
          <w:rFonts w:hint="default" w:ascii="Times New Roman" w:hAnsi="Times New Roman" w:eastAsia="仿宋" w:cs="Times New Roman"/>
          <w:lang w:bidi="ar"/>
        </w:rPr>
        <w:t>2022</w:t>
      </w:r>
      <w:r>
        <w:rPr>
          <w:rStyle w:val="24"/>
          <w:rFonts w:hint="default" w:ascii="Times New Roman" w:hAnsi="Times New Roman" w:eastAsia="仿宋" w:cs="Times New Roman"/>
          <w:lang w:bidi="ar"/>
        </w:rPr>
        <w:t>年多功能运动场项目资金支出明细</w:t>
      </w:r>
    </w:p>
    <w:tbl>
      <w:tblPr>
        <w:tblStyle w:val="11"/>
        <w:tblW w:w="7895" w:type="dxa"/>
        <w:jc w:val="center"/>
        <w:tblLayout w:type="fixed"/>
        <w:tblCellMar>
          <w:top w:w="0" w:type="dxa"/>
          <w:left w:w="108" w:type="dxa"/>
          <w:bottom w:w="0" w:type="dxa"/>
          <w:right w:w="108" w:type="dxa"/>
        </w:tblCellMar>
      </w:tblPr>
      <w:tblGrid>
        <w:gridCol w:w="3025"/>
        <w:gridCol w:w="1248"/>
        <w:gridCol w:w="960"/>
        <w:gridCol w:w="1160"/>
        <w:gridCol w:w="1502"/>
      </w:tblGrid>
      <w:tr>
        <w:tblPrEx>
          <w:tblCellMar>
            <w:top w:w="0" w:type="dxa"/>
            <w:left w:w="108" w:type="dxa"/>
            <w:bottom w:w="0" w:type="dxa"/>
            <w:right w:w="108" w:type="dxa"/>
          </w:tblCellMar>
        </w:tblPrEx>
        <w:trPr>
          <w:trHeight w:val="508" w:hRule="atLeast"/>
          <w:jc w:val="center"/>
        </w:trPr>
        <w:tc>
          <w:tcPr>
            <w:tcW w:w="3025" w:type="dxa"/>
            <w:tcBorders>
              <w:top w:val="single" w:color="auto" w:sz="8" w:space="0"/>
              <w:left w:val="nil"/>
              <w:bottom w:val="single" w:color="auto" w:sz="4" w:space="0"/>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b/>
                <w:bCs/>
                <w:color w:val="000000"/>
                <w:kern w:val="0"/>
                <w:sz w:val="22"/>
                <w:szCs w:val="22"/>
                <w:lang w:bidi="ar"/>
              </w:rPr>
            </w:pPr>
            <w:r>
              <w:rPr>
                <w:rFonts w:hint="default" w:ascii="Times New Roman" w:hAnsi="Times New Roman" w:eastAsia="仿宋" w:cs="Times New Roman"/>
                <w:b/>
                <w:bCs/>
                <w:color w:val="000000"/>
                <w:kern w:val="0"/>
                <w:sz w:val="22"/>
                <w:szCs w:val="22"/>
                <w:lang w:bidi="ar"/>
              </w:rPr>
              <w:t>货物（劳务</w:t>
            </w:r>
            <w:r>
              <w:rPr>
                <w:rFonts w:hint="eastAsia" w:ascii="Times New Roman" w:hAnsi="Times New Roman" w:eastAsia="仿宋" w:cs="Times New Roman"/>
                <w:b/>
                <w:bCs/>
                <w:color w:val="000000"/>
                <w:kern w:val="0"/>
                <w:sz w:val="22"/>
                <w:szCs w:val="22"/>
                <w:lang w:eastAsia="zh-CN" w:bidi="ar"/>
              </w:rPr>
              <w:t>）</w:t>
            </w:r>
            <w:r>
              <w:rPr>
                <w:rFonts w:hint="default" w:ascii="Times New Roman" w:hAnsi="Times New Roman" w:eastAsia="仿宋" w:cs="Times New Roman"/>
                <w:b/>
                <w:bCs/>
                <w:color w:val="000000"/>
                <w:kern w:val="0"/>
                <w:sz w:val="22"/>
                <w:szCs w:val="22"/>
                <w:lang w:bidi="ar"/>
              </w:rPr>
              <w:t>名称</w:t>
            </w:r>
          </w:p>
        </w:tc>
        <w:tc>
          <w:tcPr>
            <w:tcW w:w="1248" w:type="dxa"/>
            <w:tcBorders>
              <w:top w:val="single" w:color="auto" w:sz="8" w:space="0"/>
              <w:left w:val="nil"/>
              <w:bottom w:val="single" w:color="auto" w:sz="4" w:space="0"/>
              <w:right w:val="nil"/>
            </w:tcBorders>
            <w:shd w:val="clear" w:color="auto" w:fill="auto"/>
            <w:noWrap/>
            <w:vAlign w:val="center"/>
          </w:tcPr>
          <w:p>
            <w:pPr>
              <w:widowControl/>
              <w:spacing w:line="240" w:lineRule="auto"/>
              <w:jc w:val="center"/>
              <w:textAlignment w:val="center"/>
              <w:rPr>
                <w:rFonts w:hint="eastAsia" w:ascii="Times New Roman" w:hAnsi="Times New Roman" w:eastAsia="仿宋" w:cs="Times New Roman"/>
                <w:b/>
                <w:bCs/>
                <w:color w:val="000000"/>
                <w:kern w:val="0"/>
                <w:sz w:val="22"/>
                <w:szCs w:val="22"/>
                <w:lang w:eastAsia="zh-CN" w:bidi="ar"/>
              </w:rPr>
            </w:pPr>
            <w:r>
              <w:rPr>
                <w:rFonts w:hint="default" w:ascii="Times New Roman" w:hAnsi="Times New Roman" w:eastAsia="仿宋" w:cs="Times New Roman"/>
                <w:b/>
                <w:bCs/>
                <w:color w:val="000000"/>
                <w:kern w:val="0"/>
                <w:sz w:val="22"/>
                <w:szCs w:val="22"/>
                <w:lang w:bidi="ar"/>
              </w:rPr>
              <w:t>单价（元</w:t>
            </w:r>
            <w:r>
              <w:rPr>
                <w:rFonts w:hint="eastAsia" w:ascii="Times New Roman" w:hAnsi="Times New Roman" w:eastAsia="仿宋" w:cs="Times New Roman"/>
                <w:b/>
                <w:bCs/>
                <w:color w:val="000000"/>
                <w:kern w:val="0"/>
                <w:sz w:val="22"/>
                <w:szCs w:val="22"/>
                <w:lang w:eastAsia="zh-CN" w:bidi="ar"/>
              </w:rPr>
              <w:t>）</w:t>
            </w:r>
          </w:p>
        </w:tc>
        <w:tc>
          <w:tcPr>
            <w:tcW w:w="960" w:type="dxa"/>
            <w:tcBorders>
              <w:top w:val="single" w:color="auto" w:sz="8" w:space="0"/>
              <w:left w:val="nil"/>
              <w:bottom w:val="single" w:color="auto" w:sz="4" w:space="0"/>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b/>
                <w:bCs/>
                <w:color w:val="000000"/>
                <w:kern w:val="0"/>
                <w:sz w:val="22"/>
                <w:szCs w:val="22"/>
                <w:lang w:bidi="ar"/>
              </w:rPr>
            </w:pPr>
            <w:r>
              <w:rPr>
                <w:rFonts w:hint="default" w:ascii="Times New Roman" w:hAnsi="Times New Roman" w:eastAsia="仿宋" w:cs="Times New Roman"/>
                <w:b/>
                <w:bCs/>
                <w:color w:val="000000"/>
                <w:kern w:val="0"/>
                <w:sz w:val="22"/>
                <w:szCs w:val="22"/>
                <w:lang w:bidi="ar"/>
              </w:rPr>
              <w:t>数量</w:t>
            </w:r>
          </w:p>
        </w:tc>
        <w:tc>
          <w:tcPr>
            <w:tcW w:w="1160" w:type="dxa"/>
            <w:tcBorders>
              <w:top w:val="single" w:color="auto" w:sz="8" w:space="0"/>
              <w:left w:val="nil"/>
              <w:bottom w:val="single" w:color="auto" w:sz="4" w:space="0"/>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b/>
                <w:bCs/>
                <w:color w:val="000000"/>
                <w:kern w:val="0"/>
                <w:sz w:val="22"/>
                <w:szCs w:val="22"/>
                <w:lang w:bidi="ar"/>
              </w:rPr>
            </w:pPr>
            <w:r>
              <w:rPr>
                <w:rFonts w:hint="default" w:ascii="Times New Roman" w:hAnsi="Times New Roman" w:eastAsia="仿宋" w:cs="Times New Roman"/>
                <w:b/>
                <w:bCs/>
                <w:color w:val="000000"/>
                <w:kern w:val="0"/>
                <w:sz w:val="22"/>
                <w:szCs w:val="22"/>
                <w:lang w:bidi="ar"/>
              </w:rPr>
              <w:t>单位</w:t>
            </w:r>
          </w:p>
        </w:tc>
        <w:tc>
          <w:tcPr>
            <w:tcW w:w="1502" w:type="dxa"/>
            <w:tcBorders>
              <w:top w:val="single" w:color="auto" w:sz="8" w:space="0"/>
              <w:left w:val="nil"/>
              <w:bottom w:val="single" w:color="auto" w:sz="4" w:space="0"/>
              <w:right w:val="nil"/>
            </w:tcBorders>
            <w:shd w:val="clear" w:color="auto" w:fill="auto"/>
            <w:noWrap/>
            <w:vAlign w:val="center"/>
          </w:tcPr>
          <w:p>
            <w:pPr>
              <w:widowControl/>
              <w:spacing w:line="240" w:lineRule="auto"/>
              <w:jc w:val="center"/>
              <w:textAlignment w:val="center"/>
              <w:rPr>
                <w:rFonts w:hint="eastAsia" w:ascii="Times New Roman" w:hAnsi="Times New Roman" w:eastAsia="仿宋" w:cs="Times New Roman"/>
                <w:b/>
                <w:bCs/>
                <w:color w:val="000000"/>
                <w:kern w:val="0"/>
                <w:sz w:val="22"/>
                <w:szCs w:val="22"/>
                <w:lang w:eastAsia="zh-CN" w:bidi="ar"/>
              </w:rPr>
            </w:pPr>
            <w:r>
              <w:rPr>
                <w:rFonts w:hint="default" w:ascii="Times New Roman" w:hAnsi="Times New Roman" w:eastAsia="仿宋" w:cs="Times New Roman"/>
                <w:b/>
                <w:bCs/>
                <w:color w:val="000000"/>
                <w:kern w:val="0"/>
                <w:sz w:val="22"/>
                <w:szCs w:val="22"/>
                <w:lang w:bidi="ar"/>
              </w:rPr>
              <w:t>总价（元</w:t>
            </w:r>
            <w:r>
              <w:rPr>
                <w:rFonts w:hint="eastAsia" w:ascii="Times New Roman" w:hAnsi="Times New Roman" w:eastAsia="仿宋" w:cs="Times New Roman"/>
                <w:b/>
                <w:bCs/>
                <w:color w:val="000000"/>
                <w:kern w:val="0"/>
                <w:sz w:val="22"/>
                <w:szCs w:val="22"/>
                <w:lang w:eastAsia="zh-CN" w:bidi="ar"/>
              </w:rPr>
              <w:t>）</w:t>
            </w:r>
          </w:p>
        </w:tc>
      </w:tr>
      <w:tr>
        <w:tblPrEx>
          <w:tblCellMar>
            <w:top w:w="0" w:type="dxa"/>
            <w:left w:w="108" w:type="dxa"/>
            <w:bottom w:w="0" w:type="dxa"/>
            <w:right w:w="108" w:type="dxa"/>
          </w:tblCellMar>
        </w:tblPrEx>
        <w:trPr>
          <w:trHeight w:val="280" w:hRule="atLeast"/>
          <w:jc w:val="center"/>
        </w:trPr>
        <w:tc>
          <w:tcPr>
            <w:tcW w:w="3025" w:type="dxa"/>
            <w:tcBorders>
              <w:top w:val="single" w:color="auto" w:sz="4" w:space="0"/>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5mm厚厚彩色硅PU面层</w:t>
            </w:r>
          </w:p>
        </w:tc>
        <w:tc>
          <w:tcPr>
            <w:tcW w:w="1248" w:type="dxa"/>
            <w:tcBorders>
              <w:top w:val="single" w:color="auto" w:sz="4" w:space="0"/>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120</w:t>
            </w:r>
          </w:p>
        </w:tc>
        <w:tc>
          <w:tcPr>
            <w:tcW w:w="960" w:type="dxa"/>
            <w:tcBorders>
              <w:top w:val="single" w:color="auto" w:sz="4" w:space="0"/>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1824</w:t>
            </w:r>
          </w:p>
        </w:tc>
        <w:tc>
          <w:tcPr>
            <w:tcW w:w="1160" w:type="dxa"/>
            <w:tcBorders>
              <w:top w:val="single" w:color="auto" w:sz="4" w:space="0"/>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平方</w:t>
            </w:r>
          </w:p>
        </w:tc>
        <w:tc>
          <w:tcPr>
            <w:tcW w:w="1502" w:type="dxa"/>
            <w:tcBorders>
              <w:top w:val="single" w:color="auto" w:sz="4" w:space="0"/>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218880</w:t>
            </w:r>
          </w:p>
        </w:tc>
      </w:tr>
      <w:tr>
        <w:tblPrEx>
          <w:tblCellMar>
            <w:top w:w="0" w:type="dxa"/>
            <w:left w:w="108" w:type="dxa"/>
            <w:bottom w:w="0" w:type="dxa"/>
            <w:right w:w="108" w:type="dxa"/>
          </w:tblCellMar>
        </w:tblPrEx>
        <w:trPr>
          <w:trHeight w:val="280" w:hRule="atLeast"/>
          <w:jc w:val="center"/>
        </w:trPr>
        <w:tc>
          <w:tcPr>
            <w:tcW w:w="3025"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基础打磨、酸洗、切缝</w:t>
            </w:r>
          </w:p>
        </w:tc>
        <w:tc>
          <w:tcPr>
            <w:tcW w:w="1248"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15</w:t>
            </w:r>
          </w:p>
        </w:tc>
        <w:tc>
          <w:tcPr>
            <w:tcW w:w="960"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1824</w:t>
            </w:r>
          </w:p>
        </w:tc>
        <w:tc>
          <w:tcPr>
            <w:tcW w:w="1160"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组</w:t>
            </w:r>
          </w:p>
        </w:tc>
        <w:tc>
          <w:tcPr>
            <w:tcW w:w="1502"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27360</w:t>
            </w:r>
          </w:p>
        </w:tc>
      </w:tr>
      <w:tr>
        <w:tblPrEx>
          <w:tblCellMar>
            <w:top w:w="0" w:type="dxa"/>
            <w:left w:w="108" w:type="dxa"/>
            <w:bottom w:w="0" w:type="dxa"/>
            <w:right w:w="108" w:type="dxa"/>
          </w:tblCellMar>
        </w:tblPrEx>
        <w:trPr>
          <w:trHeight w:val="280" w:hRule="atLeast"/>
          <w:jc w:val="center"/>
        </w:trPr>
        <w:tc>
          <w:tcPr>
            <w:tcW w:w="3025"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4米高日字型围网</w:t>
            </w:r>
          </w:p>
        </w:tc>
        <w:tc>
          <w:tcPr>
            <w:tcW w:w="1248"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164</w:t>
            </w:r>
          </w:p>
        </w:tc>
        <w:tc>
          <w:tcPr>
            <w:tcW w:w="960"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1224</w:t>
            </w:r>
          </w:p>
        </w:tc>
        <w:tc>
          <w:tcPr>
            <w:tcW w:w="1160"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平方</w:t>
            </w:r>
          </w:p>
        </w:tc>
        <w:tc>
          <w:tcPr>
            <w:tcW w:w="1502"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200736</w:t>
            </w:r>
          </w:p>
        </w:tc>
      </w:tr>
      <w:tr>
        <w:tblPrEx>
          <w:tblCellMar>
            <w:top w:w="0" w:type="dxa"/>
            <w:left w:w="108" w:type="dxa"/>
            <w:bottom w:w="0" w:type="dxa"/>
            <w:right w:w="108" w:type="dxa"/>
          </w:tblCellMar>
        </w:tblPrEx>
        <w:trPr>
          <w:trHeight w:val="280" w:hRule="atLeast"/>
          <w:jc w:val="center"/>
        </w:trPr>
        <w:tc>
          <w:tcPr>
            <w:tcW w:w="3025"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7.5米高中杆灯</w:t>
            </w:r>
          </w:p>
        </w:tc>
        <w:tc>
          <w:tcPr>
            <w:tcW w:w="1248"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7808</w:t>
            </w:r>
          </w:p>
        </w:tc>
        <w:tc>
          <w:tcPr>
            <w:tcW w:w="960"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12</w:t>
            </w:r>
          </w:p>
        </w:tc>
        <w:tc>
          <w:tcPr>
            <w:tcW w:w="1160"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杆</w:t>
            </w:r>
          </w:p>
        </w:tc>
        <w:tc>
          <w:tcPr>
            <w:tcW w:w="1502"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93696</w:t>
            </w:r>
          </w:p>
        </w:tc>
      </w:tr>
      <w:tr>
        <w:tblPrEx>
          <w:tblCellMar>
            <w:top w:w="0" w:type="dxa"/>
            <w:left w:w="108" w:type="dxa"/>
            <w:bottom w:w="0" w:type="dxa"/>
            <w:right w:w="108" w:type="dxa"/>
          </w:tblCellMar>
        </w:tblPrEx>
        <w:trPr>
          <w:trHeight w:val="280" w:hRule="atLeast"/>
          <w:jc w:val="center"/>
        </w:trPr>
        <w:tc>
          <w:tcPr>
            <w:tcW w:w="3025"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配电箱</w:t>
            </w:r>
          </w:p>
        </w:tc>
        <w:tc>
          <w:tcPr>
            <w:tcW w:w="1248"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1205.33</w:t>
            </w:r>
          </w:p>
        </w:tc>
        <w:tc>
          <w:tcPr>
            <w:tcW w:w="960"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3</w:t>
            </w:r>
          </w:p>
        </w:tc>
        <w:tc>
          <w:tcPr>
            <w:tcW w:w="1160"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个</w:t>
            </w:r>
          </w:p>
        </w:tc>
        <w:tc>
          <w:tcPr>
            <w:tcW w:w="1502"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3615.99</w:t>
            </w:r>
          </w:p>
        </w:tc>
      </w:tr>
      <w:tr>
        <w:tblPrEx>
          <w:tblCellMar>
            <w:top w:w="0" w:type="dxa"/>
            <w:left w:w="108" w:type="dxa"/>
            <w:bottom w:w="0" w:type="dxa"/>
            <w:right w:w="108" w:type="dxa"/>
          </w:tblCellMar>
        </w:tblPrEx>
        <w:trPr>
          <w:trHeight w:val="280" w:hRule="atLeast"/>
          <w:jc w:val="center"/>
        </w:trPr>
        <w:tc>
          <w:tcPr>
            <w:tcW w:w="3025"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地埋式篮球架</w:t>
            </w:r>
          </w:p>
        </w:tc>
        <w:tc>
          <w:tcPr>
            <w:tcW w:w="1248"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11500</w:t>
            </w:r>
          </w:p>
        </w:tc>
        <w:tc>
          <w:tcPr>
            <w:tcW w:w="960"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3</w:t>
            </w:r>
          </w:p>
        </w:tc>
        <w:tc>
          <w:tcPr>
            <w:tcW w:w="1160"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副</w:t>
            </w:r>
          </w:p>
        </w:tc>
        <w:tc>
          <w:tcPr>
            <w:tcW w:w="1502"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34500</w:t>
            </w:r>
          </w:p>
        </w:tc>
      </w:tr>
      <w:tr>
        <w:tblPrEx>
          <w:tblCellMar>
            <w:top w:w="0" w:type="dxa"/>
            <w:left w:w="108" w:type="dxa"/>
            <w:bottom w:w="0" w:type="dxa"/>
            <w:right w:w="108" w:type="dxa"/>
          </w:tblCellMar>
        </w:tblPrEx>
        <w:trPr>
          <w:trHeight w:val="280" w:hRule="atLeast"/>
          <w:jc w:val="center"/>
        </w:trPr>
        <w:tc>
          <w:tcPr>
            <w:tcW w:w="3025" w:type="dxa"/>
            <w:tcBorders>
              <w:top w:val="nil"/>
              <w:left w:val="nil"/>
              <w:bottom w:val="nil"/>
              <w:right w:val="nil"/>
            </w:tcBorders>
            <w:shd w:val="clear" w:color="auto" w:fill="auto"/>
            <w:noWrap/>
            <w:vAlign w:val="center"/>
          </w:tcPr>
          <w:p>
            <w:pPr>
              <w:widowControl/>
              <w:spacing w:line="240" w:lineRule="auto"/>
              <w:jc w:val="center"/>
              <w:textAlignment w:val="center"/>
              <w:rPr>
                <w:rFonts w:hint="eastAsia" w:ascii="Times New Roman" w:hAnsi="Times New Roman" w:eastAsia="仿宋" w:cs="Times New Roman"/>
                <w:color w:val="000000"/>
                <w:sz w:val="22"/>
                <w:szCs w:val="22"/>
                <w:lang w:eastAsia="zh-CN"/>
              </w:rPr>
            </w:pPr>
            <w:r>
              <w:rPr>
                <w:rFonts w:hint="default" w:ascii="Times New Roman" w:hAnsi="Times New Roman" w:eastAsia="仿宋" w:cs="Times New Roman"/>
                <w:color w:val="000000"/>
                <w:kern w:val="0"/>
                <w:sz w:val="22"/>
                <w:szCs w:val="22"/>
                <w:lang w:bidi="ar"/>
              </w:rPr>
              <w:t>气排球柱（羽毛球兼用</w:t>
            </w:r>
            <w:r>
              <w:rPr>
                <w:rFonts w:hint="eastAsia" w:ascii="Times New Roman" w:hAnsi="Times New Roman" w:eastAsia="仿宋" w:cs="Times New Roman"/>
                <w:color w:val="000000"/>
                <w:kern w:val="0"/>
                <w:sz w:val="22"/>
                <w:szCs w:val="22"/>
                <w:lang w:eastAsia="zh-CN" w:bidi="ar"/>
              </w:rPr>
              <w:t>）</w:t>
            </w:r>
          </w:p>
        </w:tc>
        <w:tc>
          <w:tcPr>
            <w:tcW w:w="1248"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1610</w:t>
            </w:r>
          </w:p>
        </w:tc>
        <w:tc>
          <w:tcPr>
            <w:tcW w:w="960"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3</w:t>
            </w:r>
          </w:p>
        </w:tc>
        <w:tc>
          <w:tcPr>
            <w:tcW w:w="1160"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副</w:t>
            </w:r>
          </w:p>
        </w:tc>
        <w:tc>
          <w:tcPr>
            <w:tcW w:w="1502" w:type="dxa"/>
            <w:tcBorders>
              <w:top w:val="nil"/>
              <w:left w:val="nil"/>
              <w:bottom w:val="nil"/>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4830</w:t>
            </w:r>
          </w:p>
        </w:tc>
      </w:tr>
      <w:tr>
        <w:tblPrEx>
          <w:tblCellMar>
            <w:top w:w="0" w:type="dxa"/>
            <w:left w:w="108" w:type="dxa"/>
            <w:bottom w:w="0" w:type="dxa"/>
            <w:right w:w="108" w:type="dxa"/>
          </w:tblCellMar>
        </w:tblPrEx>
        <w:trPr>
          <w:trHeight w:val="280" w:hRule="atLeast"/>
          <w:jc w:val="center"/>
        </w:trPr>
        <w:tc>
          <w:tcPr>
            <w:tcW w:w="3025" w:type="dxa"/>
            <w:tcBorders>
              <w:top w:val="nil"/>
              <w:left w:val="nil"/>
              <w:bottom w:val="single" w:color="auto" w:sz="4" w:space="0"/>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场地划线</w:t>
            </w:r>
          </w:p>
        </w:tc>
        <w:tc>
          <w:tcPr>
            <w:tcW w:w="1248" w:type="dxa"/>
            <w:tcBorders>
              <w:top w:val="nil"/>
              <w:left w:val="nil"/>
              <w:bottom w:val="single" w:color="auto" w:sz="4" w:space="0"/>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3000</w:t>
            </w:r>
          </w:p>
        </w:tc>
        <w:tc>
          <w:tcPr>
            <w:tcW w:w="960" w:type="dxa"/>
            <w:tcBorders>
              <w:top w:val="nil"/>
              <w:left w:val="nil"/>
              <w:bottom w:val="single" w:color="auto" w:sz="4" w:space="0"/>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3</w:t>
            </w:r>
          </w:p>
        </w:tc>
        <w:tc>
          <w:tcPr>
            <w:tcW w:w="1160" w:type="dxa"/>
            <w:tcBorders>
              <w:top w:val="nil"/>
              <w:left w:val="nil"/>
              <w:bottom w:val="single" w:color="auto" w:sz="4" w:space="0"/>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个</w:t>
            </w:r>
          </w:p>
        </w:tc>
        <w:tc>
          <w:tcPr>
            <w:tcW w:w="1502" w:type="dxa"/>
            <w:tcBorders>
              <w:top w:val="nil"/>
              <w:left w:val="nil"/>
              <w:bottom w:val="single" w:color="auto" w:sz="4" w:space="0"/>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9000</w:t>
            </w:r>
          </w:p>
        </w:tc>
      </w:tr>
      <w:tr>
        <w:tblPrEx>
          <w:tblCellMar>
            <w:top w:w="0" w:type="dxa"/>
            <w:left w:w="108" w:type="dxa"/>
            <w:bottom w:w="0" w:type="dxa"/>
            <w:right w:w="108" w:type="dxa"/>
          </w:tblCellMar>
        </w:tblPrEx>
        <w:trPr>
          <w:trHeight w:val="280" w:hRule="atLeast"/>
          <w:jc w:val="center"/>
        </w:trPr>
        <w:tc>
          <w:tcPr>
            <w:tcW w:w="6393" w:type="dxa"/>
            <w:gridSpan w:val="4"/>
            <w:tcBorders>
              <w:top w:val="single" w:color="auto" w:sz="4" w:space="0"/>
              <w:left w:val="nil"/>
              <w:bottom w:val="single" w:color="auto" w:sz="8" w:space="0"/>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b/>
                <w:bCs/>
                <w:color w:val="000000"/>
                <w:kern w:val="0"/>
                <w:sz w:val="22"/>
                <w:szCs w:val="22"/>
                <w:lang w:bidi="ar"/>
              </w:rPr>
            </w:pPr>
            <w:r>
              <w:rPr>
                <w:rFonts w:hint="default" w:ascii="Times New Roman" w:hAnsi="Times New Roman" w:eastAsia="仿宋" w:cs="Times New Roman"/>
                <w:b/>
                <w:bCs/>
                <w:color w:val="000000"/>
                <w:kern w:val="0"/>
                <w:sz w:val="22"/>
                <w:szCs w:val="22"/>
                <w:lang w:bidi="ar"/>
              </w:rPr>
              <w:t>合计</w:t>
            </w:r>
          </w:p>
        </w:tc>
        <w:tc>
          <w:tcPr>
            <w:tcW w:w="1502" w:type="dxa"/>
            <w:tcBorders>
              <w:top w:val="single" w:color="auto" w:sz="4" w:space="0"/>
              <w:left w:val="nil"/>
              <w:bottom w:val="single" w:color="auto" w:sz="8" w:space="0"/>
              <w:right w:val="nil"/>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b/>
                <w:bCs/>
                <w:color w:val="000000"/>
                <w:kern w:val="0"/>
                <w:sz w:val="22"/>
                <w:szCs w:val="22"/>
                <w:lang w:bidi="ar"/>
              </w:rPr>
            </w:pPr>
            <w:r>
              <w:rPr>
                <w:rFonts w:hint="default" w:ascii="Times New Roman" w:hAnsi="Times New Roman" w:eastAsia="仿宋" w:cs="Times New Roman"/>
                <w:b/>
                <w:bCs/>
                <w:color w:val="000000"/>
                <w:kern w:val="0"/>
                <w:sz w:val="22"/>
                <w:szCs w:val="22"/>
                <w:lang w:bidi="ar"/>
              </w:rPr>
              <w:t>592617.99</w:t>
            </w:r>
          </w:p>
        </w:tc>
      </w:tr>
    </w:tbl>
    <w:p>
      <w:pPr>
        <w:jc w:val="center"/>
        <w:rPr>
          <w:rStyle w:val="24"/>
          <w:rFonts w:hint="default" w:ascii="Times New Roman" w:hAnsi="Times New Roman" w:eastAsia="仿宋" w:cs="Times New Roman"/>
          <w:lang w:bidi="ar"/>
        </w:rPr>
      </w:pPr>
    </w:p>
    <w:p>
      <w:pPr>
        <w:spacing w:before="156" w:beforeLines="50" w:after="156" w:afterLines="50"/>
        <w:ind w:firstLine="643" w:firstLineChars="200"/>
        <w:outlineLvl w:val="1"/>
        <w:rPr>
          <w:rFonts w:ascii="仿宋" w:hAnsi="仿宋" w:eastAsia="仿宋" w:cs="仿宋"/>
          <w:b/>
          <w:bCs/>
          <w:sz w:val="32"/>
          <w:szCs w:val="32"/>
        </w:rPr>
      </w:pPr>
      <w:bookmarkStart w:id="27" w:name="_Toc2048"/>
      <w:bookmarkStart w:id="28" w:name="_Toc5838"/>
      <w:bookmarkStart w:id="29" w:name="_Toc19875"/>
      <w:bookmarkStart w:id="30" w:name="_Toc12468"/>
      <w:r>
        <w:rPr>
          <w:rFonts w:hint="eastAsia" w:ascii="仿宋" w:hAnsi="仿宋" w:eastAsia="仿宋" w:cs="仿宋"/>
          <w:b/>
          <w:bCs/>
          <w:sz w:val="32"/>
          <w:szCs w:val="32"/>
        </w:rPr>
        <w:t>五、</w:t>
      </w:r>
      <w:bookmarkEnd w:id="26"/>
      <w:bookmarkStart w:id="31" w:name="_Toc1389323381"/>
      <w:r>
        <w:rPr>
          <w:rFonts w:hint="eastAsia" w:ascii="仿宋" w:hAnsi="仿宋" w:eastAsia="仿宋" w:cs="仿宋"/>
          <w:b/>
          <w:bCs/>
          <w:sz w:val="32"/>
          <w:szCs w:val="32"/>
        </w:rPr>
        <w:t>项目</w:t>
      </w:r>
      <w:bookmarkEnd w:id="31"/>
      <w:r>
        <w:rPr>
          <w:rFonts w:hint="eastAsia" w:ascii="仿宋" w:hAnsi="仿宋" w:eastAsia="仿宋" w:cs="仿宋"/>
          <w:b/>
          <w:bCs/>
          <w:sz w:val="32"/>
          <w:szCs w:val="32"/>
        </w:rPr>
        <w:t>组织管理</w:t>
      </w:r>
      <w:bookmarkEnd w:id="27"/>
      <w:bookmarkEnd w:id="28"/>
      <w:bookmarkEnd w:id="29"/>
      <w:bookmarkEnd w:id="30"/>
    </w:p>
    <w:p>
      <w:pPr>
        <w:widowControl/>
        <w:ind w:firstLine="560" w:firstLineChars="200"/>
        <w:rPr>
          <w:rFonts w:ascii="仿宋" w:hAnsi="仿宋" w:eastAsia="仿宋" w:cs="仿宋"/>
          <w:sz w:val="32"/>
          <w:szCs w:val="32"/>
        </w:rPr>
      </w:pPr>
      <w:r>
        <w:rPr>
          <w:rFonts w:hint="eastAsia" w:ascii="仿宋" w:hAnsi="仿宋" w:eastAsia="仿宋" w:cs="仿宋"/>
          <w:szCs w:val="28"/>
        </w:rPr>
        <w:t>惠安建设体育基础设施项目由惠安县文化体育和旅游局主管，体育场馆基础设施建设由受建单位负责，建设完工后再由县文旅局通过政府集中采购的形式购买体育健身器材等设施设备，政府采购委托代理企业即为建设项目实施主体。县文旅局作为项目实施的主管单位，要对项目的立项、工程可行性研究批复及前期报件审批、投资控制、施工设计图纸审查、招投标过程等实施监督，对项目施工质量、安全、进度、环境保护等进行行业监管。在地类转为建设用地后，将指标下达给乡镇，由村、社区即时跟进项目实施进度。建设项目实施主体按照相关法律、法规等的规定，代表政府全面负责项目的筹划、建设实施、资产管理和项目移交的全过程，对项目的质量、投资、工期、安全、环境保护等承担全部责任和义务。</w:t>
      </w:r>
    </w:p>
    <w:p>
      <w:pPr>
        <w:spacing w:before="156" w:beforeLines="50" w:after="156" w:afterLines="50"/>
        <w:ind w:firstLine="643" w:firstLineChars="200"/>
        <w:outlineLvl w:val="1"/>
        <w:rPr>
          <w:rFonts w:ascii="仿宋" w:hAnsi="仿宋" w:eastAsia="仿宋" w:cs="仿宋"/>
          <w:b/>
          <w:bCs/>
          <w:sz w:val="32"/>
          <w:szCs w:val="32"/>
        </w:rPr>
      </w:pPr>
      <w:bookmarkStart w:id="32" w:name="_Toc7939"/>
      <w:bookmarkStart w:id="33" w:name="_Toc28805"/>
      <w:bookmarkStart w:id="34" w:name="_Toc24357"/>
      <w:bookmarkStart w:id="35" w:name="_Toc4017"/>
      <w:r>
        <w:rPr>
          <w:rFonts w:hint="eastAsia" w:ascii="仿宋" w:hAnsi="仿宋" w:eastAsia="仿宋" w:cs="仿宋"/>
          <w:b/>
          <w:bCs/>
          <w:sz w:val="32"/>
          <w:szCs w:val="32"/>
        </w:rPr>
        <w:t>六、工作成效</w:t>
      </w:r>
      <w:bookmarkEnd w:id="32"/>
      <w:bookmarkEnd w:id="33"/>
      <w:bookmarkEnd w:id="34"/>
      <w:bookmarkEnd w:id="35"/>
    </w:p>
    <w:p>
      <w:pPr>
        <w:widowControl/>
        <w:ind w:firstLine="560" w:firstLineChars="200"/>
        <w:rPr>
          <w:rFonts w:ascii="仿宋" w:hAnsi="仿宋" w:eastAsia="仿宋" w:cs="仿宋"/>
          <w:color w:val="000000"/>
          <w:kern w:val="0"/>
          <w:szCs w:val="28"/>
          <w:lang w:bidi="ar"/>
        </w:rPr>
      </w:pPr>
      <w:r>
        <w:rPr>
          <w:rFonts w:hint="eastAsia" w:ascii="仿宋" w:hAnsi="仿宋" w:eastAsia="仿宋" w:cs="仿宋"/>
          <w:color w:val="000000"/>
          <w:kern w:val="0"/>
          <w:szCs w:val="28"/>
          <w:lang w:bidi="ar"/>
        </w:rPr>
        <w:t>近年来，惠安县文化体育和旅游局围绕学习贯彻党的二十大精神和习近平总书记关于体育的重要论述精神，按照省、市关于</w:t>
      </w:r>
      <w:r>
        <w:rPr>
          <w:rFonts w:hint="eastAsia" w:ascii="仿宋" w:hAnsi="仿宋" w:eastAsia="仿宋" w:cs="仿宋"/>
        </w:rPr>
        <w:t>全民健身场地设施建设任务</w:t>
      </w:r>
      <w:r>
        <w:rPr>
          <w:rFonts w:hint="eastAsia" w:ascii="仿宋" w:hAnsi="仿宋" w:eastAsia="仿宋" w:cs="仿宋"/>
          <w:color w:val="000000"/>
          <w:kern w:val="0"/>
          <w:szCs w:val="28"/>
          <w:lang w:bidi="ar"/>
        </w:rPr>
        <w:t>的工作部署，</w:t>
      </w:r>
      <w:r>
        <w:rPr>
          <w:rFonts w:hint="eastAsia" w:ascii="仿宋" w:hAnsi="仿宋" w:eastAsia="仿宋" w:cs="仿宋"/>
          <w:szCs w:val="28"/>
        </w:rPr>
        <w:t>以</w:t>
      </w:r>
      <w:r>
        <w:rPr>
          <w:rFonts w:hint="eastAsia" w:ascii="仿宋" w:hAnsi="仿宋" w:eastAsia="仿宋" w:cs="仿宋"/>
          <w:szCs w:val="28"/>
          <w:lang w:eastAsia="zh-CN"/>
        </w:rPr>
        <w:t>“</w:t>
      </w:r>
      <w:r>
        <w:rPr>
          <w:rFonts w:hint="eastAsia" w:ascii="仿宋" w:hAnsi="仿宋" w:eastAsia="仿宋" w:cs="仿宋"/>
          <w:szCs w:val="28"/>
        </w:rPr>
        <w:t>惠</w:t>
      </w:r>
      <w:r>
        <w:rPr>
          <w:rFonts w:hint="eastAsia" w:ascii="仿宋" w:hAnsi="仿宋" w:eastAsia="仿宋" w:cs="仿宋"/>
          <w:szCs w:val="28"/>
          <w:lang w:eastAsia="zh-CN"/>
        </w:rPr>
        <w:t>”</w:t>
      </w:r>
      <w:r>
        <w:rPr>
          <w:rFonts w:hint="eastAsia" w:ascii="仿宋" w:hAnsi="仿宋" w:eastAsia="仿宋" w:cs="仿宋"/>
          <w:szCs w:val="28"/>
        </w:rPr>
        <w:t>字当先，加大体育设施投入和保障，最大限度惠及广大群众，完善惠民健身公共服务体系，在群众体育方面</w:t>
      </w:r>
      <w:r>
        <w:rPr>
          <w:rFonts w:hint="eastAsia" w:ascii="仿宋" w:hAnsi="仿宋" w:eastAsia="仿宋" w:cs="仿宋"/>
          <w:color w:val="000000"/>
          <w:kern w:val="0"/>
          <w:szCs w:val="28"/>
          <w:lang w:bidi="ar"/>
        </w:rPr>
        <w:t>重点完成了以下工作：</w:t>
      </w:r>
    </w:p>
    <w:p>
      <w:pPr>
        <w:widowControl/>
        <w:ind w:firstLine="562" w:firstLineChars="200"/>
        <w:rPr>
          <w:rFonts w:hint="default" w:ascii="Times New Roman" w:hAnsi="Times New Roman" w:eastAsia="仿宋" w:cs="Times New Roman"/>
          <w:szCs w:val="28"/>
        </w:rPr>
      </w:pPr>
      <w:r>
        <w:rPr>
          <w:rFonts w:hint="eastAsia" w:ascii="仿宋" w:hAnsi="仿宋" w:eastAsia="仿宋" w:cs="仿宋"/>
          <w:b/>
          <w:bCs/>
          <w:szCs w:val="28"/>
        </w:rPr>
        <w:t>一是资金保障。</w:t>
      </w:r>
      <w:r>
        <w:rPr>
          <w:rFonts w:hint="eastAsia" w:ascii="仿宋" w:hAnsi="仿宋" w:eastAsia="仿宋" w:cs="仿宋"/>
          <w:szCs w:val="28"/>
        </w:rPr>
        <w:t>县财政持续加大资金投入，县、镇、村三级财政三年累计共投入公</w:t>
      </w:r>
      <w:r>
        <w:rPr>
          <w:rFonts w:hint="default" w:ascii="Times New Roman" w:hAnsi="Times New Roman" w:eastAsia="仿宋" w:cs="Times New Roman"/>
          <w:szCs w:val="28"/>
        </w:rPr>
        <w:t>共体育事业建设近4000万元。在党委政</w:t>
      </w:r>
      <w:r>
        <w:rPr>
          <w:rFonts w:hint="eastAsia" w:ascii="仿宋" w:hAnsi="仿宋" w:eastAsia="仿宋" w:cs="仿宋"/>
          <w:szCs w:val="28"/>
        </w:rPr>
        <w:t>府有力引领下，惠安全社会积极呼应，每年社会各界响应号召投入数百万元支持体育基础设施建设及举办赛事活动。</w:t>
      </w:r>
      <w:r>
        <w:rPr>
          <w:rFonts w:hint="eastAsia" w:ascii="仿宋" w:hAnsi="仿宋" w:eastAsia="仿宋" w:cs="仿宋"/>
          <w:b/>
          <w:bCs/>
          <w:szCs w:val="28"/>
        </w:rPr>
        <w:t>二是规划引领。</w:t>
      </w:r>
      <w:r>
        <w:rPr>
          <w:rFonts w:hint="eastAsia" w:ascii="仿宋" w:hAnsi="仿宋" w:eastAsia="仿宋" w:cs="仿宋"/>
          <w:szCs w:val="28"/>
        </w:rPr>
        <w:t>县委、县政府高</w:t>
      </w:r>
      <w:r>
        <w:rPr>
          <w:rFonts w:hint="default" w:ascii="Times New Roman" w:hAnsi="Times New Roman" w:eastAsia="仿宋" w:cs="Times New Roman"/>
          <w:szCs w:val="28"/>
        </w:rPr>
        <w:t>度重视体育事业发展，坚持把体育事业建设纳入国民经济和社会发展规划和精神文明建设规划，并印发《惠安县全民健身实施计划（2021-2025年</w:t>
      </w:r>
      <w:r>
        <w:rPr>
          <w:rFonts w:hint="eastAsia" w:ascii="Times New Roman" w:hAnsi="Times New Roman" w:eastAsia="仿宋" w:cs="Times New Roman"/>
          <w:szCs w:val="28"/>
          <w:lang w:eastAsia="zh-CN"/>
        </w:rPr>
        <w:t>）</w:t>
      </w:r>
      <w:r>
        <w:rPr>
          <w:rFonts w:hint="default" w:ascii="Times New Roman" w:hAnsi="Times New Roman" w:eastAsia="仿宋" w:cs="Times New Roman"/>
          <w:szCs w:val="28"/>
        </w:rPr>
        <w:t>》，进一步落实全民健身国家战略。</w:t>
      </w:r>
      <w:r>
        <w:rPr>
          <w:rFonts w:hint="default" w:ascii="Times New Roman" w:hAnsi="Times New Roman" w:eastAsia="仿宋" w:cs="Times New Roman"/>
          <w:b/>
          <w:bCs/>
          <w:szCs w:val="28"/>
        </w:rPr>
        <w:t>三是场馆提升。</w:t>
      </w:r>
      <w:r>
        <w:rPr>
          <w:rFonts w:hint="default" w:ascii="Times New Roman" w:hAnsi="Times New Roman" w:eastAsia="仿宋" w:cs="Times New Roman"/>
          <w:szCs w:val="28"/>
        </w:rPr>
        <w:t>2022年县级投入新建10条健身路径、3个多功能运动场、1个5人制足球场、1个7人制足球场、10个口袋健身公园，投入1200多万修缮提升体育中心场馆功能，各镇各级均积极推动各类体育场馆建设。据体育场地普查统计，惠安县人均体育场地面积2020年为2.02平方米、2021年为2.14平方米、2022年达2.46平方米，呈逐年上升趋势，全民健身公共服务体系不断完善。</w:t>
      </w:r>
    </w:p>
    <w:p>
      <w:pPr>
        <w:widowControl/>
        <w:ind w:firstLine="560" w:firstLineChars="200"/>
        <w:rPr>
          <w:rFonts w:ascii="仿宋" w:hAnsi="仿宋" w:eastAsia="仿宋" w:cs="仿宋"/>
        </w:rPr>
      </w:pPr>
      <w:r>
        <w:rPr>
          <w:rFonts w:hint="default" w:ascii="Times New Roman" w:hAnsi="Times New Roman" w:eastAsia="仿宋" w:cs="Times New Roman"/>
        </w:rPr>
        <w:br w:type="page"/>
      </w:r>
    </w:p>
    <w:p>
      <w:pPr>
        <w:rPr>
          <w:rFonts w:ascii="仿宋" w:hAnsi="仿宋" w:eastAsia="仿宋" w:cs="仿宋"/>
        </w:rPr>
      </w:pPr>
    </w:p>
    <w:p>
      <w:pPr>
        <w:jc w:val="center"/>
        <w:outlineLvl w:val="0"/>
        <w:rPr>
          <w:rFonts w:ascii="仿宋" w:hAnsi="仿宋" w:eastAsia="仿宋" w:cs="仿宋"/>
          <w:b/>
          <w:bCs/>
          <w:sz w:val="36"/>
          <w:szCs w:val="36"/>
        </w:rPr>
      </w:pPr>
      <w:bookmarkStart w:id="36" w:name="_Toc26423"/>
      <w:bookmarkStart w:id="37" w:name="_Toc9448"/>
      <w:bookmarkStart w:id="38" w:name="_Toc16740"/>
      <w:bookmarkStart w:id="39" w:name="_Toc27444"/>
      <w:bookmarkStart w:id="40" w:name="_Toc649299437"/>
      <w:r>
        <w:rPr>
          <w:rFonts w:hint="eastAsia" w:ascii="仿宋" w:hAnsi="仿宋" w:eastAsia="仿宋" w:cs="仿宋"/>
          <w:b/>
          <w:bCs/>
          <w:sz w:val="36"/>
          <w:szCs w:val="36"/>
        </w:rPr>
        <w:t>第二部分 绩效评价工作开展情况</w:t>
      </w:r>
      <w:bookmarkEnd w:id="36"/>
      <w:bookmarkEnd w:id="37"/>
      <w:bookmarkEnd w:id="38"/>
      <w:bookmarkEnd w:id="39"/>
      <w:bookmarkEnd w:id="40"/>
    </w:p>
    <w:p>
      <w:pPr>
        <w:rPr>
          <w:rFonts w:ascii="仿宋" w:hAnsi="仿宋" w:eastAsia="仿宋" w:cs="仿宋"/>
          <w:b/>
          <w:bCs/>
        </w:rPr>
      </w:pPr>
    </w:p>
    <w:p>
      <w:pPr>
        <w:spacing w:before="156" w:beforeLines="50" w:after="156" w:afterLines="50"/>
        <w:ind w:firstLine="643" w:firstLineChars="200"/>
        <w:outlineLvl w:val="1"/>
        <w:rPr>
          <w:rFonts w:ascii="仿宋" w:hAnsi="仿宋" w:eastAsia="仿宋" w:cs="仿宋"/>
          <w:b/>
          <w:bCs/>
          <w:sz w:val="32"/>
          <w:szCs w:val="32"/>
        </w:rPr>
      </w:pPr>
      <w:bookmarkStart w:id="41" w:name="_Toc10618"/>
      <w:bookmarkStart w:id="42" w:name="_Toc1057"/>
      <w:bookmarkStart w:id="43" w:name="_Toc17505"/>
      <w:bookmarkStart w:id="44" w:name="_Toc16868"/>
      <w:bookmarkStart w:id="45" w:name="_Toc1925960322"/>
      <w:r>
        <w:rPr>
          <w:rFonts w:hint="eastAsia" w:ascii="仿宋" w:hAnsi="仿宋" w:eastAsia="仿宋" w:cs="仿宋"/>
          <w:b/>
          <w:bCs/>
          <w:sz w:val="32"/>
          <w:szCs w:val="32"/>
        </w:rPr>
        <w:t>一、评价工作组介绍</w:t>
      </w:r>
      <w:bookmarkEnd w:id="41"/>
      <w:bookmarkEnd w:id="42"/>
      <w:bookmarkEnd w:id="43"/>
      <w:bookmarkEnd w:id="44"/>
      <w:bookmarkEnd w:id="45"/>
    </w:p>
    <w:p>
      <w:pPr>
        <w:numPr>
          <w:ilvl w:val="255"/>
          <w:numId w:val="0"/>
        </w:numPr>
        <w:ind w:firstLine="560" w:firstLineChars="200"/>
        <w:rPr>
          <w:rFonts w:hint="default" w:ascii="Times New Roman" w:hAnsi="Times New Roman" w:eastAsia="仿宋" w:cs="Times New Roman"/>
          <w:szCs w:val="28"/>
        </w:rPr>
      </w:pPr>
      <w:r>
        <w:rPr>
          <w:rFonts w:hint="default" w:ascii="Times New Roman" w:hAnsi="Times New Roman" w:eastAsia="仿宋" w:cs="Times New Roman"/>
          <w:szCs w:val="28"/>
        </w:rPr>
        <w:t>2021-2022年惠安建设体育基础设施项目的绩效评价工作组包括福州市韦兰信息科技有限公司评价人员。本次部门评价工作组通过组织实施部门绩效评价工作，拟定评价方案、及时收集、汇总和分析资料，最终形成有效的评价组织架构。</w:t>
      </w:r>
    </w:p>
    <w:p>
      <w:pPr>
        <w:spacing w:before="156" w:beforeLines="50" w:after="156" w:afterLines="50"/>
        <w:ind w:firstLine="643" w:firstLineChars="200"/>
        <w:outlineLvl w:val="1"/>
        <w:rPr>
          <w:rFonts w:hint="default" w:ascii="Times New Roman" w:hAnsi="Times New Roman" w:eastAsia="仿宋" w:cs="Times New Roman"/>
          <w:b/>
          <w:bCs/>
          <w:sz w:val="32"/>
          <w:szCs w:val="32"/>
        </w:rPr>
      </w:pPr>
      <w:bookmarkStart w:id="46" w:name="_Toc702933774"/>
      <w:bookmarkStart w:id="47" w:name="_Toc27978"/>
      <w:bookmarkStart w:id="48" w:name="_Toc32272"/>
      <w:bookmarkStart w:id="49" w:name="_Toc18445"/>
      <w:bookmarkStart w:id="50" w:name="_Toc17313"/>
      <w:r>
        <w:rPr>
          <w:rFonts w:hint="default" w:ascii="Times New Roman" w:hAnsi="Times New Roman" w:eastAsia="仿宋" w:cs="Times New Roman"/>
          <w:b/>
          <w:bCs/>
          <w:sz w:val="32"/>
          <w:szCs w:val="32"/>
        </w:rPr>
        <w:t>二、评价目的</w:t>
      </w:r>
      <w:bookmarkEnd w:id="46"/>
      <w:bookmarkEnd w:id="47"/>
      <w:bookmarkEnd w:id="48"/>
      <w:bookmarkEnd w:id="49"/>
      <w:bookmarkEnd w:id="50"/>
    </w:p>
    <w:p>
      <w:pPr>
        <w:ind w:firstLine="560" w:firstLineChars="200"/>
        <w:rPr>
          <w:rFonts w:ascii="仿宋" w:hAnsi="仿宋" w:eastAsia="仿宋" w:cs="仿宋"/>
          <w:szCs w:val="28"/>
        </w:rPr>
      </w:pPr>
      <w:r>
        <w:rPr>
          <w:rFonts w:hint="default" w:ascii="Times New Roman" w:hAnsi="Times New Roman" w:eastAsia="仿宋" w:cs="Times New Roman"/>
        </w:rPr>
        <w:t>全面评价惠安县实施2021-</w:t>
      </w:r>
      <w:r>
        <w:rPr>
          <w:rFonts w:hint="default" w:ascii="Times New Roman" w:hAnsi="Times New Roman" w:eastAsia="仿宋" w:cs="Times New Roman"/>
          <w:szCs w:val="28"/>
        </w:rPr>
        <w:t>2022年建设体育基础设施项目</w:t>
      </w:r>
      <w:r>
        <w:rPr>
          <w:rFonts w:hint="default" w:ascii="Times New Roman" w:hAnsi="Times New Roman" w:eastAsia="仿宋" w:cs="Times New Roman"/>
        </w:rPr>
        <w:t>的资金使用和管理情况、绩效目标完成情况，并从项目资金使用合规性及成本控制有效性入手，分析项目效益水平，强化预算绩效责任，提高财政资金配置和使用效益。同时，通过运用科学、合</w:t>
      </w:r>
      <w:r>
        <w:rPr>
          <w:rFonts w:hint="eastAsia" w:ascii="仿宋" w:hAnsi="仿宋" w:eastAsia="仿宋" w:cs="仿宋"/>
        </w:rPr>
        <w:t>理的绩效评价指标、评价标准和评价方法，发现项目实施过程中存在的问题并提出建议。结合评价情况，进一步促进项目规范运营，提高项目运行管理水平</w:t>
      </w:r>
      <w:r>
        <w:rPr>
          <w:rFonts w:hint="eastAsia" w:ascii="仿宋" w:hAnsi="仿宋" w:eastAsia="仿宋" w:cs="仿宋"/>
          <w:szCs w:val="28"/>
        </w:rPr>
        <w:t>。</w:t>
      </w:r>
    </w:p>
    <w:p>
      <w:pPr>
        <w:spacing w:before="156" w:beforeLines="50" w:after="156" w:afterLines="50"/>
        <w:ind w:firstLine="643" w:firstLineChars="200"/>
        <w:outlineLvl w:val="1"/>
        <w:rPr>
          <w:rFonts w:ascii="仿宋" w:hAnsi="仿宋" w:eastAsia="仿宋" w:cs="仿宋"/>
          <w:b/>
          <w:bCs/>
          <w:sz w:val="32"/>
          <w:szCs w:val="32"/>
        </w:rPr>
      </w:pPr>
      <w:bookmarkStart w:id="51" w:name="_Toc20657"/>
      <w:bookmarkStart w:id="52" w:name="_Toc1943839548"/>
      <w:bookmarkStart w:id="53" w:name="_Toc24232"/>
      <w:bookmarkStart w:id="54" w:name="_Toc1347"/>
      <w:bookmarkStart w:id="55" w:name="_Toc16709"/>
      <w:r>
        <w:rPr>
          <w:rFonts w:hint="eastAsia" w:ascii="仿宋" w:hAnsi="仿宋" w:eastAsia="仿宋" w:cs="仿宋"/>
          <w:b/>
          <w:bCs/>
          <w:sz w:val="32"/>
          <w:szCs w:val="32"/>
        </w:rPr>
        <w:t>三、评价对象</w:t>
      </w:r>
      <w:bookmarkEnd w:id="51"/>
      <w:bookmarkEnd w:id="52"/>
      <w:bookmarkEnd w:id="53"/>
      <w:bookmarkEnd w:id="54"/>
      <w:bookmarkEnd w:id="55"/>
    </w:p>
    <w:p>
      <w:pPr>
        <w:ind w:firstLine="560" w:firstLineChars="200"/>
        <w:rPr>
          <w:rFonts w:ascii="仿宋" w:hAnsi="仿宋" w:eastAsia="仿宋" w:cs="仿宋"/>
        </w:rPr>
      </w:pPr>
      <w:bookmarkStart w:id="56" w:name="_Toc1547353198"/>
      <w:r>
        <w:rPr>
          <w:rFonts w:hint="eastAsia" w:ascii="仿宋" w:hAnsi="仿宋" w:eastAsia="仿宋" w:cs="仿宋"/>
          <w:szCs w:val="28"/>
        </w:rPr>
        <w:t>本次绩效评价</w:t>
      </w:r>
      <w:r>
        <w:rPr>
          <w:rFonts w:hint="default" w:ascii="Times New Roman" w:hAnsi="Times New Roman" w:eastAsia="仿宋" w:cs="Times New Roman"/>
          <w:szCs w:val="28"/>
        </w:rPr>
        <w:t>对象为2021-20</w:t>
      </w:r>
      <w:r>
        <w:rPr>
          <w:rFonts w:hint="default" w:ascii="Times New Roman" w:hAnsi="Times New Roman" w:eastAsia="仿宋" w:cs="Times New Roman"/>
        </w:rPr>
        <w:t>22年建设体育</w:t>
      </w:r>
      <w:r>
        <w:rPr>
          <w:rFonts w:hint="eastAsia" w:ascii="仿宋" w:hAnsi="仿宋" w:eastAsia="仿宋" w:cs="仿宋"/>
        </w:rPr>
        <w:t>基础设施项目资金</w:t>
      </w:r>
      <w:bookmarkStart w:id="57" w:name="_Hlk119180020"/>
      <w:r>
        <w:rPr>
          <w:rFonts w:hint="eastAsia" w:ascii="仿宋" w:hAnsi="仿宋" w:eastAsia="仿宋" w:cs="仿宋"/>
        </w:rPr>
        <w:t>。</w:t>
      </w:r>
    </w:p>
    <w:bookmarkEnd w:id="57"/>
    <w:p>
      <w:pPr>
        <w:spacing w:before="156" w:beforeLines="50" w:after="156" w:afterLines="50"/>
        <w:ind w:firstLine="643" w:firstLineChars="200"/>
        <w:outlineLvl w:val="1"/>
        <w:rPr>
          <w:rFonts w:ascii="仿宋" w:hAnsi="仿宋" w:eastAsia="仿宋" w:cs="仿宋"/>
          <w:b/>
          <w:bCs/>
          <w:sz w:val="32"/>
          <w:szCs w:val="32"/>
        </w:rPr>
      </w:pPr>
      <w:bookmarkStart w:id="58" w:name="_Toc20581"/>
      <w:bookmarkStart w:id="59" w:name="_Toc22979"/>
      <w:bookmarkStart w:id="60" w:name="_Toc27259"/>
      <w:bookmarkStart w:id="61" w:name="_Toc22784"/>
      <w:r>
        <w:rPr>
          <w:rFonts w:hint="eastAsia" w:ascii="仿宋" w:hAnsi="仿宋" w:eastAsia="仿宋" w:cs="仿宋"/>
          <w:b/>
          <w:bCs/>
          <w:sz w:val="32"/>
          <w:szCs w:val="32"/>
        </w:rPr>
        <w:t>四、评价范围</w:t>
      </w:r>
      <w:bookmarkEnd w:id="56"/>
      <w:bookmarkEnd w:id="58"/>
      <w:bookmarkEnd w:id="59"/>
      <w:bookmarkEnd w:id="60"/>
      <w:bookmarkEnd w:id="61"/>
    </w:p>
    <w:p>
      <w:pPr>
        <w:ind w:firstLine="560" w:firstLineChars="200"/>
        <w:rPr>
          <w:rFonts w:ascii="仿宋" w:hAnsi="仿宋" w:eastAsia="仿宋" w:cs="仿宋"/>
          <w:szCs w:val="28"/>
        </w:rPr>
      </w:pPr>
      <w:r>
        <w:rPr>
          <w:rFonts w:hint="eastAsia" w:ascii="仿宋" w:hAnsi="仿宋" w:eastAsia="仿宋" w:cs="仿宋"/>
          <w:szCs w:val="28"/>
        </w:rPr>
        <w:t>评价的范围主要包括专项资金的决策情况、资金管理和使用情况、相关管理制度办法的健全性及执行情况、实现的产出情况和取得的效益情况等。</w:t>
      </w:r>
    </w:p>
    <w:p>
      <w:pPr>
        <w:spacing w:before="156" w:beforeLines="50" w:after="156" w:afterLines="50"/>
        <w:ind w:firstLine="643" w:firstLineChars="200"/>
        <w:outlineLvl w:val="1"/>
        <w:rPr>
          <w:rFonts w:ascii="仿宋" w:hAnsi="仿宋" w:eastAsia="仿宋" w:cs="仿宋"/>
          <w:b/>
          <w:bCs/>
          <w:sz w:val="32"/>
          <w:szCs w:val="32"/>
        </w:rPr>
      </w:pPr>
      <w:bookmarkStart w:id="62" w:name="_Toc19285"/>
      <w:bookmarkStart w:id="63" w:name="_Toc13545"/>
      <w:bookmarkStart w:id="64" w:name="_Toc120"/>
      <w:bookmarkStart w:id="65" w:name="_Toc406472542"/>
      <w:bookmarkStart w:id="66" w:name="_Toc16652"/>
      <w:bookmarkStart w:id="67" w:name="_Hlk115351385"/>
      <w:bookmarkStart w:id="68" w:name="_Hlk115351020"/>
      <w:r>
        <w:rPr>
          <w:rFonts w:hint="eastAsia" w:ascii="仿宋" w:hAnsi="仿宋" w:eastAsia="仿宋" w:cs="仿宋"/>
          <w:b/>
          <w:bCs/>
          <w:sz w:val="32"/>
          <w:szCs w:val="32"/>
        </w:rPr>
        <w:t>五、评价原则</w:t>
      </w:r>
      <w:bookmarkEnd w:id="62"/>
      <w:bookmarkEnd w:id="63"/>
      <w:bookmarkEnd w:id="64"/>
      <w:bookmarkEnd w:id="65"/>
      <w:bookmarkEnd w:id="66"/>
    </w:p>
    <w:p>
      <w:pPr>
        <w:ind w:firstLine="562" w:firstLineChars="200"/>
        <w:outlineLvl w:val="2"/>
        <w:rPr>
          <w:rFonts w:ascii="仿宋" w:hAnsi="仿宋" w:eastAsia="仿宋" w:cs="仿宋"/>
          <w:b/>
          <w:bCs/>
          <w:szCs w:val="28"/>
        </w:rPr>
      </w:pPr>
      <w:bookmarkStart w:id="69" w:name="_Toc22787"/>
      <w:bookmarkStart w:id="70" w:name="_Toc6049"/>
      <w:bookmarkStart w:id="71" w:name="_Toc20432"/>
      <w:bookmarkStart w:id="72" w:name="_Toc2559"/>
      <w:r>
        <w:rPr>
          <w:rFonts w:hint="eastAsia" w:ascii="仿宋" w:hAnsi="仿宋" w:eastAsia="仿宋" w:cs="仿宋"/>
          <w:b/>
          <w:bCs/>
          <w:szCs w:val="28"/>
        </w:rPr>
        <w:t>（一</w:t>
      </w:r>
      <w:r>
        <w:rPr>
          <w:rFonts w:hint="eastAsia" w:ascii="仿宋" w:hAnsi="仿宋" w:eastAsia="仿宋" w:cs="仿宋"/>
          <w:b/>
          <w:bCs/>
          <w:szCs w:val="28"/>
          <w:lang w:eastAsia="zh-CN"/>
        </w:rPr>
        <w:t>）</w:t>
      </w:r>
      <w:r>
        <w:rPr>
          <w:rFonts w:hint="eastAsia" w:ascii="仿宋" w:hAnsi="仿宋" w:eastAsia="仿宋" w:cs="仿宋"/>
          <w:b/>
          <w:bCs/>
          <w:szCs w:val="28"/>
        </w:rPr>
        <w:t>服务大局原则</w:t>
      </w:r>
      <w:bookmarkEnd w:id="69"/>
      <w:bookmarkEnd w:id="70"/>
      <w:bookmarkEnd w:id="71"/>
      <w:bookmarkEnd w:id="72"/>
    </w:p>
    <w:p>
      <w:pPr>
        <w:ind w:firstLine="560" w:firstLineChars="200"/>
        <w:rPr>
          <w:rFonts w:ascii="仿宋" w:hAnsi="仿宋" w:eastAsia="仿宋" w:cs="仿宋"/>
          <w:szCs w:val="28"/>
        </w:rPr>
      </w:pPr>
      <w:r>
        <w:rPr>
          <w:rFonts w:hint="eastAsia" w:ascii="仿宋" w:hAnsi="仿宋" w:eastAsia="仿宋" w:cs="仿宋"/>
          <w:szCs w:val="28"/>
        </w:rPr>
        <w:t>项目的绩效评价工作应坚持党中央、国务院、福建省关于深化预算管理体制的有关精神和通知文件。</w:t>
      </w:r>
    </w:p>
    <w:p>
      <w:pPr>
        <w:ind w:firstLine="562" w:firstLineChars="200"/>
        <w:outlineLvl w:val="2"/>
        <w:rPr>
          <w:rFonts w:ascii="仿宋" w:hAnsi="仿宋" w:eastAsia="仿宋" w:cs="仿宋"/>
          <w:b/>
          <w:bCs/>
          <w:szCs w:val="28"/>
        </w:rPr>
      </w:pPr>
      <w:bookmarkStart w:id="73" w:name="_Toc8130"/>
      <w:bookmarkStart w:id="74" w:name="_Toc21090"/>
      <w:bookmarkStart w:id="75" w:name="_Toc3010"/>
      <w:bookmarkStart w:id="76" w:name="_Toc32136"/>
      <w:r>
        <w:rPr>
          <w:rFonts w:hint="eastAsia" w:ascii="仿宋" w:hAnsi="仿宋" w:eastAsia="仿宋" w:cs="仿宋"/>
          <w:b/>
          <w:bCs/>
          <w:szCs w:val="28"/>
        </w:rPr>
        <w:t>（二</w:t>
      </w:r>
      <w:r>
        <w:rPr>
          <w:rFonts w:hint="eastAsia" w:ascii="仿宋" w:hAnsi="仿宋" w:eastAsia="仿宋" w:cs="仿宋"/>
          <w:b/>
          <w:bCs/>
          <w:szCs w:val="28"/>
          <w:lang w:eastAsia="zh-CN"/>
        </w:rPr>
        <w:t>）</w:t>
      </w:r>
      <w:r>
        <w:rPr>
          <w:rFonts w:hint="eastAsia" w:ascii="仿宋" w:hAnsi="仿宋" w:eastAsia="仿宋" w:cs="仿宋"/>
          <w:b/>
          <w:bCs/>
          <w:szCs w:val="28"/>
        </w:rPr>
        <w:t>科学规范原则</w:t>
      </w:r>
      <w:bookmarkEnd w:id="73"/>
      <w:bookmarkEnd w:id="74"/>
      <w:bookmarkEnd w:id="75"/>
      <w:bookmarkEnd w:id="76"/>
    </w:p>
    <w:p>
      <w:pPr>
        <w:ind w:firstLine="560" w:firstLineChars="200"/>
        <w:rPr>
          <w:rFonts w:ascii="仿宋" w:hAnsi="仿宋" w:eastAsia="仿宋" w:cs="仿宋"/>
          <w:szCs w:val="28"/>
        </w:rPr>
      </w:pPr>
      <w:r>
        <w:rPr>
          <w:rFonts w:hint="eastAsia" w:ascii="仿宋" w:hAnsi="仿宋" w:eastAsia="仿宋" w:cs="仿宋"/>
          <w:szCs w:val="28"/>
        </w:rPr>
        <w:t>绩效评价应当运用科学合理的方法，根据《财政部关于印发&lt;项目支出绩效评</w:t>
      </w:r>
      <w:r>
        <w:rPr>
          <w:rFonts w:hint="default" w:ascii="Times New Roman" w:hAnsi="Times New Roman" w:eastAsia="仿宋" w:cs="Times New Roman"/>
          <w:szCs w:val="28"/>
        </w:rPr>
        <w:t>价管理办法&gt;》（财预</w:t>
      </w:r>
      <w:r>
        <w:rPr>
          <w:rFonts w:hint="eastAsia" w:ascii="Times New Roman" w:hAnsi="Times New Roman" w:eastAsia="仿宋" w:cs="Times New Roman"/>
          <w:szCs w:val="28"/>
          <w:lang w:eastAsia="zh-CN"/>
        </w:rPr>
        <w:t>〔</w:t>
      </w:r>
      <w:r>
        <w:rPr>
          <w:rFonts w:hint="default" w:ascii="Times New Roman" w:hAnsi="Times New Roman" w:eastAsia="仿宋" w:cs="Times New Roman"/>
          <w:szCs w:val="28"/>
        </w:rPr>
        <w:t>2020</w:t>
      </w:r>
      <w:r>
        <w:rPr>
          <w:rFonts w:hint="eastAsia" w:ascii="Times New Roman" w:hAnsi="Times New Roman" w:eastAsia="仿宋" w:cs="Times New Roman"/>
          <w:szCs w:val="28"/>
          <w:lang w:eastAsia="zh-CN"/>
        </w:rPr>
        <w:t>〕</w:t>
      </w:r>
      <w:r>
        <w:rPr>
          <w:rFonts w:hint="default" w:ascii="Times New Roman" w:hAnsi="Times New Roman" w:eastAsia="仿宋" w:cs="Times New Roman"/>
          <w:szCs w:val="28"/>
        </w:rPr>
        <w:t>10号</w:t>
      </w:r>
      <w:r>
        <w:rPr>
          <w:rFonts w:hint="eastAsia" w:ascii="Times New Roman" w:hAnsi="Times New Roman" w:eastAsia="仿宋" w:cs="Times New Roman"/>
          <w:szCs w:val="28"/>
          <w:lang w:eastAsia="zh-CN"/>
        </w:rPr>
        <w:t>）</w:t>
      </w:r>
      <w:r>
        <w:rPr>
          <w:rFonts w:hint="default" w:ascii="Times New Roman" w:hAnsi="Times New Roman" w:eastAsia="仿宋" w:cs="Times New Roman"/>
          <w:szCs w:val="28"/>
        </w:rPr>
        <w:t>等文件的相关要求，按照科学可行的原则和规范的程序，采取定量分析与定性分析相</w:t>
      </w:r>
      <w:r>
        <w:rPr>
          <w:rFonts w:hint="eastAsia" w:ascii="仿宋" w:hAnsi="仿宋" w:eastAsia="仿宋" w:cs="仿宋"/>
          <w:szCs w:val="28"/>
        </w:rPr>
        <w:t>结合的评价方法，对项目绩效进行客观、公正的反映。</w:t>
      </w:r>
    </w:p>
    <w:p>
      <w:pPr>
        <w:ind w:firstLine="562" w:firstLineChars="200"/>
        <w:outlineLvl w:val="2"/>
        <w:rPr>
          <w:rFonts w:ascii="仿宋" w:hAnsi="仿宋" w:eastAsia="仿宋" w:cs="仿宋"/>
          <w:b/>
          <w:bCs/>
          <w:szCs w:val="28"/>
        </w:rPr>
      </w:pPr>
      <w:bookmarkStart w:id="77" w:name="_Toc26257"/>
      <w:bookmarkStart w:id="78" w:name="_Toc15594"/>
      <w:bookmarkStart w:id="79" w:name="_Toc19580"/>
      <w:bookmarkStart w:id="80" w:name="_Toc2213"/>
      <w:r>
        <w:rPr>
          <w:rFonts w:hint="eastAsia" w:ascii="仿宋" w:hAnsi="仿宋" w:eastAsia="仿宋" w:cs="仿宋"/>
          <w:b/>
          <w:bCs/>
          <w:szCs w:val="28"/>
        </w:rPr>
        <w:t>（三</w:t>
      </w:r>
      <w:r>
        <w:rPr>
          <w:rFonts w:hint="eastAsia" w:ascii="仿宋" w:hAnsi="仿宋" w:eastAsia="仿宋" w:cs="仿宋"/>
          <w:b/>
          <w:bCs/>
          <w:szCs w:val="28"/>
          <w:lang w:eastAsia="zh-CN"/>
        </w:rPr>
        <w:t>）</w:t>
      </w:r>
      <w:r>
        <w:rPr>
          <w:rFonts w:hint="eastAsia" w:ascii="仿宋" w:hAnsi="仿宋" w:eastAsia="仿宋" w:cs="仿宋"/>
          <w:b/>
          <w:bCs/>
          <w:szCs w:val="28"/>
        </w:rPr>
        <w:t>公正公开原则</w:t>
      </w:r>
      <w:bookmarkEnd w:id="77"/>
      <w:bookmarkEnd w:id="78"/>
      <w:bookmarkEnd w:id="79"/>
      <w:bookmarkEnd w:id="80"/>
    </w:p>
    <w:p>
      <w:pPr>
        <w:ind w:firstLine="560" w:firstLineChars="200"/>
        <w:rPr>
          <w:rFonts w:ascii="仿宋" w:hAnsi="仿宋" w:eastAsia="仿宋" w:cs="仿宋"/>
          <w:szCs w:val="28"/>
        </w:rPr>
      </w:pPr>
      <w:r>
        <w:rPr>
          <w:rFonts w:hint="eastAsia" w:ascii="仿宋" w:hAnsi="仿宋" w:eastAsia="仿宋" w:cs="仿宋"/>
          <w:szCs w:val="28"/>
        </w:rPr>
        <w:t>项目的绩效评价应符合真实、客观、公正的要求，优先使用最具评价对象代表性、最能反映评价要求的核心指标，评价依法公开并接受监督。</w:t>
      </w:r>
    </w:p>
    <w:p>
      <w:pPr>
        <w:ind w:firstLine="562" w:firstLineChars="200"/>
        <w:outlineLvl w:val="2"/>
        <w:rPr>
          <w:rFonts w:ascii="仿宋" w:hAnsi="仿宋" w:eastAsia="仿宋" w:cs="仿宋"/>
          <w:b/>
          <w:bCs/>
          <w:szCs w:val="28"/>
        </w:rPr>
      </w:pPr>
      <w:bookmarkStart w:id="81" w:name="_Toc5452"/>
      <w:bookmarkStart w:id="82" w:name="_Toc6569"/>
      <w:bookmarkStart w:id="83" w:name="_Toc7389"/>
      <w:bookmarkStart w:id="84" w:name="_Toc12583"/>
      <w:r>
        <w:rPr>
          <w:rFonts w:hint="eastAsia" w:ascii="仿宋" w:hAnsi="仿宋" w:eastAsia="仿宋" w:cs="仿宋"/>
          <w:b/>
          <w:bCs/>
          <w:szCs w:val="28"/>
        </w:rPr>
        <w:t>（四</w:t>
      </w:r>
      <w:r>
        <w:rPr>
          <w:rFonts w:hint="eastAsia" w:ascii="仿宋" w:hAnsi="仿宋" w:eastAsia="仿宋" w:cs="仿宋"/>
          <w:b/>
          <w:bCs/>
          <w:szCs w:val="28"/>
          <w:lang w:eastAsia="zh-CN"/>
        </w:rPr>
        <w:t>）</w:t>
      </w:r>
      <w:r>
        <w:rPr>
          <w:rFonts w:hint="eastAsia" w:ascii="仿宋" w:hAnsi="仿宋" w:eastAsia="仿宋" w:cs="仿宋"/>
          <w:b/>
          <w:bCs/>
          <w:szCs w:val="28"/>
        </w:rPr>
        <w:t>问题导向原则</w:t>
      </w:r>
      <w:bookmarkEnd w:id="81"/>
      <w:bookmarkEnd w:id="82"/>
      <w:bookmarkEnd w:id="83"/>
      <w:bookmarkEnd w:id="84"/>
    </w:p>
    <w:p>
      <w:pPr>
        <w:ind w:firstLine="560" w:firstLineChars="200"/>
        <w:rPr>
          <w:rFonts w:ascii="仿宋" w:hAnsi="仿宋" w:eastAsia="仿宋" w:cs="仿宋"/>
          <w:szCs w:val="28"/>
        </w:rPr>
      </w:pPr>
      <w:r>
        <w:rPr>
          <w:rFonts w:hint="eastAsia" w:ascii="仿宋" w:hAnsi="仿宋" w:eastAsia="仿宋" w:cs="仿宋"/>
          <w:szCs w:val="28"/>
        </w:rPr>
        <w:t>项目的绩效评价工作应坚持问题导向，深入挖掘并系统反映项目在预算管理、业务管理、采购管理、绩效管理和财务管理等方面存在的问题，并提出优化管理的建议。</w:t>
      </w:r>
    </w:p>
    <w:p>
      <w:pPr>
        <w:ind w:firstLine="562" w:firstLineChars="200"/>
        <w:outlineLvl w:val="2"/>
        <w:rPr>
          <w:rFonts w:ascii="仿宋" w:hAnsi="仿宋" w:eastAsia="仿宋" w:cs="仿宋"/>
          <w:b/>
          <w:bCs/>
          <w:szCs w:val="28"/>
        </w:rPr>
      </w:pPr>
      <w:bookmarkStart w:id="85" w:name="_Toc10513"/>
      <w:bookmarkStart w:id="86" w:name="_Toc8416"/>
      <w:bookmarkStart w:id="87" w:name="_Toc6214"/>
      <w:bookmarkStart w:id="88" w:name="_Toc5433"/>
      <w:r>
        <w:rPr>
          <w:rFonts w:hint="eastAsia" w:ascii="仿宋" w:hAnsi="仿宋" w:eastAsia="仿宋" w:cs="仿宋"/>
          <w:b/>
          <w:bCs/>
          <w:szCs w:val="28"/>
        </w:rPr>
        <w:t>（五</w:t>
      </w:r>
      <w:r>
        <w:rPr>
          <w:rFonts w:hint="eastAsia" w:ascii="仿宋" w:hAnsi="仿宋" w:eastAsia="仿宋" w:cs="仿宋"/>
          <w:b/>
          <w:bCs/>
          <w:szCs w:val="28"/>
          <w:lang w:eastAsia="zh-CN"/>
        </w:rPr>
        <w:t>）</w:t>
      </w:r>
      <w:r>
        <w:rPr>
          <w:rFonts w:hint="eastAsia" w:ascii="仿宋" w:hAnsi="仿宋" w:eastAsia="仿宋" w:cs="仿宋"/>
          <w:b/>
          <w:bCs/>
          <w:szCs w:val="28"/>
        </w:rPr>
        <w:t>绩效相关原则</w:t>
      </w:r>
      <w:bookmarkEnd w:id="85"/>
      <w:bookmarkEnd w:id="86"/>
      <w:bookmarkEnd w:id="87"/>
      <w:bookmarkEnd w:id="88"/>
    </w:p>
    <w:p>
      <w:pPr>
        <w:ind w:firstLine="560" w:firstLineChars="200"/>
        <w:rPr>
          <w:rFonts w:ascii="仿宋" w:hAnsi="仿宋" w:eastAsia="仿宋" w:cs="仿宋"/>
          <w:szCs w:val="28"/>
        </w:rPr>
      </w:pPr>
      <w:r>
        <w:rPr>
          <w:rFonts w:hint="eastAsia" w:ascii="仿宋" w:hAnsi="仿宋" w:eastAsia="仿宋" w:cs="仿宋"/>
          <w:szCs w:val="28"/>
        </w:rPr>
        <w:t>绩效评价主要从项目的决策、过程、产出和效益四个维度展开，评价结果应清晰反映项目的实施效果。</w:t>
      </w:r>
    </w:p>
    <w:p>
      <w:pPr>
        <w:spacing w:before="156" w:beforeLines="50" w:after="156" w:afterLines="50"/>
        <w:ind w:firstLine="643" w:firstLineChars="200"/>
        <w:outlineLvl w:val="1"/>
        <w:rPr>
          <w:rFonts w:ascii="仿宋" w:hAnsi="仿宋" w:eastAsia="仿宋" w:cs="仿宋"/>
          <w:b/>
          <w:bCs/>
          <w:sz w:val="32"/>
          <w:szCs w:val="32"/>
        </w:rPr>
      </w:pPr>
      <w:bookmarkStart w:id="89" w:name="_Toc23598"/>
      <w:bookmarkStart w:id="90" w:name="_Toc1485"/>
      <w:bookmarkStart w:id="91" w:name="_Toc15306"/>
      <w:bookmarkStart w:id="92" w:name="_Toc13016"/>
      <w:bookmarkStart w:id="93" w:name="_Toc2006338783"/>
      <w:r>
        <w:rPr>
          <w:rFonts w:hint="eastAsia" w:ascii="仿宋" w:hAnsi="仿宋" w:eastAsia="仿宋" w:cs="仿宋"/>
          <w:b/>
          <w:bCs/>
          <w:sz w:val="32"/>
          <w:szCs w:val="32"/>
        </w:rPr>
        <w:t>六、评价指标体系</w:t>
      </w:r>
      <w:bookmarkEnd w:id="89"/>
      <w:bookmarkEnd w:id="90"/>
      <w:bookmarkEnd w:id="91"/>
      <w:bookmarkEnd w:id="92"/>
      <w:bookmarkEnd w:id="93"/>
    </w:p>
    <w:p>
      <w:pPr>
        <w:ind w:firstLine="560" w:firstLineChars="200"/>
        <w:rPr>
          <w:rFonts w:ascii="仿宋" w:hAnsi="仿宋" w:eastAsia="仿宋" w:cs="仿宋"/>
          <w:szCs w:val="28"/>
        </w:rPr>
      </w:pPr>
      <w:r>
        <w:rPr>
          <w:rFonts w:hint="eastAsia" w:ascii="仿宋" w:hAnsi="仿宋" w:eastAsia="仿宋" w:cs="仿宋"/>
          <w:szCs w:val="28"/>
        </w:rPr>
        <w:t>本专项资金评价工作组根据资金用途，构建具有专项特征的评价指标体系，全面</w:t>
      </w:r>
      <w:r>
        <w:rPr>
          <w:rFonts w:hint="default" w:ascii="Times New Roman" w:hAnsi="Times New Roman" w:eastAsia="仿宋" w:cs="Times New Roman"/>
          <w:szCs w:val="28"/>
        </w:rPr>
        <w:t>评价2021-20</w:t>
      </w:r>
      <w:r>
        <w:rPr>
          <w:rFonts w:hint="default" w:ascii="Times New Roman" w:hAnsi="Times New Roman" w:eastAsia="仿宋" w:cs="Times New Roman"/>
        </w:rPr>
        <w:t>22年</w:t>
      </w:r>
      <w:r>
        <w:rPr>
          <w:rFonts w:hint="eastAsia" w:ascii="仿宋" w:hAnsi="仿宋" w:eastAsia="仿宋" w:cs="仿宋"/>
        </w:rPr>
        <w:t>建设体育基础设施项目资金</w:t>
      </w:r>
      <w:r>
        <w:rPr>
          <w:rFonts w:hint="eastAsia" w:ascii="仿宋" w:hAnsi="仿宋" w:eastAsia="仿宋" w:cs="仿宋"/>
          <w:szCs w:val="28"/>
        </w:rPr>
        <w:t>支出的绩效。绩效专项评价工作组根据上述指标体系构建原则，参考财政重点绩效评价框架，构建以下绩效评价指</w:t>
      </w:r>
      <w:r>
        <w:rPr>
          <w:rFonts w:hint="default" w:ascii="Times New Roman" w:hAnsi="Times New Roman" w:eastAsia="仿宋" w:cs="Times New Roman"/>
          <w:szCs w:val="28"/>
        </w:rPr>
        <w:t>标体系框架。详见表5。</w:t>
      </w:r>
    </w:p>
    <w:p>
      <w:pPr>
        <w:ind w:firstLine="560" w:firstLineChars="200"/>
        <w:rPr>
          <w:rFonts w:ascii="仿宋" w:hAnsi="仿宋" w:eastAsia="仿宋" w:cs="仿宋"/>
          <w:szCs w:val="28"/>
        </w:rPr>
      </w:pPr>
    </w:p>
    <w:p>
      <w:pPr>
        <w:spacing w:line="240" w:lineRule="auto"/>
        <w:ind w:firstLine="482" w:firstLineChars="200"/>
        <w:jc w:val="center"/>
        <w:rPr>
          <w:rFonts w:hint="default" w:ascii="Times New Roman" w:hAnsi="Times New Roman" w:eastAsia="仿宋" w:cs="Times New Roman"/>
          <w:b/>
          <w:bCs/>
          <w:sz w:val="24"/>
        </w:rPr>
      </w:pPr>
      <w:r>
        <w:rPr>
          <w:rFonts w:hint="default" w:ascii="Times New Roman" w:hAnsi="Times New Roman" w:eastAsia="仿宋" w:cs="Times New Roman"/>
          <w:b/>
          <w:bCs/>
          <w:sz w:val="24"/>
        </w:rPr>
        <w:t>表5  建设体育基础设施资金绩效评价指标体系</w:t>
      </w:r>
    </w:p>
    <w:tbl>
      <w:tblPr>
        <w:tblStyle w:val="11"/>
        <w:tblW w:w="5000" w:type="pct"/>
        <w:tblInd w:w="0"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240"/>
        <w:gridCol w:w="2233"/>
        <w:gridCol w:w="4049"/>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blHeader/>
        </w:trPr>
        <w:tc>
          <w:tcPr>
            <w:tcW w:w="1314" w:type="pct"/>
            <w:tcBorders>
              <w:top w:val="single" w:color="auto" w:sz="12" w:space="0"/>
              <w:bottom w:val="single" w:color="auto" w:sz="4" w:space="0"/>
            </w:tcBorders>
            <w:shd w:val="clear" w:color="auto" w:fill="auto"/>
            <w:vAlign w:val="center"/>
          </w:tcPr>
          <w:p>
            <w:pPr>
              <w:widowControl/>
              <w:spacing w:line="240" w:lineRule="auto"/>
              <w:jc w:val="center"/>
              <w:rPr>
                <w:rFonts w:hint="default" w:ascii="Times New Roman" w:hAnsi="Times New Roman" w:eastAsia="仿宋" w:cs="Times New Roman"/>
                <w:b/>
                <w:bCs/>
                <w:color w:val="000000"/>
                <w:kern w:val="0"/>
                <w:sz w:val="22"/>
                <w:szCs w:val="22"/>
              </w:rPr>
            </w:pPr>
            <w:r>
              <w:rPr>
                <w:rFonts w:hint="default" w:ascii="Times New Roman" w:hAnsi="Times New Roman" w:eastAsia="仿宋" w:cs="Times New Roman"/>
                <w:b/>
                <w:bCs/>
                <w:color w:val="000000"/>
                <w:kern w:val="0"/>
                <w:sz w:val="22"/>
                <w:szCs w:val="22"/>
              </w:rPr>
              <w:t>一级指标</w:t>
            </w:r>
          </w:p>
        </w:tc>
        <w:tc>
          <w:tcPr>
            <w:tcW w:w="1310" w:type="pct"/>
            <w:tcBorders>
              <w:top w:val="single" w:color="auto" w:sz="12" w:space="0"/>
              <w:bottom w:val="single" w:color="auto" w:sz="4" w:space="0"/>
            </w:tcBorders>
            <w:shd w:val="clear" w:color="auto" w:fill="auto"/>
            <w:vAlign w:val="center"/>
          </w:tcPr>
          <w:p>
            <w:pPr>
              <w:widowControl/>
              <w:spacing w:line="240" w:lineRule="auto"/>
              <w:jc w:val="center"/>
              <w:rPr>
                <w:rFonts w:hint="default" w:ascii="Times New Roman" w:hAnsi="Times New Roman" w:eastAsia="仿宋" w:cs="Times New Roman"/>
                <w:b/>
                <w:bCs/>
                <w:color w:val="000000"/>
                <w:kern w:val="0"/>
                <w:sz w:val="22"/>
                <w:szCs w:val="22"/>
              </w:rPr>
            </w:pPr>
            <w:r>
              <w:rPr>
                <w:rFonts w:hint="default" w:ascii="Times New Roman" w:hAnsi="Times New Roman" w:eastAsia="仿宋" w:cs="Times New Roman"/>
                <w:b/>
                <w:bCs/>
                <w:color w:val="000000"/>
                <w:kern w:val="0"/>
                <w:sz w:val="22"/>
                <w:szCs w:val="22"/>
              </w:rPr>
              <w:t>二级指标</w:t>
            </w:r>
          </w:p>
        </w:tc>
        <w:tc>
          <w:tcPr>
            <w:tcW w:w="2375" w:type="pct"/>
            <w:tcBorders>
              <w:top w:val="single" w:color="auto" w:sz="12" w:space="0"/>
              <w:bottom w:val="single" w:color="auto" w:sz="4" w:space="0"/>
            </w:tcBorders>
            <w:shd w:val="clear" w:color="auto" w:fill="auto"/>
            <w:vAlign w:val="center"/>
          </w:tcPr>
          <w:p>
            <w:pPr>
              <w:widowControl/>
              <w:spacing w:line="240" w:lineRule="auto"/>
              <w:jc w:val="center"/>
              <w:rPr>
                <w:rFonts w:hint="default" w:ascii="Times New Roman" w:hAnsi="Times New Roman" w:eastAsia="仿宋" w:cs="Times New Roman"/>
                <w:b/>
                <w:bCs/>
                <w:color w:val="000000"/>
                <w:kern w:val="0"/>
                <w:sz w:val="22"/>
                <w:szCs w:val="22"/>
              </w:rPr>
            </w:pPr>
            <w:r>
              <w:rPr>
                <w:rFonts w:hint="default" w:ascii="Times New Roman" w:hAnsi="Times New Roman" w:eastAsia="仿宋" w:cs="Times New Roman"/>
                <w:b/>
                <w:bCs/>
                <w:color w:val="000000"/>
                <w:kern w:val="0"/>
                <w:sz w:val="22"/>
                <w:szCs w:val="22"/>
              </w:rPr>
              <w:t>三级指标</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1314" w:type="pct"/>
            <w:vMerge w:val="restart"/>
            <w:tcBorders>
              <w:top w:val="single" w:color="auto" w:sz="4" w:space="0"/>
            </w:tcBorders>
            <w:shd w:val="clear" w:color="auto" w:fill="auto"/>
            <w:noWrap/>
            <w:vAlign w:val="center"/>
          </w:tcPr>
          <w:p>
            <w:pPr>
              <w:widowControl/>
              <w:spacing w:line="240" w:lineRule="auto"/>
              <w:jc w:val="center"/>
              <w:rPr>
                <w:rFonts w:hint="eastAsia" w:ascii="Times New Roman" w:hAnsi="Times New Roman" w:eastAsia="仿宋" w:cs="Times New Roman"/>
                <w:b/>
                <w:bCs/>
                <w:color w:val="000000"/>
                <w:kern w:val="0"/>
                <w:sz w:val="22"/>
                <w:szCs w:val="22"/>
                <w:lang w:eastAsia="zh-CN"/>
              </w:rPr>
            </w:pPr>
            <w:r>
              <w:rPr>
                <w:rFonts w:hint="default" w:ascii="Times New Roman" w:hAnsi="Times New Roman" w:eastAsia="仿宋" w:cs="Times New Roman"/>
                <w:b/>
                <w:bCs/>
                <w:color w:val="000000"/>
                <w:kern w:val="0"/>
                <w:sz w:val="22"/>
                <w:szCs w:val="22"/>
              </w:rPr>
              <w:t>决策指标（20分</w:t>
            </w:r>
            <w:r>
              <w:rPr>
                <w:rFonts w:hint="eastAsia" w:ascii="Times New Roman" w:hAnsi="Times New Roman" w:eastAsia="仿宋" w:cs="Times New Roman"/>
                <w:b/>
                <w:bCs/>
                <w:color w:val="000000"/>
                <w:kern w:val="0"/>
                <w:sz w:val="22"/>
                <w:szCs w:val="22"/>
                <w:lang w:eastAsia="zh-CN"/>
              </w:rPr>
              <w:t>）</w:t>
            </w:r>
          </w:p>
        </w:tc>
        <w:tc>
          <w:tcPr>
            <w:tcW w:w="1310" w:type="pct"/>
            <w:vMerge w:val="restart"/>
            <w:tcBorders>
              <w:top w:val="single" w:color="auto" w:sz="4" w:space="0"/>
            </w:tcBorders>
            <w:shd w:val="clear" w:color="auto" w:fill="auto"/>
            <w:noWrap/>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项目立项（8分</w:t>
            </w:r>
            <w:r>
              <w:rPr>
                <w:rFonts w:hint="eastAsia" w:ascii="Times New Roman" w:hAnsi="Times New Roman" w:eastAsia="仿宋" w:cs="Times New Roman"/>
                <w:color w:val="000000"/>
                <w:kern w:val="0"/>
                <w:sz w:val="22"/>
                <w:szCs w:val="22"/>
                <w:lang w:eastAsia="zh-CN"/>
              </w:rPr>
              <w:t>）</w:t>
            </w:r>
          </w:p>
        </w:tc>
        <w:tc>
          <w:tcPr>
            <w:tcW w:w="2375" w:type="pct"/>
            <w:tcBorders>
              <w:top w:val="single" w:color="auto" w:sz="4" w:space="0"/>
            </w:tcBorders>
            <w:shd w:val="clear" w:color="auto" w:fill="auto"/>
            <w:noWrap/>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立项依据充分性（4分</w:t>
            </w:r>
            <w:r>
              <w:rPr>
                <w:rFonts w:hint="eastAsia" w:ascii="Times New Roman" w:hAnsi="Times New Roman" w:eastAsia="仿宋" w:cs="Times New Roman"/>
                <w:color w:val="000000"/>
                <w:kern w:val="0"/>
                <w:sz w:val="22"/>
                <w:szCs w:val="22"/>
                <w:lang w:eastAsia="zh-CN"/>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1314" w:type="pct"/>
            <w:vMerge w:val="continue"/>
            <w:vAlign w:val="center"/>
          </w:tcPr>
          <w:p>
            <w:pPr>
              <w:widowControl/>
              <w:spacing w:line="240" w:lineRule="auto"/>
              <w:jc w:val="left"/>
              <w:rPr>
                <w:rFonts w:hint="default" w:ascii="Times New Roman" w:hAnsi="Times New Roman" w:eastAsia="仿宋" w:cs="Times New Roman"/>
                <w:b/>
                <w:bCs/>
                <w:color w:val="000000"/>
                <w:kern w:val="0"/>
                <w:sz w:val="22"/>
                <w:szCs w:val="22"/>
              </w:rPr>
            </w:pPr>
          </w:p>
        </w:tc>
        <w:tc>
          <w:tcPr>
            <w:tcW w:w="1310" w:type="pct"/>
            <w:vMerge w:val="continue"/>
            <w:vAlign w:val="center"/>
          </w:tcPr>
          <w:p>
            <w:pPr>
              <w:widowControl/>
              <w:spacing w:line="240" w:lineRule="auto"/>
              <w:jc w:val="left"/>
              <w:rPr>
                <w:rFonts w:hint="default" w:ascii="Times New Roman" w:hAnsi="Times New Roman" w:eastAsia="仿宋" w:cs="Times New Roman"/>
                <w:color w:val="000000"/>
                <w:kern w:val="0"/>
                <w:sz w:val="22"/>
                <w:szCs w:val="22"/>
              </w:rPr>
            </w:pPr>
          </w:p>
        </w:tc>
        <w:tc>
          <w:tcPr>
            <w:tcW w:w="2375" w:type="pct"/>
            <w:shd w:val="clear" w:color="auto" w:fill="auto"/>
            <w:noWrap/>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立项程序规范性（4分</w:t>
            </w:r>
            <w:r>
              <w:rPr>
                <w:rFonts w:hint="eastAsia" w:ascii="Times New Roman" w:hAnsi="Times New Roman" w:eastAsia="仿宋" w:cs="Times New Roman"/>
                <w:color w:val="000000"/>
                <w:kern w:val="0"/>
                <w:sz w:val="22"/>
                <w:szCs w:val="22"/>
                <w:lang w:eastAsia="zh-CN"/>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1314" w:type="pct"/>
            <w:vMerge w:val="continue"/>
            <w:vAlign w:val="center"/>
          </w:tcPr>
          <w:p>
            <w:pPr>
              <w:widowControl/>
              <w:spacing w:line="240" w:lineRule="auto"/>
              <w:jc w:val="left"/>
              <w:rPr>
                <w:rFonts w:hint="default" w:ascii="Times New Roman" w:hAnsi="Times New Roman" w:eastAsia="仿宋" w:cs="Times New Roman"/>
                <w:b/>
                <w:bCs/>
                <w:color w:val="000000"/>
                <w:kern w:val="0"/>
                <w:sz w:val="22"/>
                <w:szCs w:val="22"/>
              </w:rPr>
            </w:pPr>
          </w:p>
        </w:tc>
        <w:tc>
          <w:tcPr>
            <w:tcW w:w="1310" w:type="pct"/>
            <w:vMerge w:val="restart"/>
            <w:shd w:val="clear" w:color="auto" w:fill="auto"/>
            <w:noWrap/>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绩效目标（8分</w:t>
            </w:r>
            <w:r>
              <w:rPr>
                <w:rFonts w:hint="eastAsia" w:ascii="Times New Roman" w:hAnsi="Times New Roman" w:eastAsia="仿宋" w:cs="Times New Roman"/>
                <w:color w:val="000000"/>
                <w:kern w:val="0"/>
                <w:sz w:val="22"/>
                <w:szCs w:val="22"/>
                <w:lang w:eastAsia="zh-CN"/>
              </w:rPr>
              <w:t>）</w:t>
            </w:r>
          </w:p>
        </w:tc>
        <w:tc>
          <w:tcPr>
            <w:tcW w:w="2375" w:type="pct"/>
            <w:shd w:val="clear" w:color="auto" w:fill="auto"/>
            <w:noWrap/>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绩效目标合理性（4分</w:t>
            </w:r>
            <w:r>
              <w:rPr>
                <w:rFonts w:hint="eastAsia" w:ascii="Times New Roman" w:hAnsi="Times New Roman" w:eastAsia="仿宋" w:cs="Times New Roman"/>
                <w:color w:val="000000"/>
                <w:kern w:val="0"/>
                <w:sz w:val="22"/>
                <w:szCs w:val="22"/>
                <w:lang w:eastAsia="zh-CN"/>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1314" w:type="pct"/>
            <w:vMerge w:val="continue"/>
            <w:vAlign w:val="center"/>
          </w:tcPr>
          <w:p>
            <w:pPr>
              <w:widowControl/>
              <w:spacing w:line="240" w:lineRule="auto"/>
              <w:jc w:val="left"/>
              <w:rPr>
                <w:rFonts w:hint="default" w:ascii="Times New Roman" w:hAnsi="Times New Roman" w:eastAsia="仿宋" w:cs="Times New Roman"/>
                <w:b/>
                <w:bCs/>
                <w:color w:val="000000"/>
                <w:kern w:val="0"/>
                <w:sz w:val="22"/>
                <w:szCs w:val="22"/>
              </w:rPr>
            </w:pPr>
          </w:p>
        </w:tc>
        <w:tc>
          <w:tcPr>
            <w:tcW w:w="1310" w:type="pct"/>
            <w:vMerge w:val="continue"/>
            <w:vAlign w:val="center"/>
          </w:tcPr>
          <w:p>
            <w:pPr>
              <w:widowControl/>
              <w:spacing w:line="240" w:lineRule="auto"/>
              <w:jc w:val="left"/>
              <w:rPr>
                <w:rFonts w:hint="default" w:ascii="Times New Roman" w:hAnsi="Times New Roman" w:eastAsia="仿宋" w:cs="Times New Roman"/>
                <w:color w:val="000000"/>
                <w:kern w:val="0"/>
                <w:sz w:val="22"/>
                <w:szCs w:val="22"/>
              </w:rPr>
            </w:pPr>
          </w:p>
        </w:tc>
        <w:tc>
          <w:tcPr>
            <w:tcW w:w="2375" w:type="pct"/>
            <w:shd w:val="clear" w:color="auto" w:fill="auto"/>
            <w:noWrap/>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绩效指标明确性（4分</w:t>
            </w:r>
            <w:r>
              <w:rPr>
                <w:rFonts w:hint="eastAsia" w:ascii="Times New Roman" w:hAnsi="Times New Roman" w:eastAsia="仿宋" w:cs="Times New Roman"/>
                <w:color w:val="000000"/>
                <w:kern w:val="0"/>
                <w:sz w:val="22"/>
                <w:szCs w:val="22"/>
                <w:lang w:eastAsia="zh-CN"/>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1314" w:type="pct"/>
            <w:vMerge w:val="continue"/>
            <w:vAlign w:val="center"/>
          </w:tcPr>
          <w:p>
            <w:pPr>
              <w:widowControl/>
              <w:spacing w:line="240" w:lineRule="auto"/>
              <w:jc w:val="left"/>
              <w:rPr>
                <w:rFonts w:hint="default" w:ascii="Times New Roman" w:hAnsi="Times New Roman" w:eastAsia="仿宋" w:cs="Times New Roman"/>
                <w:b/>
                <w:bCs/>
                <w:color w:val="000000"/>
                <w:kern w:val="0"/>
                <w:sz w:val="22"/>
                <w:szCs w:val="22"/>
              </w:rPr>
            </w:pPr>
          </w:p>
        </w:tc>
        <w:tc>
          <w:tcPr>
            <w:tcW w:w="1310" w:type="pct"/>
            <w:shd w:val="clear" w:color="auto" w:fill="auto"/>
            <w:noWrap/>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资金投入（4分</w:t>
            </w:r>
            <w:r>
              <w:rPr>
                <w:rFonts w:hint="eastAsia" w:ascii="Times New Roman" w:hAnsi="Times New Roman" w:eastAsia="仿宋" w:cs="Times New Roman"/>
                <w:color w:val="000000"/>
                <w:kern w:val="0"/>
                <w:sz w:val="22"/>
                <w:szCs w:val="22"/>
                <w:lang w:eastAsia="zh-CN"/>
              </w:rPr>
              <w:t>）</w:t>
            </w:r>
          </w:p>
        </w:tc>
        <w:tc>
          <w:tcPr>
            <w:tcW w:w="2375" w:type="pct"/>
            <w:shd w:val="clear" w:color="auto" w:fill="auto"/>
            <w:noWrap/>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预算编制科学性（4分</w:t>
            </w:r>
            <w:r>
              <w:rPr>
                <w:rFonts w:hint="eastAsia" w:ascii="Times New Roman" w:hAnsi="Times New Roman" w:eastAsia="仿宋" w:cs="Times New Roman"/>
                <w:color w:val="000000"/>
                <w:kern w:val="0"/>
                <w:sz w:val="22"/>
                <w:szCs w:val="22"/>
                <w:lang w:eastAsia="zh-CN"/>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1314" w:type="pct"/>
            <w:vMerge w:val="restart"/>
            <w:shd w:val="clear" w:color="auto" w:fill="auto"/>
            <w:noWrap/>
            <w:vAlign w:val="center"/>
          </w:tcPr>
          <w:p>
            <w:pPr>
              <w:widowControl/>
              <w:spacing w:line="240" w:lineRule="auto"/>
              <w:jc w:val="center"/>
              <w:rPr>
                <w:rFonts w:hint="eastAsia" w:ascii="Times New Roman" w:hAnsi="Times New Roman" w:eastAsia="仿宋" w:cs="Times New Roman"/>
                <w:b/>
                <w:bCs/>
                <w:color w:val="000000"/>
                <w:kern w:val="0"/>
                <w:sz w:val="22"/>
                <w:szCs w:val="22"/>
                <w:lang w:eastAsia="zh-CN"/>
              </w:rPr>
            </w:pPr>
            <w:r>
              <w:rPr>
                <w:rFonts w:hint="default" w:ascii="Times New Roman" w:hAnsi="Times New Roman" w:eastAsia="仿宋" w:cs="Times New Roman"/>
                <w:b/>
                <w:bCs/>
                <w:color w:val="000000"/>
                <w:kern w:val="0"/>
                <w:sz w:val="22"/>
                <w:szCs w:val="22"/>
              </w:rPr>
              <w:t>过程指标（20分</w:t>
            </w:r>
            <w:r>
              <w:rPr>
                <w:rFonts w:hint="eastAsia" w:ascii="Times New Roman" w:hAnsi="Times New Roman" w:eastAsia="仿宋" w:cs="Times New Roman"/>
                <w:b/>
                <w:bCs/>
                <w:color w:val="000000"/>
                <w:kern w:val="0"/>
                <w:sz w:val="22"/>
                <w:szCs w:val="22"/>
                <w:lang w:eastAsia="zh-CN"/>
              </w:rPr>
              <w:t>）</w:t>
            </w:r>
          </w:p>
        </w:tc>
        <w:tc>
          <w:tcPr>
            <w:tcW w:w="1310" w:type="pct"/>
            <w:vMerge w:val="restart"/>
            <w:shd w:val="clear" w:color="auto" w:fill="auto"/>
            <w:noWrap/>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资金管理（10分</w:t>
            </w:r>
            <w:r>
              <w:rPr>
                <w:rFonts w:hint="eastAsia" w:ascii="Times New Roman" w:hAnsi="Times New Roman" w:eastAsia="仿宋" w:cs="Times New Roman"/>
                <w:color w:val="000000"/>
                <w:kern w:val="0"/>
                <w:sz w:val="22"/>
                <w:szCs w:val="22"/>
                <w:lang w:eastAsia="zh-CN"/>
              </w:rPr>
              <w:t>）</w:t>
            </w:r>
          </w:p>
        </w:tc>
        <w:tc>
          <w:tcPr>
            <w:tcW w:w="2375" w:type="pct"/>
            <w:shd w:val="clear" w:color="auto" w:fill="auto"/>
            <w:noWrap/>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预算执行率（5分</w:t>
            </w:r>
            <w:r>
              <w:rPr>
                <w:rFonts w:hint="eastAsia" w:ascii="Times New Roman" w:hAnsi="Times New Roman" w:eastAsia="仿宋" w:cs="Times New Roman"/>
                <w:color w:val="000000"/>
                <w:kern w:val="0"/>
                <w:sz w:val="22"/>
                <w:szCs w:val="22"/>
                <w:lang w:eastAsia="zh-CN"/>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1314" w:type="pct"/>
            <w:vMerge w:val="continue"/>
            <w:vAlign w:val="center"/>
          </w:tcPr>
          <w:p>
            <w:pPr>
              <w:widowControl/>
              <w:spacing w:line="240" w:lineRule="auto"/>
              <w:jc w:val="left"/>
              <w:rPr>
                <w:rFonts w:hint="default" w:ascii="Times New Roman" w:hAnsi="Times New Roman" w:eastAsia="仿宋" w:cs="Times New Roman"/>
                <w:b/>
                <w:bCs/>
                <w:color w:val="000000"/>
                <w:kern w:val="0"/>
                <w:sz w:val="22"/>
                <w:szCs w:val="22"/>
              </w:rPr>
            </w:pPr>
          </w:p>
        </w:tc>
        <w:tc>
          <w:tcPr>
            <w:tcW w:w="1310" w:type="pct"/>
            <w:vMerge w:val="continue"/>
            <w:vAlign w:val="center"/>
          </w:tcPr>
          <w:p>
            <w:pPr>
              <w:widowControl/>
              <w:spacing w:line="240" w:lineRule="auto"/>
              <w:jc w:val="left"/>
              <w:rPr>
                <w:rFonts w:hint="default" w:ascii="Times New Roman" w:hAnsi="Times New Roman" w:eastAsia="仿宋" w:cs="Times New Roman"/>
                <w:color w:val="000000"/>
                <w:kern w:val="0"/>
                <w:sz w:val="22"/>
                <w:szCs w:val="22"/>
              </w:rPr>
            </w:pPr>
          </w:p>
        </w:tc>
        <w:tc>
          <w:tcPr>
            <w:tcW w:w="2375" w:type="pct"/>
            <w:shd w:val="clear" w:color="auto" w:fill="auto"/>
            <w:noWrap/>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资金使用合规性（5分</w:t>
            </w:r>
            <w:r>
              <w:rPr>
                <w:rFonts w:hint="eastAsia" w:ascii="Times New Roman" w:hAnsi="Times New Roman" w:eastAsia="仿宋" w:cs="Times New Roman"/>
                <w:color w:val="000000"/>
                <w:kern w:val="0"/>
                <w:sz w:val="22"/>
                <w:szCs w:val="22"/>
                <w:lang w:eastAsia="zh-CN"/>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1314" w:type="pct"/>
            <w:vMerge w:val="continue"/>
            <w:vAlign w:val="center"/>
          </w:tcPr>
          <w:p>
            <w:pPr>
              <w:widowControl/>
              <w:spacing w:line="240" w:lineRule="auto"/>
              <w:jc w:val="left"/>
              <w:rPr>
                <w:rFonts w:hint="default" w:ascii="Times New Roman" w:hAnsi="Times New Roman" w:eastAsia="仿宋" w:cs="Times New Roman"/>
                <w:b/>
                <w:bCs/>
                <w:color w:val="000000"/>
                <w:kern w:val="0"/>
                <w:sz w:val="22"/>
                <w:szCs w:val="22"/>
              </w:rPr>
            </w:pPr>
          </w:p>
        </w:tc>
        <w:tc>
          <w:tcPr>
            <w:tcW w:w="1310" w:type="pct"/>
            <w:vMerge w:val="restart"/>
            <w:shd w:val="clear" w:color="auto" w:fill="auto"/>
            <w:noWrap/>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组织实施（10分</w:t>
            </w:r>
            <w:r>
              <w:rPr>
                <w:rFonts w:hint="eastAsia" w:ascii="Times New Roman" w:hAnsi="Times New Roman" w:eastAsia="仿宋" w:cs="Times New Roman"/>
                <w:color w:val="000000"/>
                <w:kern w:val="0"/>
                <w:sz w:val="22"/>
                <w:szCs w:val="22"/>
                <w:lang w:eastAsia="zh-CN"/>
              </w:rPr>
              <w:t>）</w:t>
            </w:r>
          </w:p>
        </w:tc>
        <w:tc>
          <w:tcPr>
            <w:tcW w:w="2375" w:type="pct"/>
            <w:shd w:val="clear" w:color="auto" w:fill="auto"/>
            <w:noWrap/>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管理制度健全性（5分</w:t>
            </w:r>
            <w:r>
              <w:rPr>
                <w:rFonts w:hint="eastAsia" w:ascii="Times New Roman" w:hAnsi="Times New Roman" w:eastAsia="仿宋" w:cs="Times New Roman"/>
                <w:color w:val="000000"/>
                <w:kern w:val="0"/>
                <w:sz w:val="22"/>
                <w:szCs w:val="22"/>
                <w:lang w:eastAsia="zh-CN"/>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1314" w:type="pct"/>
            <w:vMerge w:val="continue"/>
            <w:vAlign w:val="center"/>
          </w:tcPr>
          <w:p>
            <w:pPr>
              <w:widowControl/>
              <w:spacing w:line="240" w:lineRule="auto"/>
              <w:jc w:val="left"/>
              <w:rPr>
                <w:rFonts w:hint="default" w:ascii="Times New Roman" w:hAnsi="Times New Roman" w:eastAsia="仿宋" w:cs="Times New Roman"/>
                <w:b/>
                <w:bCs/>
                <w:color w:val="000000"/>
                <w:kern w:val="0"/>
                <w:sz w:val="22"/>
                <w:szCs w:val="22"/>
              </w:rPr>
            </w:pPr>
          </w:p>
        </w:tc>
        <w:tc>
          <w:tcPr>
            <w:tcW w:w="1310" w:type="pct"/>
            <w:vMerge w:val="continue"/>
            <w:vAlign w:val="center"/>
          </w:tcPr>
          <w:p>
            <w:pPr>
              <w:widowControl/>
              <w:spacing w:line="240" w:lineRule="auto"/>
              <w:jc w:val="left"/>
              <w:rPr>
                <w:rFonts w:hint="default" w:ascii="Times New Roman" w:hAnsi="Times New Roman" w:eastAsia="仿宋" w:cs="Times New Roman"/>
                <w:color w:val="000000"/>
                <w:kern w:val="0"/>
                <w:sz w:val="22"/>
                <w:szCs w:val="22"/>
              </w:rPr>
            </w:pPr>
          </w:p>
        </w:tc>
        <w:tc>
          <w:tcPr>
            <w:tcW w:w="2375" w:type="pct"/>
            <w:shd w:val="clear" w:color="auto" w:fill="auto"/>
            <w:noWrap/>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制度执行有效性（5分</w:t>
            </w:r>
            <w:r>
              <w:rPr>
                <w:rFonts w:hint="eastAsia" w:ascii="Times New Roman" w:hAnsi="Times New Roman" w:eastAsia="仿宋" w:cs="Times New Roman"/>
                <w:color w:val="000000"/>
                <w:kern w:val="0"/>
                <w:sz w:val="22"/>
                <w:szCs w:val="22"/>
                <w:lang w:eastAsia="zh-CN"/>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1314" w:type="pct"/>
            <w:vMerge w:val="restart"/>
            <w:shd w:val="clear" w:color="auto" w:fill="auto"/>
            <w:vAlign w:val="center"/>
          </w:tcPr>
          <w:p>
            <w:pPr>
              <w:widowControl/>
              <w:spacing w:line="240" w:lineRule="auto"/>
              <w:jc w:val="center"/>
              <w:rPr>
                <w:rFonts w:hint="eastAsia" w:ascii="Times New Roman" w:hAnsi="Times New Roman" w:eastAsia="仿宋" w:cs="Times New Roman"/>
                <w:b/>
                <w:bCs/>
                <w:color w:val="000000"/>
                <w:kern w:val="0"/>
                <w:sz w:val="22"/>
                <w:szCs w:val="22"/>
                <w:lang w:eastAsia="zh-CN"/>
              </w:rPr>
            </w:pPr>
            <w:r>
              <w:rPr>
                <w:rFonts w:hint="default" w:ascii="Times New Roman" w:hAnsi="Times New Roman" w:eastAsia="仿宋" w:cs="Times New Roman"/>
                <w:b/>
                <w:bCs/>
                <w:color w:val="000000"/>
                <w:kern w:val="0"/>
                <w:sz w:val="22"/>
                <w:szCs w:val="22"/>
              </w:rPr>
              <w:t>产出指标（40分</w:t>
            </w:r>
            <w:r>
              <w:rPr>
                <w:rFonts w:hint="eastAsia" w:ascii="Times New Roman" w:hAnsi="Times New Roman" w:eastAsia="仿宋" w:cs="Times New Roman"/>
                <w:b/>
                <w:bCs/>
                <w:color w:val="000000"/>
                <w:kern w:val="0"/>
                <w:sz w:val="22"/>
                <w:szCs w:val="22"/>
                <w:lang w:eastAsia="zh-CN"/>
              </w:rPr>
              <w:t>）</w:t>
            </w:r>
          </w:p>
        </w:tc>
        <w:tc>
          <w:tcPr>
            <w:tcW w:w="1310" w:type="pct"/>
            <w:vMerge w:val="restart"/>
            <w:shd w:val="clear" w:color="auto" w:fill="auto"/>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数量指标（16分</w:t>
            </w:r>
            <w:r>
              <w:rPr>
                <w:rFonts w:hint="eastAsia" w:ascii="Times New Roman" w:hAnsi="Times New Roman" w:eastAsia="仿宋" w:cs="Times New Roman"/>
                <w:color w:val="000000"/>
                <w:kern w:val="0"/>
                <w:sz w:val="22"/>
                <w:szCs w:val="22"/>
                <w:lang w:eastAsia="zh-CN"/>
              </w:rPr>
              <w:t>）</w:t>
            </w:r>
          </w:p>
        </w:tc>
        <w:tc>
          <w:tcPr>
            <w:tcW w:w="2375" w:type="pct"/>
            <w:shd w:val="clear" w:color="auto" w:fill="auto"/>
            <w:noWrap/>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健身路径（4分</w:t>
            </w:r>
            <w:r>
              <w:rPr>
                <w:rFonts w:hint="eastAsia" w:ascii="Times New Roman" w:hAnsi="Times New Roman" w:eastAsia="仿宋" w:cs="Times New Roman"/>
                <w:color w:val="000000"/>
                <w:kern w:val="0"/>
                <w:sz w:val="22"/>
                <w:szCs w:val="22"/>
                <w:lang w:eastAsia="zh-CN"/>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1314" w:type="pct"/>
            <w:vMerge w:val="continue"/>
            <w:shd w:val="clear" w:color="auto" w:fill="auto"/>
            <w:vAlign w:val="center"/>
          </w:tcPr>
          <w:p>
            <w:pPr>
              <w:widowControl/>
              <w:spacing w:line="240" w:lineRule="auto"/>
              <w:jc w:val="center"/>
              <w:rPr>
                <w:rFonts w:hint="default" w:ascii="Times New Roman" w:hAnsi="Times New Roman" w:eastAsia="仿宋" w:cs="Times New Roman"/>
                <w:b/>
                <w:bCs/>
                <w:color w:val="000000"/>
                <w:kern w:val="0"/>
                <w:sz w:val="22"/>
                <w:szCs w:val="22"/>
              </w:rPr>
            </w:pPr>
          </w:p>
        </w:tc>
        <w:tc>
          <w:tcPr>
            <w:tcW w:w="1310" w:type="pct"/>
            <w:vMerge w:val="continue"/>
            <w:shd w:val="clear" w:color="auto" w:fill="auto"/>
            <w:vAlign w:val="center"/>
          </w:tcPr>
          <w:p>
            <w:pPr>
              <w:widowControl/>
              <w:spacing w:line="240" w:lineRule="auto"/>
              <w:jc w:val="center"/>
              <w:rPr>
                <w:rFonts w:hint="default" w:ascii="Times New Roman" w:hAnsi="Times New Roman" w:eastAsia="仿宋" w:cs="Times New Roman"/>
                <w:color w:val="000000"/>
                <w:kern w:val="0"/>
                <w:sz w:val="22"/>
                <w:szCs w:val="22"/>
              </w:rPr>
            </w:pPr>
          </w:p>
        </w:tc>
        <w:tc>
          <w:tcPr>
            <w:tcW w:w="2375" w:type="pct"/>
            <w:shd w:val="clear" w:color="auto" w:fill="auto"/>
            <w:noWrap/>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足球场（4分</w:t>
            </w:r>
            <w:r>
              <w:rPr>
                <w:rFonts w:hint="eastAsia" w:ascii="Times New Roman" w:hAnsi="Times New Roman" w:eastAsia="仿宋" w:cs="Times New Roman"/>
                <w:color w:val="000000"/>
                <w:kern w:val="0"/>
                <w:sz w:val="22"/>
                <w:szCs w:val="22"/>
                <w:lang w:eastAsia="zh-CN"/>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1314" w:type="pct"/>
            <w:vMerge w:val="continue"/>
            <w:shd w:val="clear" w:color="auto" w:fill="auto"/>
            <w:vAlign w:val="center"/>
          </w:tcPr>
          <w:p>
            <w:pPr>
              <w:widowControl/>
              <w:spacing w:line="240" w:lineRule="auto"/>
              <w:jc w:val="center"/>
              <w:rPr>
                <w:rFonts w:hint="default" w:ascii="Times New Roman" w:hAnsi="Times New Roman" w:eastAsia="仿宋" w:cs="Times New Roman"/>
                <w:b/>
                <w:bCs/>
                <w:color w:val="000000"/>
                <w:kern w:val="0"/>
                <w:sz w:val="22"/>
                <w:szCs w:val="22"/>
              </w:rPr>
            </w:pPr>
          </w:p>
        </w:tc>
        <w:tc>
          <w:tcPr>
            <w:tcW w:w="1310" w:type="pct"/>
            <w:vMerge w:val="continue"/>
            <w:shd w:val="clear" w:color="auto" w:fill="auto"/>
            <w:vAlign w:val="center"/>
          </w:tcPr>
          <w:p>
            <w:pPr>
              <w:widowControl/>
              <w:spacing w:line="240" w:lineRule="auto"/>
              <w:jc w:val="center"/>
              <w:rPr>
                <w:rFonts w:hint="default" w:ascii="Times New Roman" w:hAnsi="Times New Roman" w:eastAsia="仿宋" w:cs="Times New Roman"/>
                <w:color w:val="000000"/>
                <w:kern w:val="0"/>
                <w:sz w:val="22"/>
                <w:szCs w:val="22"/>
              </w:rPr>
            </w:pPr>
          </w:p>
        </w:tc>
        <w:tc>
          <w:tcPr>
            <w:tcW w:w="2375" w:type="pct"/>
            <w:shd w:val="clear" w:color="auto" w:fill="auto"/>
            <w:noWrap/>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多功能运动场（4分</w:t>
            </w:r>
            <w:r>
              <w:rPr>
                <w:rFonts w:hint="eastAsia" w:ascii="Times New Roman" w:hAnsi="Times New Roman" w:eastAsia="仿宋" w:cs="Times New Roman"/>
                <w:color w:val="000000"/>
                <w:kern w:val="0"/>
                <w:sz w:val="22"/>
                <w:szCs w:val="22"/>
                <w:lang w:eastAsia="zh-CN"/>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1314" w:type="pct"/>
            <w:vMerge w:val="continue"/>
            <w:shd w:val="clear" w:color="auto" w:fill="auto"/>
            <w:vAlign w:val="center"/>
          </w:tcPr>
          <w:p>
            <w:pPr>
              <w:widowControl/>
              <w:spacing w:line="240" w:lineRule="auto"/>
              <w:jc w:val="center"/>
              <w:rPr>
                <w:rFonts w:hint="default" w:ascii="Times New Roman" w:hAnsi="Times New Roman" w:eastAsia="仿宋" w:cs="Times New Roman"/>
                <w:b/>
                <w:bCs/>
                <w:color w:val="000000"/>
                <w:kern w:val="0"/>
                <w:sz w:val="22"/>
                <w:szCs w:val="22"/>
              </w:rPr>
            </w:pPr>
          </w:p>
        </w:tc>
        <w:tc>
          <w:tcPr>
            <w:tcW w:w="1310" w:type="pct"/>
            <w:vMerge w:val="continue"/>
            <w:shd w:val="clear" w:color="auto" w:fill="auto"/>
            <w:vAlign w:val="center"/>
          </w:tcPr>
          <w:p>
            <w:pPr>
              <w:widowControl/>
              <w:spacing w:line="240" w:lineRule="auto"/>
              <w:jc w:val="center"/>
              <w:rPr>
                <w:rFonts w:hint="default" w:ascii="Times New Roman" w:hAnsi="Times New Roman" w:eastAsia="仿宋" w:cs="Times New Roman"/>
                <w:color w:val="000000"/>
                <w:kern w:val="0"/>
                <w:sz w:val="22"/>
                <w:szCs w:val="22"/>
              </w:rPr>
            </w:pPr>
          </w:p>
        </w:tc>
        <w:tc>
          <w:tcPr>
            <w:tcW w:w="2375" w:type="pct"/>
            <w:shd w:val="clear" w:color="auto" w:fill="auto"/>
            <w:noWrap/>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口袋公园健身设施（4分</w:t>
            </w:r>
            <w:r>
              <w:rPr>
                <w:rFonts w:hint="eastAsia" w:ascii="Times New Roman" w:hAnsi="Times New Roman" w:eastAsia="仿宋" w:cs="Times New Roman"/>
                <w:color w:val="000000"/>
                <w:kern w:val="0"/>
                <w:sz w:val="22"/>
                <w:szCs w:val="22"/>
                <w:lang w:eastAsia="zh-CN"/>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1314" w:type="pct"/>
            <w:vMerge w:val="continue"/>
            <w:vAlign w:val="center"/>
          </w:tcPr>
          <w:p>
            <w:pPr>
              <w:widowControl/>
              <w:spacing w:line="240" w:lineRule="auto"/>
              <w:jc w:val="left"/>
              <w:rPr>
                <w:rFonts w:hint="default" w:ascii="Times New Roman" w:hAnsi="Times New Roman" w:eastAsia="仿宋" w:cs="Times New Roman"/>
                <w:b/>
                <w:bCs/>
                <w:color w:val="000000"/>
                <w:kern w:val="0"/>
                <w:sz w:val="22"/>
                <w:szCs w:val="22"/>
              </w:rPr>
            </w:pPr>
          </w:p>
        </w:tc>
        <w:tc>
          <w:tcPr>
            <w:tcW w:w="1310" w:type="pct"/>
            <w:vMerge w:val="restart"/>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质量指标（8分</w:t>
            </w:r>
            <w:r>
              <w:rPr>
                <w:rFonts w:hint="eastAsia" w:ascii="Times New Roman" w:hAnsi="Times New Roman" w:eastAsia="仿宋" w:cs="Times New Roman"/>
                <w:color w:val="000000"/>
                <w:kern w:val="0"/>
                <w:sz w:val="22"/>
                <w:szCs w:val="22"/>
                <w:lang w:eastAsia="zh-CN"/>
              </w:rPr>
              <w:t>）</w:t>
            </w:r>
          </w:p>
        </w:tc>
        <w:tc>
          <w:tcPr>
            <w:tcW w:w="2375" w:type="pct"/>
            <w:shd w:val="clear" w:color="auto" w:fill="auto"/>
            <w:noWrap/>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竣工验收合格率（4分</w:t>
            </w:r>
            <w:r>
              <w:rPr>
                <w:rFonts w:hint="eastAsia" w:ascii="Times New Roman" w:hAnsi="Times New Roman" w:eastAsia="仿宋" w:cs="Times New Roman"/>
                <w:color w:val="000000"/>
                <w:kern w:val="0"/>
                <w:sz w:val="22"/>
                <w:szCs w:val="22"/>
                <w:lang w:eastAsia="zh-CN"/>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1314" w:type="pct"/>
            <w:vMerge w:val="continue"/>
            <w:vAlign w:val="center"/>
          </w:tcPr>
          <w:p>
            <w:pPr>
              <w:widowControl/>
              <w:spacing w:line="240" w:lineRule="auto"/>
              <w:jc w:val="left"/>
              <w:rPr>
                <w:rFonts w:hint="default" w:ascii="Times New Roman" w:hAnsi="Times New Roman" w:eastAsia="仿宋" w:cs="Times New Roman"/>
                <w:b/>
                <w:bCs/>
                <w:color w:val="000000"/>
                <w:kern w:val="0"/>
                <w:sz w:val="22"/>
                <w:szCs w:val="22"/>
              </w:rPr>
            </w:pPr>
          </w:p>
        </w:tc>
        <w:tc>
          <w:tcPr>
            <w:tcW w:w="1310" w:type="pct"/>
            <w:vMerge w:val="continue"/>
            <w:vAlign w:val="center"/>
          </w:tcPr>
          <w:p>
            <w:pPr>
              <w:widowControl/>
              <w:spacing w:line="240" w:lineRule="auto"/>
              <w:jc w:val="center"/>
              <w:rPr>
                <w:rFonts w:hint="default" w:ascii="Times New Roman" w:hAnsi="Times New Roman" w:eastAsia="仿宋" w:cs="Times New Roman"/>
                <w:color w:val="000000"/>
                <w:kern w:val="0"/>
                <w:sz w:val="22"/>
                <w:szCs w:val="22"/>
              </w:rPr>
            </w:pPr>
          </w:p>
        </w:tc>
        <w:tc>
          <w:tcPr>
            <w:tcW w:w="2375" w:type="pct"/>
            <w:shd w:val="clear" w:color="auto" w:fill="auto"/>
            <w:noWrap/>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体育设施有序开放（4分</w:t>
            </w:r>
            <w:r>
              <w:rPr>
                <w:rFonts w:hint="eastAsia" w:ascii="Times New Roman" w:hAnsi="Times New Roman" w:eastAsia="仿宋" w:cs="Times New Roman"/>
                <w:color w:val="000000"/>
                <w:kern w:val="0"/>
                <w:sz w:val="22"/>
                <w:szCs w:val="22"/>
                <w:lang w:eastAsia="zh-CN"/>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1314" w:type="pct"/>
            <w:vMerge w:val="continue"/>
            <w:vAlign w:val="center"/>
          </w:tcPr>
          <w:p>
            <w:pPr>
              <w:widowControl/>
              <w:spacing w:line="240" w:lineRule="auto"/>
              <w:jc w:val="left"/>
              <w:rPr>
                <w:rFonts w:hint="default" w:ascii="Times New Roman" w:hAnsi="Times New Roman" w:eastAsia="仿宋" w:cs="Times New Roman"/>
                <w:b/>
                <w:bCs/>
                <w:color w:val="000000"/>
                <w:kern w:val="0"/>
                <w:sz w:val="22"/>
                <w:szCs w:val="22"/>
              </w:rPr>
            </w:pPr>
          </w:p>
        </w:tc>
        <w:tc>
          <w:tcPr>
            <w:tcW w:w="1310" w:type="pct"/>
            <w:shd w:val="clear" w:color="auto" w:fill="auto"/>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时效指标（7分</w:t>
            </w:r>
            <w:r>
              <w:rPr>
                <w:rFonts w:hint="eastAsia" w:ascii="Times New Roman" w:hAnsi="Times New Roman" w:eastAsia="仿宋" w:cs="Times New Roman"/>
                <w:color w:val="000000"/>
                <w:kern w:val="0"/>
                <w:sz w:val="22"/>
                <w:szCs w:val="22"/>
                <w:lang w:eastAsia="zh-CN"/>
              </w:rPr>
              <w:t>）</w:t>
            </w:r>
          </w:p>
        </w:tc>
        <w:tc>
          <w:tcPr>
            <w:tcW w:w="2375" w:type="pct"/>
            <w:shd w:val="clear" w:color="auto" w:fill="auto"/>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工程按期完成率（7分</w:t>
            </w:r>
            <w:r>
              <w:rPr>
                <w:rFonts w:hint="eastAsia" w:ascii="Times New Roman" w:hAnsi="Times New Roman" w:eastAsia="仿宋" w:cs="Times New Roman"/>
                <w:color w:val="000000"/>
                <w:kern w:val="0"/>
                <w:sz w:val="22"/>
                <w:szCs w:val="22"/>
                <w:lang w:eastAsia="zh-CN"/>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314" w:type="pct"/>
            <w:vMerge w:val="continue"/>
            <w:vAlign w:val="center"/>
          </w:tcPr>
          <w:p>
            <w:pPr>
              <w:widowControl/>
              <w:spacing w:line="240" w:lineRule="auto"/>
              <w:jc w:val="left"/>
              <w:rPr>
                <w:rFonts w:hint="default" w:ascii="Times New Roman" w:hAnsi="Times New Roman" w:eastAsia="仿宋" w:cs="Times New Roman"/>
                <w:b/>
                <w:bCs/>
                <w:color w:val="000000"/>
                <w:kern w:val="0"/>
                <w:sz w:val="22"/>
                <w:szCs w:val="22"/>
              </w:rPr>
            </w:pPr>
          </w:p>
        </w:tc>
        <w:tc>
          <w:tcPr>
            <w:tcW w:w="1310" w:type="pct"/>
            <w:shd w:val="clear" w:color="auto" w:fill="auto"/>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成本指标（9分</w:t>
            </w:r>
            <w:r>
              <w:rPr>
                <w:rFonts w:hint="eastAsia" w:ascii="Times New Roman" w:hAnsi="Times New Roman" w:eastAsia="仿宋" w:cs="Times New Roman"/>
                <w:color w:val="000000"/>
                <w:kern w:val="0"/>
                <w:sz w:val="22"/>
                <w:szCs w:val="22"/>
                <w:lang w:eastAsia="zh-CN"/>
              </w:rPr>
              <w:t>）</w:t>
            </w:r>
          </w:p>
        </w:tc>
        <w:tc>
          <w:tcPr>
            <w:tcW w:w="2375" w:type="pct"/>
            <w:shd w:val="clear" w:color="auto" w:fill="auto"/>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成本控制比例（9分</w:t>
            </w:r>
            <w:r>
              <w:rPr>
                <w:rFonts w:hint="eastAsia" w:ascii="Times New Roman" w:hAnsi="Times New Roman" w:eastAsia="仿宋" w:cs="Times New Roman"/>
                <w:color w:val="000000"/>
                <w:kern w:val="0"/>
                <w:sz w:val="22"/>
                <w:szCs w:val="22"/>
                <w:lang w:eastAsia="zh-CN"/>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1314" w:type="pct"/>
            <w:vMerge w:val="restart"/>
            <w:shd w:val="clear" w:color="auto" w:fill="auto"/>
            <w:vAlign w:val="center"/>
          </w:tcPr>
          <w:p>
            <w:pPr>
              <w:widowControl/>
              <w:spacing w:line="240" w:lineRule="auto"/>
              <w:jc w:val="center"/>
              <w:rPr>
                <w:rFonts w:hint="eastAsia" w:ascii="Times New Roman" w:hAnsi="Times New Roman" w:eastAsia="仿宋" w:cs="Times New Roman"/>
                <w:b/>
                <w:bCs/>
                <w:color w:val="000000"/>
                <w:kern w:val="0"/>
                <w:sz w:val="22"/>
                <w:szCs w:val="22"/>
                <w:lang w:eastAsia="zh-CN"/>
              </w:rPr>
            </w:pPr>
            <w:r>
              <w:rPr>
                <w:rFonts w:hint="default" w:ascii="Times New Roman" w:hAnsi="Times New Roman" w:eastAsia="仿宋" w:cs="Times New Roman"/>
                <w:b/>
                <w:bCs/>
                <w:color w:val="000000"/>
                <w:kern w:val="0"/>
                <w:sz w:val="22"/>
                <w:szCs w:val="22"/>
              </w:rPr>
              <w:t>效益指标（20分</w:t>
            </w:r>
            <w:r>
              <w:rPr>
                <w:rFonts w:hint="eastAsia" w:ascii="Times New Roman" w:hAnsi="Times New Roman" w:eastAsia="仿宋" w:cs="Times New Roman"/>
                <w:b/>
                <w:bCs/>
                <w:color w:val="000000"/>
                <w:kern w:val="0"/>
                <w:sz w:val="22"/>
                <w:szCs w:val="22"/>
                <w:lang w:eastAsia="zh-CN"/>
              </w:rPr>
              <w:t>）</w:t>
            </w:r>
          </w:p>
        </w:tc>
        <w:tc>
          <w:tcPr>
            <w:tcW w:w="1310" w:type="pct"/>
            <w:vMerge w:val="restart"/>
            <w:shd w:val="clear" w:color="auto" w:fill="auto"/>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社会效益（10分</w:t>
            </w:r>
            <w:r>
              <w:rPr>
                <w:rFonts w:hint="eastAsia" w:ascii="Times New Roman" w:hAnsi="Times New Roman" w:eastAsia="仿宋" w:cs="Times New Roman"/>
                <w:color w:val="000000"/>
                <w:kern w:val="0"/>
                <w:sz w:val="22"/>
                <w:szCs w:val="22"/>
                <w:lang w:eastAsia="zh-CN"/>
              </w:rPr>
              <w:t>）</w:t>
            </w:r>
          </w:p>
        </w:tc>
        <w:tc>
          <w:tcPr>
            <w:tcW w:w="2375" w:type="pct"/>
            <w:shd w:val="clear" w:color="auto" w:fill="auto"/>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健身环境改善程度（5分</w:t>
            </w:r>
            <w:r>
              <w:rPr>
                <w:rFonts w:hint="eastAsia" w:ascii="Times New Roman" w:hAnsi="Times New Roman" w:eastAsia="仿宋" w:cs="Times New Roman"/>
                <w:color w:val="000000"/>
                <w:kern w:val="0"/>
                <w:sz w:val="22"/>
                <w:szCs w:val="22"/>
                <w:lang w:eastAsia="zh-CN"/>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1314" w:type="pct"/>
            <w:vMerge w:val="continue"/>
            <w:vAlign w:val="center"/>
          </w:tcPr>
          <w:p>
            <w:pPr>
              <w:widowControl/>
              <w:spacing w:line="240" w:lineRule="auto"/>
              <w:jc w:val="left"/>
              <w:rPr>
                <w:rFonts w:hint="default" w:ascii="Times New Roman" w:hAnsi="Times New Roman" w:eastAsia="仿宋" w:cs="Times New Roman"/>
                <w:b/>
                <w:bCs/>
                <w:color w:val="000000"/>
                <w:kern w:val="0"/>
                <w:sz w:val="22"/>
                <w:szCs w:val="22"/>
              </w:rPr>
            </w:pPr>
          </w:p>
        </w:tc>
        <w:tc>
          <w:tcPr>
            <w:tcW w:w="1310" w:type="pct"/>
            <w:vMerge w:val="continue"/>
            <w:vAlign w:val="center"/>
          </w:tcPr>
          <w:p>
            <w:pPr>
              <w:widowControl/>
              <w:spacing w:line="240" w:lineRule="auto"/>
              <w:jc w:val="left"/>
              <w:rPr>
                <w:rFonts w:hint="default" w:ascii="Times New Roman" w:hAnsi="Times New Roman" w:eastAsia="仿宋" w:cs="Times New Roman"/>
                <w:color w:val="000000"/>
                <w:kern w:val="0"/>
                <w:sz w:val="22"/>
                <w:szCs w:val="22"/>
              </w:rPr>
            </w:pPr>
          </w:p>
        </w:tc>
        <w:tc>
          <w:tcPr>
            <w:tcW w:w="2375" w:type="pct"/>
            <w:shd w:val="clear" w:color="auto" w:fill="auto"/>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公共服务水平的改善或提高（5分</w:t>
            </w:r>
            <w:r>
              <w:rPr>
                <w:rFonts w:hint="eastAsia" w:ascii="Times New Roman" w:hAnsi="Times New Roman" w:eastAsia="仿宋" w:cs="Times New Roman"/>
                <w:color w:val="000000"/>
                <w:kern w:val="0"/>
                <w:sz w:val="22"/>
                <w:szCs w:val="22"/>
                <w:lang w:eastAsia="zh-CN"/>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1314" w:type="pct"/>
            <w:vMerge w:val="continue"/>
            <w:vAlign w:val="center"/>
          </w:tcPr>
          <w:p>
            <w:pPr>
              <w:widowControl/>
              <w:spacing w:line="240" w:lineRule="auto"/>
              <w:jc w:val="left"/>
              <w:rPr>
                <w:rFonts w:hint="default" w:ascii="Times New Roman" w:hAnsi="Times New Roman" w:eastAsia="仿宋" w:cs="Times New Roman"/>
                <w:b/>
                <w:bCs/>
                <w:color w:val="000000"/>
                <w:kern w:val="0"/>
                <w:sz w:val="22"/>
                <w:szCs w:val="22"/>
              </w:rPr>
            </w:pPr>
          </w:p>
        </w:tc>
        <w:tc>
          <w:tcPr>
            <w:tcW w:w="1310" w:type="pct"/>
            <w:shd w:val="clear" w:color="auto" w:fill="auto"/>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可持续效益（5分</w:t>
            </w:r>
            <w:r>
              <w:rPr>
                <w:rFonts w:hint="eastAsia" w:ascii="Times New Roman" w:hAnsi="Times New Roman" w:eastAsia="仿宋" w:cs="Times New Roman"/>
                <w:color w:val="000000"/>
                <w:kern w:val="0"/>
                <w:sz w:val="22"/>
                <w:szCs w:val="22"/>
                <w:lang w:eastAsia="zh-CN"/>
              </w:rPr>
              <w:t>）</w:t>
            </w:r>
          </w:p>
        </w:tc>
        <w:tc>
          <w:tcPr>
            <w:tcW w:w="2375" w:type="pct"/>
            <w:shd w:val="clear" w:color="auto" w:fill="auto"/>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管护机制有效性（5分</w:t>
            </w:r>
            <w:r>
              <w:rPr>
                <w:rFonts w:hint="eastAsia" w:ascii="Times New Roman" w:hAnsi="Times New Roman" w:eastAsia="仿宋" w:cs="Times New Roman"/>
                <w:color w:val="000000"/>
                <w:kern w:val="0"/>
                <w:sz w:val="22"/>
                <w:szCs w:val="22"/>
                <w:lang w:eastAsia="zh-CN"/>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1314" w:type="pct"/>
            <w:vMerge w:val="continue"/>
            <w:vAlign w:val="center"/>
          </w:tcPr>
          <w:p>
            <w:pPr>
              <w:widowControl/>
              <w:spacing w:line="240" w:lineRule="auto"/>
              <w:jc w:val="left"/>
              <w:rPr>
                <w:rFonts w:hint="default" w:ascii="Times New Roman" w:hAnsi="Times New Roman" w:eastAsia="仿宋" w:cs="Times New Roman"/>
                <w:b/>
                <w:bCs/>
                <w:color w:val="000000"/>
                <w:kern w:val="0"/>
                <w:sz w:val="22"/>
                <w:szCs w:val="22"/>
              </w:rPr>
            </w:pPr>
          </w:p>
        </w:tc>
        <w:tc>
          <w:tcPr>
            <w:tcW w:w="1310" w:type="pct"/>
            <w:shd w:val="clear" w:color="auto" w:fill="auto"/>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满意度（5分</w:t>
            </w:r>
            <w:r>
              <w:rPr>
                <w:rFonts w:hint="eastAsia" w:ascii="Times New Roman" w:hAnsi="Times New Roman" w:eastAsia="仿宋" w:cs="Times New Roman"/>
                <w:color w:val="000000"/>
                <w:kern w:val="0"/>
                <w:sz w:val="22"/>
                <w:szCs w:val="22"/>
                <w:lang w:eastAsia="zh-CN"/>
              </w:rPr>
              <w:t>）</w:t>
            </w:r>
          </w:p>
        </w:tc>
        <w:tc>
          <w:tcPr>
            <w:tcW w:w="2375" w:type="pct"/>
            <w:shd w:val="clear" w:color="auto" w:fill="auto"/>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受益群众满意度（5分</w:t>
            </w:r>
            <w:r>
              <w:rPr>
                <w:rFonts w:hint="eastAsia" w:ascii="Times New Roman" w:hAnsi="Times New Roman" w:eastAsia="仿宋" w:cs="Times New Roman"/>
                <w:color w:val="000000"/>
                <w:kern w:val="0"/>
                <w:sz w:val="22"/>
                <w:szCs w:val="22"/>
                <w:lang w:eastAsia="zh-CN"/>
              </w:rPr>
              <w:t>）</w:t>
            </w:r>
          </w:p>
        </w:tc>
      </w:tr>
    </w:tbl>
    <w:p>
      <w:pPr>
        <w:rPr>
          <w:rFonts w:ascii="仿宋" w:hAnsi="仿宋" w:eastAsia="仿宋" w:cs="仿宋"/>
        </w:rPr>
      </w:pPr>
    </w:p>
    <w:p>
      <w:pPr>
        <w:ind w:firstLine="560" w:firstLineChars="200"/>
        <w:rPr>
          <w:rFonts w:ascii="仿宋" w:hAnsi="仿宋" w:eastAsia="仿宋" w:cs="仿宋"/>
        </w:rPr>
      </w:pPr>
      <w:r>
        <w:rPr>
          <w:rFonts w:hint="default" w:ascii="Times New Roman" w:hAnsi="Times New Roman" w:eastAsia="仿宋" w:cs="Times New Roman"/>
          <w:szCs w:val="28"/>
        </w:rPr>
        <w:t>根据表5展现的建设体育基础设施资金绩效评价指标体系，整体指标体系框架设置包括决策、过程、产出、效益四个一级指标，分别占20%、20%、40%和20%。其中决策指标包括项目立项、绩效目标和资金投入三个二级指标；过程指标包括资金管理和组织实施两个二级指标；产出指标包括实际完成数量、完成质量、完成及时率和成本节约四个二级指标；效益指标包括社会效益、生态效益和满意度三个二级指标。围绕</w:t>
      </w:r>
      <w:r>
        <w:rPr>
          <w:rFonts w:hint="eastAsia" w:ascii="Times New Roman" w:hAnsi="Times New Roman" w:eastAsia="仿宋" w:cs="Times New Roman"/>
          <w:szCs w:val="28"/>
          <w:lang w:eastAsia="zh-CN"/>
        </w:rPr>
        <w:t>“</w:t>
      </w:r>
      <w:r>
        <w:rPr>
          <w:rFonts w:hint="default" w:ascii="Times New Roman" w:hAnsi="Times New Roman" w:eastAsia="仿宋" w:cs="Times New Roman"/>
          <w:szCs w:val="28"/>
        </w:rPr>
        <w:t>建设体育基础设施</w:t>
      </w:r>
      <w:r>
        <w:rPr>
          <w:rFonts w:hint="eastAsia" w:ascii="Times New Roman" w:hAnsi="Times New Roman" w:eastAsia="仿宋" w:cs="Times New Roman"/>
          <w:szCs w:val="28"/>
          <w:lang w:eastAsia="zh-CN"/>
        </w:rPr>
        <w:t>”</w:t>
      </w:r>
      <w:r>
        <w:rPr>
          <w:rFonts w:hint="default" w:ascii="Times New Roman" w:hAnsi="Times New Roman" w:eastAsia="仿宋" w:cs="Times New Roman"/>
          <w:szCs w:val="28"/>
        </w:rPr>
        <w:t>专</w:t>
      </w:r>
      <w:r>
        <w:rPr>
          <w:rFonts w:hint="eastAsia" w:ascii="仿宋" w:hAnsi="仿宋" w:eastAsia="仿宋" w:cs="仿宋"/>
          <w:szCs w:val="28"/>
        </w:rPr>
        <w:t>项资金的特点，专项资金评价工作组继续在二级指标下构建更为细致的三级指标，进一步完善评价指标体系。</w:t>
      </w:r>
    </w:p>
    <w:p>
      <w:pPr>
        <w:spacing w:before="156" w:beforeLines="50" w:after="156" w:afterLines="50"/>
        <w:ind w:firstLine="643" w:firstLineChars="200"/>
        <w:outlineLvl w:val="1"/>
        <w:rPr>
          <w:rFonts w:ascii="仿宋" w:hAnsi="仿宋" w:eastAsia="仿宋" w:cs="仿宋"/>
          <w:b/>
          <w:bCs/>
          <w:sz w:val="32"/>
          <w:szCs w:val="32"/>
        </w:rPr>
      </w:pPr>
      <w:bookmarkStart w:id="94" w:name="_Toc51"/>
      <w:bookmarkStart w:id="95" w:name="_Toc21324"/>
      <w:bookmarkStart w:id="96" w:name="_Toc829831805"/>
      <w:bookmarkStart w:id="97" w:name="_Toc15828"/>
      <w:bookmarkStart w:id="98" w:name="_Toc25787"/>
      <w:r>
        <w:rPr>
          <w:rFonts w:hint="eastAsia" w:ascii="仿宋" w:hAnsi="仿宋" w:eastAsia="仿宋" w:cs="仿宋"/>
          <w:b/>
          <w:bCs/>
          <w:sz w:val="32"/>
          <w:szCs w:val="32"/>
        </w:rPr>
        <w:t>七、评价方法</w:t>
      </w:r>
      <w:bookmarkEnd w:id="94"/>
      <w:bookmarkEnd w:id="95"/>
      <w:bookmarkEnd w:id="96"/>
      <w:bookmarkEnd w:id="97"/>
      <w:bookmarkEnd w:id="98"/>
    </w:p>
    <w:p>
      <w:pPr>
        <w:ind w:firstLine="560" w:firstLineChars="200"/>
        <w:rPr>
          <w:rFonts w:ascii="仿宋" w:hAnsi="仿宋" w:eastAsia="仿宋" w:cs="仿宋"/>
        </w:rPr>
      </w:pPr>
      <w:r>
        <w:rPr>
          <w:rFonts w:hint="eastAsia" w:ascii="仿宋" w:hAnsi="仿宋" w:eastAsia="仿宋" w:cs="仿宋"/>
        </w:rPr>
        <w:t>项目评价工作组拟采用成效分析法、比较法、案卷研究法、公众评判法等多种方法，从资金决策、资金管理和资金绩效等方面，综合考察资金的使用情况、取得的成效，分析资金管理过程中存在的问题及原因，并针对性地提出建议。</w:t>
      </w:r>
    </w:p>
    <w:p>
      <w:pPr>
        <w:ind w:firstLine="562" w:firstLineChars="200"/>
        <w:outlineLvl w:val="2"/>
        <w:rPr>
          <w:rFonts w:ascii="仿宋" w:hAnsi="仿宋" w:eastAsia="仿宋" w:cs="仿宋"/>
          <w:b/>
          <w:bCs/>
          <w:szCs w:val="28"/>
        </w:rPr>
      </w:pPr>
      <w:bookmarkStart w:id="99" w:name="_Toc19996"/>
      <w:bookmarkStart w:id="100" w:name="_Toc2569"/>
      <w:bookmarkStart w:id="101" w:name="_Toc23592"/>
      <w:bookmarkStart w:id="102" w:name="_Toc2765"/>
      <w:r>
        <w:rPr>
          <w:rFonts w:hint="eastAsia" w:ascii="仿宋" w:hAnsi="仿宋" w:eastAsia="仿宋" w:cs="仿宋"/>
          <w:b/>
          <w:bCs/>
          <w:szCs w:val="28"/>
        </w:rPr>
        <w:t>（一</w:t>
      </w:r>
      <w:r>
        <w:rPr>
          <w:rFonts w:hint="eastAsia" w:ascii="仿宋" w:hAnsi="仿宋" w:eastAsia="仿宋" w:cs="仿宋"/>
          <w:b/>
          <w:bCs/>
          <w:szCs w:val="28"/>
          <w:lang w:eastAsia="zh-CN"/>
        </w:rPr>
        <w:t>）</w:t>
      </w:r>
      <w:r>
        <w:rPr>
          <w:rFonts w:hint="eastAsia" w:ascii="仿宋" w:hAnsi="仿宋" w:eastAsia="仿宋" w:cs="仿宋"/>
          <w:b/>
          <w:bCs/>
          <w:szCs w:val="28"/>
        </w:rPr>
        <w:t>成效分析法</w:t>
      </w:r>
      <w:bookmarkEnd w:id="99"/>
      <w:bookmarkEnd w:id="100"/>
      <w:bookmarkEnd w:id="101"/>
      <w:bookmarkEnd w:id="102"/>
    </w:p>
    <w:p>
      <w:pPr>
        <w:ind w:firstLine="560" w:firstLineChars="200"/>
        <w:rPr>
          <w:rFonts w:ascii="仿宋" w:hAnsi="仿宋" w:eastAsia="仿宋" w:cs="仿宋"/>
        </w:rPr>
      </w:pPr>
      <w:r>
        <w:rPr>
          <w:rFonts w:hint="eastAsia" w:ascii="仿宋" w:hAnsi="仿宋" w:eastAsia="仿宋" w:cs="仿宋"/>
        </w:rPr>
        <w:t>指将投入与产出、效益进行关联性分析的方法。通过对资金的预算执行情况、项目管理资料、绩效考核、审计等相关资料进行研究、比较、分析，提取重要信息，将资金投入与产出、效益进行关联性分析，评价资金绩效目标的实现程度。</w:t>
      </w:r>
    </w:p>
    <w:p>
      <w:pPr>
        <w:ind w:firstLine="562" w:firstLineChars="200"/>
        <w:outlineLvl w:val="2"/>
        <w:rPr>
          <w:rFonts w:ascii="仿宋" w:hAnsi="仿宋" w:eastAsia="仿宋" w:cs="仿宋"/>
          <w:b/>
          <w:bCs/>
          <w:szCs w:val="28"/>
        </w:rPr>
      </w:pPr>
      <w:bookmarkStart w:id="103" w:name="_Toc5447"/>
      <w:bookmarkStart w:id="104" w:name="_Toc3791"/>
      <w:bookmarkStart w:id="105" w:name="_Toc8974"/>
      <w:bookmarkStart w:id="106" w:name="_Toc26163"/>
      <w:r>
        <w:rPr>
          <w:rFonts w:hint="eastAsia" w:ascii="仿宋" w:hAnsi="仿宋" w:eastAsia="仿宋" w:cs="仿宋"/>
          <w:b/>
          <w:bCs/>
          <w:szCs w:val="28"/>
        </w:rPr>
        <w:t>（二</w:t>
      </w:r>
      <w:r>
        <w:rPr>
          <w:rFonts w:hint="eastAsia" w:ascii="仿宋" w:hAnsi="仿宋" w:eastAsia="仿宋" w:cs="仿宋"/>
          <w:b/>
          <w:bCs/>
          <w:szCs w:val="28"/>
          <w:lang w:eastAsia="zh-CN"/>
        </w:rPr>
        <w:t>）</w:t>
      </w:r>
      <w:r>
        <w:rPr>
          <w:rFonts w:hint="eastAsia" w:ascii="仿宋" w:hAnsi="仿宋" w:eastAsia="仿宋" w:cs="仿宋"/>
          <w:b/>
          <w:bCs/>
          <w:szCs w:val="28"/>
        </w:rPr>
        <w:t>比较法</w:t>
      </w:r>
      <w:bookmarkEnd w:id="103"/>
      <w:bookmarkEnd w:id="104"/>
      <w:bookmarkEnd w:id="105"/>
      <w:bookmarkEnd w:id="106"/>
    </w:p>
    <w:p>
      <w:pPr>
        <w:ind w:firstLine="560" w:firstLineChars="200"/>
        <w:rPr>
          <w:rFonts w:ascii="仿宋" w:hAnsi="仿宋" w:eastAsia="仿宋" w:cs="仿宋"/>
        </w:rPr>
      </w:pPr>
      <w:r>
        <w:rPr>
          <w:rFonts w:hint="eastAsia" w:ascii="仿宋" w:hAnsi="仿宋" w:eastAsia="仿宋" w:cs="仿宋"/>
        </w:rPr>
        <w:t>指将项目实施情况与绩效目标进行比较的方法。充分运用国家、省和各市县（区</w:t>
      </w:r>
      <w:r>
        <w:rPr>
          <w:rFonts w:hint="eastAsia" w:ascii="仿宋" w:hAnsi="仿宋" w:eastAsia="仿宋" w:cs="仿宋"/>
          <w:lang w:eastAsia="zh-CN"/>
        </w:rPr>
        <w:t>）</w:t>
      </w:r>
      <w:r>
        <w:rPr>
          <w:rFonts w:hint="eastAsia" w:ascii="仿宋" w:hAnsi="仿宋" w:eastAsia="仿宋" w:cs="仿宋"/>
        </w:rPr>
        <w:t>部门发布的政策、文件等资料，对比资金实际情况，找出差距与不足，对项目的绩效目标进行分析与评价。</w:t>
      </w:r>
    </w:p>
    <w:p>
      <w:pPr>
        <w:ind w:firstLine="562" w:firstLineChars="200"/>
        <w:outlineLvl w:val="2"/>
        <w:rPr>
          <w:rFonts w:ascii="仿宋" w:hAnsi="仿宋" w:eastAsia="仿宋" w:cs="仿宋"/>
          <w:b/>
          <w:bCs/>
          <w:szCs w:val="28"/>
        </w:rPr>
      </w:pPr>
      <w:bookmarkStart w:id="107" w:name="_Toc26952"/>
      <w:bookmarkStart w:id="108" w:name="_Toc460"/>
      <w:bookmarkStart w:id="109" w:name="_Toc13954"/>
      <w:bookmarkStart w:id="110" w:name="_Toc1123"/>
      <w:r>
        <w:rPr>
          <w:rFonts w:hint="eastAsia" w:ascii="仿宋" w:hAnsi="仿宋" w:eastAsia="仿宋" w:cs="仿宋"/>
          <w:b/>
          <w:bCs/>
          <w:szCs w:val="28"/>
        </w:rPr>
        <w:t>（三</w:t>
      </w:r>
      <w:r>
        <w:rPr>
          <w:rFonts w:hint="eastAsia" w:ascii="仿宋" w:hAnsi="仿宋" w:eastAsia="仿宋" w:cs="仿宋"/>
          <w:b/>
          <w:bCs/>
          <w:szCs w:val="28"/>
          <w:lang w:eastAsia="zh-CN"/>
        </w:rPr>
        <w:t>）</w:t>
      </w:r>
      <w:r>
        <w:rPr>
          <w:rFonts w:hint="eastAsia" w:ascii="仿宋" w:hAnsi="仿宋" w:eastAsia="仿宋" w:cs="仿宋"/>
          <w:b/>
          <w:bCs/>
          <w:szCs w:val="28"/>
        </w:rPr>
        <w:t>案卷研究法</w:t>
      </w:r>
      <w:bookmarkEnd w:id="107"/>
      <w:bookmarkEnd w:id="108"/>
      <w:bookmarkEnd w:id="109"/>
      <w:bookmarkEnd w:id="110"/>
    </w:p>
    <w:p>
      <w:pPr>
        <w:ind w:firstLine="560" w:firstLineChars="200"/>
        <w:rPr>
          <w:rFonts w:ascii="仿宋" w:hAnsi="仿宋" w:eastAsia="仿宋" w:cs="仿宋"/>
        </w:rPr>
      </w:pPr>
      <w:r>
        <w:rPr>
          <w:rFonts w:hint="eastAsia" w:ascii="仿宋" w:hAnsi="仿宋" w:eastAsia="仿宋" w:cs="仿宋"/>
        </w:rPr>
        <w:t>指结合项目相关的文件通知、管理办法、实施方案、工作计划、会议纪要等相关资料，对项目投入决策、管理过程、产出及效益的政策相关性、可持续性和影响等情况进行分析，提取重要信息，支撑对某一指标的考核评价。</w:t>
      </w:r>
    </w:p>
    <w:p>
      <w:pPr>
        <w:ind w:firstLine="562" w:firstLineChars="200"/>
        <w:outlineLvl w:val="2"/>
        <w:rPr>
          <w:rFonts w:ascii="仿宋" w:hAnsi="仿宋" w:eastAsia="仿宋" w:cs="仿宋"/>
          <w:b/>
          <w:bCs/>
          <w:szCs w:val="28"/>
        </w:rPr>
      </w:pPr>
      <w:bookmarkStart w:id="111" w:name="_Toc16387"/>
      <w:bookmarkStart w:id="112" w:name="_Toc9565"/>
      <w:bookmarkStart w:id="113" w:name="_Toc31768"/>
      <w:bookmarkStart w:id="114" w:name="_Toc12811"/>
      <w:r>
        <w:rPr>
          <w:rFonts w:hint="eastAsia" w:ascii="仿宋" w:hAnsi="仿宋" w:eastAsia="仿宋" w:cs="仿宋"/>
          <w:b/>
          <w:bCs/>
          <w:szCs w:val="28"/>
        </w:rPr>
        <w:t>（</w:t>
      </w:r>
      <w:r>
        <w:rPr>
          <w:rFonts w:hint="eastAsia" w:ascii="仿宋" w:hAnsi="仿宋" w:eastAsia="仿宋" w:cs="仿宋"/>
          <w:b/>
          <w:bCs/>
          <w:szCs w:val="28"/>
          <w:lang w:val="en-US" w:eastAsia="zh-CN"/>
        </w:rPr>
        <w:t>四</w:t>
      </w:r>
      <w:r>
        <w:rPr>
          <w:rFonts w:hint="eastAsia" w:ascii="仿宋" w:hAnsi="仿宋" w:eastAsia="仿宋" w:cs="仿宋"/>
          <w:b/>
          <w:bCs/>
          <w:szCs w:val="28"/>
          <w:lang w:eastAsia="zh-CN"/>
        </w:rPr>
        <w:t>）</w:t>
      </w:r>
      <w:r>
        <w:rPr>
          <w:rFonts w:hint="eastAsia" w:ascii="仿宋" w:hAnsi="仿宋" w:eastAsia="仿宋" w:cs="仿宋"/>
          <w:b/>
          <w:bCs/>
          <w:szCs w:val="28"/>
        </w:rPr>
        <w:t>公众评判法</w:t>
      </w:r>
      <w:bookmarkEnd w:id="111"/>
      <w:bookmarkEnd w:id="112"/>
      <w:bookmarkEnd w:id="113"/>
      <w:bookmarkEnd w:id="114"/>
    </w:p>
    <w:p>
      <w:pPr>
        <w:ind w:firstLine="560" w:firstLineChars="200"/>
        <w:rPr>
          <w:rFonts w:ascii="仿宋" w:hAnsi="仿宋" w:eastAsia="仿宋" w:cs="仿宋"/>
        </w:rPr>
      </w:pPr>
      <w:r>
        <w:rPr>
          <w:rFonts w:hint="eastAsia" w:ascii="仿宋" w:hAnsi="仿宋" w:eastAsia="仿宋" w:cs="仿宋"/>
        </w:rPr>
        <w:t>指通过专家评估、</w:t>
      </w:r>
      <w:r>
        <w:rPr>
          <w:rFonts w:hint="eastAsia" w:ascii="仿宋" w:hAnsi="仿宋" w:eastAsia="仿宋" w:cs="仿宋"/>
          <w:lang w:val="en-US" w:eastAsia="zh-CN"/>
        </w:rPr>
        <w:t>部门座谈</w:t>
      </w:r>
      <w:r>
        <w:rPr>
          <w:rFonts w:hint="eastAsia" w:ascii="仿宋" w:hAnsi="仿宋" w:eastAsia="仿宋" w:cs="仿宋"/>
        </w:rPr>
        <w:t>及</w:t>
      </w:r>
      <w:r>
        <w:rPr>
          <w:rFonts w:hint="eastAsia" w:ascii="仿宋" w:hAnsi="仿宋" w:eastAsia="仿宋" w:cs="仿宋"/>
          <w:lang w:val="en-US" w:eastAsia="zh-CN"/>
        </w:rPr>
        <w:t>实地考察</w:t>
      </w:r>
      <w:r>
        <w:rPr>
          <w:rFonts w:hint="eastAsia" w:ascii="仿宋" w:hAnsi="仿宋" w:eastAsia="仿宋" w:cs="仿宋"/>
        </w:rPr>
        <w:t>等方式进行评判的方法。一是通过与相关部门座谈，了解项目收支情况、组织管理情况；二是通过实地考察项目开展地，同相关人员交流，了解项目投入与实施过程的执行情况。</w:t>
      </w:r>
    </w:p>
    <w:bookmarkEnd w:id="67"/>
    <w:bookmarkEnd w:id="68"/>
    <w:p>
      <w:pPr>
        <w:spacing w:before="156" w:beforeLines="50" w:after="156" w:afterLines="50"/>
        <w:ind w:firstLine="643" w:firstLineChars="200"/>
        <w:outlineLvl w:val="1"/>
        <w:rPr>
          <w:rFonts w:ascii="仿宋" w:hAnsi="仿宋" w:eastAsia="仿宋" w:cs="仿宋"/>
          <w:b/>
          <w:bCs/>
          <w:sz w:val="32"/>
          <w:szCs w:val="32"/>
        </w:rPr>
      </w:pPr>
      <w:bookmarkStart w:id="115" w:name="_Toc20201"/>
      <w:bookmarkStart w:id="116" w:name="_Toc17208"/>
      <w:bookmarkStart w:id="117" w:name="_Toc12380"/>
      <w:bookmarkStart w:id="118" w:name="_Toc7575"/>
      <w:bookmarkStart w:id="119" w:name="_Toc1522479775"/>
      <w:r>
        <w:rPr>
          <w:rFonts w:hint="eastAsia" w:ascii="仿宋" w:hAnsi="仿宋" w:eastAsia="仿宋" w:cs="仿宋"/>
          <w:b/>
          <w:bCs/>
          <w:sz w:val="32"/>
          <w:szCs w:val="32"/>
        </w:rPr>
        <w:t>八、评价标准</w:t>
      </w:r>
      <w:bookmarkEnd w:id="115"/>
      <w:bookmarkEnd w:id="116"/>
      <w:bookmarkEnd w:id="117"/>
      <w:bookmarkEnd w:id="118"/>
      <w:bookmarkEnd w:id="119"/>
    </w:p>
    <w:p>
      <w:pPr>
        <w:ind w:firstLine="562"/>
        <w:outlineLvl w:val="2"/>
        <w:rPr>
          <w:rFonts w:ascii="仿宋" w:hAnsi="仿宋" w:eastAsia="仿宋" w:cs="仿宋"/>
          <w:b/>
          <w:bCs/>
          <w:szCs w:val="28"/>
        </w:rPr>
      </w:pPr>
      <w:bookmarkStart w:id="120" w:name="_Toc119967319"/>
      <w:bookmarkStart w:id="121" w:name="_Toc22649"/>
      <w:bookmarkStart w:id="122" w:name="_Toc24153"/>
      <w:bookmarkStart w:id="123" w:name="_Toc16873"/>
      <w:bookmarkStart w:id="124" w:name="_Toc28576"/>
      <w:r>
        <w:rPr>
          <w:rFonts w:hint="eastAsia" w:ascii="仿宋" w:hAnsi="仿宋" w:eastAsia="仿宋" w:cs="仿宋"/>
          <w:b/>
          <w:bCs/>
          <w:szCs w:val="28"/>
        </w:rPr>
        <w:t>（一</w:t>
      </w:r>
      <w:r>
        <w:rPr>
          <w:rFonts w:hint="eastAsia" w:ascii="仿宋" w:hAnsi="仿宋" w:eastAsia="仿宋" w:cs="仿宋"/>
          <w:b/>
          <w:bCs/>
          <w:szCs w:val="28"/>
          <w:lang w:eastAsia="zh-CN"/>
        </w:rPr>
        <w:t>）</w:t>
      </w:r>
      <w:r>
        <w:rPr>
          <w:rFonts w:hint="eastAsia" w:ascii="仿宋" w:hAnsi="仿宋" w:eastAsia="仿宋" w:cs="仿宋"/>
          <w:b/>
          <w:bCs/>
          <w:szCs w:val="28"/>
        </w:rPr>
        <w:t>评价标准</w:t>
      </w:r>
      <w:bookmarkEnd w:id="120"/>
      <w:bookmarkEnd w:id="121"/>
      <w:bookmarkEnd w:id="122"/>
      <w:bookmarkEnd w:id="123"/>
      <w:bookmarkEnd w:id="124"/>
    </w:p>
    <w:p>
      <w:pPr>
        <w:ind w:firstLine="560" w:firstLineChars="200"/>
        <w:rPr>
          <w:rFonts w:ascii="仿宋" w:hAnsi="仿宋" w:eastAsia="仿宋" w:cs="仿宋"/>
        </w:rPr>
      </w:pPr>
      <w:bookmarkStart w:id="125" w:name="_Hlk115356146"/>
      <w:r>
        <w:rPr>
          <w:rFonts w:hint="eastAsia" w:ascii="仿宋" w:hAnsi="仿宋" w:eastAsia="仿宋" w:cs="仿宋"/>
        </w:rPr>
        <w:t>绩效评价标准的设计中，主要是参照计划标准和行业标准制定。对于预先已制定了目标、计划、预算、定额类的指标，直接用实际情况与计划情况相比较来进行评价，对于预先没有制定计划目标的，一般行业标准来进行评价。</w:t>
      </w:r>
    </w:p>
    <w:p>
      <w:pPr>
        <w:ind w:firstLine="560" w:firstLineChars="200"/>
        <w:rPr>
          <w:rFonts w:ascii="仿宋" w:hAnsi="仿宋" w:eastAsia="仿宋" w:cs="仿宋"/>
        </w:rPr>
      </w:pPr>
      <w:r>
        <w:rPr>
          <w:rFonts w:hint="eastAsia" w:ascii="仿宋" w:hAnsi="仿宋" w:eastAsia="仿宋" w:cs="仿宋"/>
        </w:rPr>
        <w:t>1.计划标准。以预先制定的目标、计划、预算、定额等作为评价标准。</w:t>
      </w:r>
    </w:p>
    <w:p>
      <w:pPr>
        <w:ind w:firstLine="480" w:firstLineChars="200"/>
        <w:rPr>
          <w:rFonts w:hint="default" w:ascii="Times New Roman" w:hAnsi="Times New Roman" w:eastAsia="仿宋" w:cs="Times New Roman"/>
        </w:rPr>
      </w:pPr>
      <w:r>
        <w:rPr>
          <w:rFonts w:hint="eastAsia" w:ascii="仿宋" w:hAnsi="仿宋" w:eastAsia="仿宋" w:cs="仿宋"/>
          <w:sz w:val="24"/>
        </w:rPr>
        <w:t>2.</w:t>
      </w:r>
      <w:r>
        <w:rPr>
          <w:rFonts w:hint="eastAsia" w:ascii="仿宋" w:hAnsi="仿宋" w:eastAsia="仿宋" w:cs="仿宋"/>
        </w:rPr>
        <w:t>行业</w:t>
      </w:r>
      <w:r>
        <w:rPr>
          <w:rFonts w:hint="default" w:ascii="Times New Roman" w:hAnsi="Times New Roman" w:eastAsia="仿宋" w:cs="Times New Roman"/>
        </w:rPr>
        <w:t>标准。参照国家公布的行业指标数据制定的评价标准。如根据《住房和城乡建设部办公厅关于推动</w:t>
      </w:r>
      <w:r>
        <w:rPr>
          <w:rFonts w:hint="eastAsia" w:ascii="Times New Roman" w:hAnsi="Times New Roman" w:eastAsia="仿宋" w:cs="Times New Roman"/>
          <w:lang w:eastAsia="zh-CN"/>
        </w:rPr>
        <w:t>“</w:t>
      </w:r>
      <w:r>
        <w:rPr>
          <w:rFonts w:hint="default" w:ascii="Times New Roman" w:hAnsi="Times New Roman" w:eastAsia="仿宋" w:cs="Times New Roman"/>
        </w:rPr>
        <w:t>口袋公园</w:t>
      </w:r>
      <w:r>
        <w:rPr>
          <w:rFonts w:hint="eastAsia" w:ascii="Times New Roman" w:hAnsi="Times New Roman" w:eastAsia="仿宋" w:cs="Times New Roman"/>
          <w:lang w:eastAsia="zh-CN"/>
        </w:rPr>
        <w:t>”</w:t>
      </w:r>
      <w:r>
        <w:rPr>
          <w:rFonts w:hint="default" w:ascii="Times New Roman" w:hAnsi="Times New Roman" w:eastAsia="仿宋" w:cs="Times New Roman"/>
        </w:rPr>
        <w:t>建设的通知》（建办城函</w:t>
      </w:r>
      <w:r>
        <w:rPr>
          <w:rFonts w:hint="eastAsia" w:ascii="Times New Roman" w:hAnsi="Times New Roman" w:eastAsia="仿宋" w:cs="Times New Roman"/>
          <w:lang w:eastAsia="zh-CN"/>
        </w:rPr>
        <w:t>〔</w:t>
      </w:r>
      <w:r>
        <w:rPr>
          <w:rFonts w:hint="default" w:ascii="Times New Roman" w:hAnsi="Times New Roman" w:eastAsia="仿宋" w:cs="Times New Roman"/>
        </w:rPr>
        <w:t>2022</w:t>
      </w:r>
      <w:r>
        <w:rPr>
          <w:rFonts w:hint="eastAsia" w:ascii="Times New Roman" w:hAnsi="Times New Roman" w:eastAsia="仿宋" w:cs="Times New Roman"/>
          <w:lang w:eastAsia="zh-CN"/>
        </w:rPr>
        <w:t>〕</w:t>
      </w:r>
      <w:r>
        <w:rPr>
          <w:rFonts w:hint="default" w:ascii="Times New Roman" w:hAnsi="Times New Roman" w:eastAsia="仿宋" w:cs="Times New Roman"/>
        </w:rPr>
        <w:t>276号</w:t>
      </w:r>
      <w:r>
        <w:rPr>
          <w:rFonts w:hint="eastAsia" w:ascii="Times New Roman" w:hAnsi="Times New Roman" w:eastAsia="仿宋" w:cs="Times New Roman"/>
          <w:lang w:eastAsia="zh-CN"/>
        </w:rPr>
        <w:t>）</w:t>
      </w:r>
      <w:r>
        <w:rPr>
          <w:rFonts w:hint="default" w:ascii="Times New Roman" w:hAnsi="Times New Roman" w:eastAsia="仿宋" w:cs="Times New Roman"/>
        </w:rPr>
        <w:t>、国家计委、建设部《工程勘察设计收费标准》（2002年修订本</w:t>
      </w:r>
      <w:r>
        <w:rPr>
          <w:rFonts w:hint="eastAsia" w:ascii="Times New Roman" w:hAnsi="Times New Roman" w:eastAsia="仿宋" w:cs="Times New Roman"/>
          <w:lang w:eastAsia="zh-CN"/>
        </w:rPr>
        <w:t>）</w:t>
      </w:r>
      <w:r>
        <w:rPr>
          <w:rFonts w:hint="default" w:ascii="Times New Roman" w:hAnsi="Times New Roman" w:eastAsia="仿宋" w:cs="Times New Roman"/>
        </w:rPr>
        <w:t>中的相关规定作为评价标准。</w:t>
      </w:r>
    </w:p>
    <w:p>
      <w:pPr>
        <w:ind w:firstLine="562"/>
        <w:outlineLvl w:val="2"/>
        <w:rPr>
          <w:rFonts w:hint="default" w:ascii="Times New Roman" w:hAnsi="Times New Roman" w:eastAsia="仿宋" w:cs="Times New Roman"/>
          <w:b/>
          <w:bCs/>
          <w:szCs w:val="28"/>
        </w:rPr>
      </w:pPr>
      <w:bookmarkStart w:id="126" w:name="_Toc25832"/>
      <w:bookmarkStart w:id="127" w:name="_Toc29389"/>
      <w:bookmarkStart w:id="128" w:name="_Toc30297"/>
      <w:bookmarkStart w:id="129" w:name="_Toc12049"/>
      <w:r>
        <w:rPr>
          <w:rFonts w:hint="default" w:ascii="Times New Roman" w:hAnsi="Times New Roman" w:eastAsia="仿宋" w:cs="Times New Roman"/>
          <w:b/>
          <w:bCs/>
          <w:szCs w:val="28"/>
        </w:rPr>
        <w:t>（二</w:t>
      </w:r>
      <w:r>
        <w:rPr>
          <w:rFonts w:hint="eastAsia" w:ascii="Times New Roman" w:hAnsi="Times New Roman" w:eastAsia="仿宋" w:cs="Times New Roman"/>
          <w:b/>
          <w:bCs/>
          <w:szCs w:val="28"/>
          <w:lang w:eastAsia="zh-CN"/>
        </w:rPr>
        <w:t>）</w:t>
      </w:r>
      <w:r>
        <w:rPr>
          <w:rFonts w:hint="default" w:ascii="Times New Roman" w:hAnsi="Times New Roman" w:eastAsia="仿宋" w:cs="Times New Roman"/>
          <w:b/>
          <w:bCs/>
          <w:szCs w:val="28"/>
        </w:rPr>
        <w:t>评价依据</w:t>
      </w:r>
      <w:bookmarkEnd w:id="126"/>
      <w:bookmarkEnd w:id="127"/>
      <w:bookmarkEnd w:id="128"/>
      <w:bookmarkEnd w:id="129"/>
    </w:p>
    <w:p>
      <w:pPr>
        <w:ind w:firstLine="560" w:firstLineChars="200"/>
        <w:rPr>
          <w:rFonts w:hint="eastAsia" w:ascii="Times New Roman" w:hAnsi="Times New Roman" w:eastAsia="仿宋" w:cs="Times New Roman"/>
          <w:lang w:eastAsia="zh-CN"/>
        </w:rPr>
      </w:pPr>
      <w:r>
        <w:rPr>
          <w:rFonts w:hint="default" w:ascii="Times New Roman" w:hAnsi="Times New Roman" w:eastAsia="仿宋" w:cs="Times New Roman"/>
        </w:rPr>
        <w:t>1.《中华人民共和国预算法》（2018年修订</w:t>
      </w:r>
      <w:r>
        <w:rPr>
          <w:rFonts w:hint="eastAsia" w:ascii="Times New Roman" w:hAnsi="Times New Roman" w:eastAsia="仿宋" w:cs="Times New Roman"/>
          <w:lang w:eastAsia="zh-CN"/>
        </w:rPr>
        <w:t>）</w:t>
      </w:r>
    </w:p>
    <w:p>
      <w:pPr>
        <w:ind w:firstLine="560" w:firstLineChars="200"/>
        <w:rPr>
          <w:rFonts w:hint="eastAsia" w:ascii="Times New Roman" w:hAnsi="Times New Roman" w:eastAsia="仿宋" w:cs="Times New Roman"/>
          <w:lang w:eastAsia="zh-CN"/>
        </w:rPr>
      </w:pPr>
      <w:r>
        <w:rPr>
          <w:rFonts w:hint="default" w:ascii="Times New Roman" w:hAnsi="Times New Roman" w:eastAsia="仿宋" w:cs="Times New Roman"/>
        </w:rPr>
        <w:t>2.中华人民共和国预算法实施条例（中华人民共和国国务院令第729号</w:t>
      </w:r>
      <w:r>
        <w:rPr>
          <w:rFonts w:hint="eastAsia" w:ascii="Times New Roman" w:hAnsi="Times New Roman" w:eastAsia="仿宋" w:cs="Times New Roman"/>
          <w:lang w:eastAsia="zh-CN"/>
        </w:rPr>
        <w:t>）</w:t>
      </w:r>
    </w:p>
    <w:p>
      <w:pPr>
        <w:ind w:firstLine="560" w:firstLineChars="200"/>
        <w:rPr>
          <w:rFonts w:hint="eastAsia" w:ascii="Times New Roman" w:hAnsi="Times New Roman" w:eastAsia="仿宋" w:cs="Times New Roman"/>
          <w:lang w:eastAsia="zh-CN"/>
        </w:rPr>
      </w:pPr>
      <w:r>
        <w:rPr>
          <w:rFonts w:hint="default" w:ascii="Times New Roman" w:hAnsi="Times New Roman" w:eastAsia="仿宋" w:cs="Times New Roman"/>
        </w:rPr>
        <w:t>3.《中共中央 国务院关于全面实施预算绩效管理的意见》（中发</w:t>
      </w:r>
      <w:r>
        <w:rPr>
          <w:rFonts w:hint="eastAsia" w:ascii="Times New Roman" w:hAnsi="Times New Roman" w:eastAsia="仿宋" w:cs="Times New Roman"/>
          <w:lang w:eastAsia="zh-CN"/>
        </w:rPr>
        <w:t>〔</w:t>
      </w:r>
      <w:r>
        <w:rPr>
          <w:rFonts w:hint="default" w:ascii="Times New Roman" w:hAnsi="Times New Roman" w:eastAsia="仿宋" w:cs="Times New Roman"/>
        </w:rPr>
        <w:t>2018</w:t>
      </w:r>
      <w:r>
        <w:rPr>
          <w:rFonts w:hint="eastAsia" w:ascii="Times New Roman" w:hAnsi="Times New Roman" w:eastAsia="仿宋" w:cs="Times New Roman"/>
          <w:lang w:eastAsia="zh-CN"/>
        </w:rPr>
        <w:t>〕</w:t>
      </w:r>
      <w:r>
        <w:rPr>
          <w:rFonts w:hint="default" w:ascii="Times New Roman" w:hAnsi="Times New Roman" w:eastAsia="仿宋" w:cs="Times New Roman"/>
        </w:rPr>
        <w:t>34 号</w:t>
      </w:r>
      <w:r>
        <w:rPr>
          <w:rFonts w:hint="eastAsia" w:ascii="Times New Roman" w:hAnsi="Times New Roman" w:eastAsia="仿宋" w:cs="Times New Roman"/>
          <w:lang w:eastAsia="zh-CN"/>
        </w:rPr>
        <w:t>）</w:t>
      </w:r>
    </w:p>
    <w:p>
      <w:pPr>
        <w:ind w:firstLine="560" w:firstLineChars="200"/>
        <w:rPr>
          <w:rFonts w:hint="eastAsia" w:ascii="Times New Roman" w:hAnsi="Times New Roman" w:eastAsia="仿宋" w:cs="Times New Roman"/>
          <w:lang w:eastAsia="zh-CN"/>
        </w:rPr>
      </w:pPr>
      <w:r>
        <w:rPr>
          <w:rFonts w:hint="default" w:ascii="Times New Roman" w:hAnsi="Times New Roman" w:eastAsia="仿宋" w:cs="Times New Roman"/>
        </w:rPr>
        <w:t>4.《关于贯彻落实&lt;中共中央 国务院关于全面实施预算绩效管理的意见&gt;的通知》（财预</w:t>
      </w:r>
      <w:r>
        <w:rPr>
          <w:rFonts w:hint="eastAsia" w:ascii="Times New Roman" w:hAnsi="Times New Roman" w:eastAsia="仿宋" w:cs="Times New Roman"/>
          <w:lang w:eastAsia="zh-CN"/>
        </w:rPr>
        <w:t>〔</w:t>
      </w:r>
      <w:r>
        <w:rPr>
          <w:rFonts w:hint="default" w:ascii="Times New Roman" w:hAnsi="Times New Roman" w:eastAsia="仿宋" w:cs="Times New Roman"/>
        </w:rPr>
        <w:t>2018</w:t>
      </w:r>
      <w:r>
        <w:rPr>
          <w:rFonts w:hint="eastAsia" w:ascii="Times New Roman" w:hAnsi="Times New Roman" w:eastAsia="仿宋" w:cs="Times New Roman"/>
          <w:lang w:eastAsia="zh-CN"/>
        </w:rPr>
        <w:t>〕</w:t>
      </w:r>
      <w:r>
        <w:rPr>
          <w:rFonts w:hint="default" w:ascii="Times New Roman" w:hAnsi="Times New Roman" w:eastAsia="仿宋" w:cs="Times New Roman"/>
        </w:rPr>
        <w:t>167号</w:t>
      </w:r>
      <w:r>
        <w:rPr>
          <w:rFonts w:hint="eastAsia" w:ascii="Times New Roman" w:hAnsi="Times New Roman" w:eastAsia="仿宋" w:cs="Times New Roman"/>
          <w:lang w:eastAsia="zh-CN"/>
        </w:rPr>
        <w:t>）</w:t>
      </w:r>
    </w:p>
    <w:p>
      <w:pPr>
        <w:ind w:firstLine="560" w:firstLineChars="200"/>
        <w:rPr>
          <w:rFonts w:hint="eastAsia" w:ascii="Times New Roman" w:hAnsi="Times New Roman" w:eastAsia="仿宋" w:cs="Times New Roman"/>
          <w:lang w:eastAsia="zh-CN"/>
        </w:rPr>
      </w:pPr>
      <w:r>
        <w:rPr>
          <w:rFonts w:hint="default" w:ascii="Times New Roman" w:hAnsi="Times New Roman" w:eastAsia="仿宋" w:cs="Times New Roman"/>
        </w:rPr>
        <w:t>5.《关于印发&lt;项目支出绩效评价管理办法&gt;的通知》（财预</w:t>
      </w:r>
      <w:r>
        <w:rPr>
          <w:rFonts w:hint="eastAsia" w:ascii="Times New Roman" w:hAnsi="Times New Roman" w:eastAsia="仿宋" w:cs="Times New Roman"/>
          <w:lang w:eastAsia="zh-CN"/>
        </w:rPr>
        <w:t>〔</w:t>
      </w:r>
      <w:r>
        <w:rPr>
          <w:rFonts w:hint="default" w:ascii="Times New Roman" w:hAnsi="Times New Roman" w:eastAsia="仿宋" w:cs="Times New Roman"/>
        </w:rPr>
        <w:t>2020</w:t>
      </w:r>
      <w:r>
        <w:rPr>
          <w:rFonts w:hint="eastAsia" w:ascii="Times New Roman" w:hAnsi="Times New Roman" w:eastAsia="仿宋" w:cs="Times New Roman"/>
          <w:lang w:eastAsia="zh-CN"/>
        </w:rPr>
        <w:t>〕</w:t>
      </w:r>
      <w:r>
        <w:rPr>
          <w:rFonts w:hint="default" w:ascii="Times New Roman" w:hAnsi="Times New Roman" w:eastAsia="仿宋" w:cs="Times New Roman"/>
        </w:rPr>
        <w:t>10号</w:t>
      </w:r>
      <w:r>
        <w:rPr>
          <w:rFonts w:hint="eastAsia" w:ascii="Times New Roman" w:hAnsi="Times New Roman" w:eastAsia="仿宋" w:cs="Times New Roman"/>
          <w:lang w:eastAsia="zh-CN"/>
        </w:rPr>
        <w:t>）</w:t>
      </w:r>
    </w:p>
    <w:p>
      <w:pPr>
        <w:ind w:firstLine="560" w:firstLineChars="200"/>
        <w:rPr>
          <w:rFonts w:hint="eastAsia" w:ascii="Times New Roman" w:hAnsi="Times New Roman" w:eastAsia="仿宋" w:cs="Times New Roman"/>
          <w:lang w:eastAsia="zh-CN"/>
        </w:rPr>
      </w:pPr>
      <w:r>
        <w:rPr>
          <w:rFonts w:hint="default" w:ascii="Times New Roman" w:hAnsi="Times New Roman" w:eastAsia="仿宋" w:cs="Times New Roman"/>
        </w:rPr>
        <w:t>6.《国务院关于进一步深化预算管理制度改革的意见》（国发</w:t>
      </w:r>
      <w:r>
        <w:rPr>
          <w:rFonts w:hint="eastAsia" w:ascii="Times New Roman" w:hAnsi="Times New Roman" w:eastAsia="仿宋" w:cs="Times New Roman"/>
          <w:lang w:eastAsia="zh-CN"/>
        </w:rPr>
        <w:t>〔</w:t>
      </w:r>
      <w:r>
        <w:rPr>
          <w:rFonts w:hint="default" w:ascii="Times New Roman" w:hAnsi="Times New Roman" w:eastAsia="仿宋" w:cs="Times New Roman"/>
        </w:rPr>
        <w:t>2021</w:t>
      </w:r>
      <w:r>
        <w:rPr>
          <w:rFonts w:hint="eastAsia" w:ascii="Times New Roman" w:hAnsi="Times New Roman" w:eastAsia="仿宋" w:cs="Times New Roman"/>
          <w:lang w:eastAsia="zh-CN"/>
        </w:rPr>
        <w:t>〕</w:t>
      </w:r>
      <w:r>
        <w:rPr>
          <w:rFonts w:hint="default" w:ascii="Times New Roman" w:hAnsi="Times New Roman" w:eastAsia="仿宋" w:cs="Times New Roman"/>
        </w:rPr>
        <w:t>5号</w:t>
      </w:r>
      <w:r>
        <w:rPr>
          <w:rFonts w:hint="eastAsia" w:ascii="Times New Roman" w:hAnsi="Times New Roman" w:eastAsia="仿宋" w:cs="Times New Roman"/>
          <w:lang w:eastAsia="zh-CN"/>
        </w:rPr>
        <w:t>）</w:t>
      </w:r>
    </w:p>
    <w:p>
      <w:pPr>
        <w:ind w:firstLine="560" w:firstLineChars="200"/>
        <w:rPr>
          <w:rFonts w:hint="eastAsia" w:ascii="Times New Roman" w:hAnsi="Times New Roman" w:eastAsia="仿宋" w:cs="Times New Roman"/>
          <w:lang w:eastAsia="zh-CN"/>
        </w:rPr>
      </w:pPr>
      <w:r>
        <w:rPr>
          <w:rFonts w:hint="default" w:ascii="Times New Roman" w:hAnsi="Times New Roman" w:eastAsia="仿宋" w:cs="Times New Roman"/>
        </w:rPr>
        <w:t>7.《关于开展2022年为民办实事工作的通知》（闽委</w:t>
      </w:r>
      <w:r>
        <w:rPr>
          <w:rFonts w:hint="eastAsia" w:ascii="Times New Roman" w:hAnsi="Times New Roman" w:eastAsia="仿宋" w:cs="Times New Roman"/>
          <w:lang w:eastAsia="zh-CN"/>
        </w:rPr>
        <w:t>〔</w:t>
      </w:r>
      <w:r>
        <w:rPr>
          <w:rFonts w:hint="default" w:ascii="Times New Roman" w:hAnsi="Times New Roman" w:eastAsia="仿宋" w:cs="Times New Roman"/>
        </w:rPr>
        <w:t>2022</w:t>
      </w:r>
      <w:r>
        <w:rPr>
          <w:rFonts w:hint="eastAsia" w:ascii="Times New Roman" w:hAnsi="Times New Roman" w:eastAsia="仿宋" w:cs="Times New Roman"/>
          <w:lang w:eastAsia="zh-CN"/>
        </w:rPr>
        <w:t>〕</w:t>
      </w:r>
      <w:r>
        <w:rPr>
          <w:rFonts w:hint="default" w:ascii="Times New Roman" w:hAnsi="Times New Roman" w:eastAsia="仿宋" w:cs="Times New Roman"/>
        </w:rPr>
        <w:t>17号</w:t>
      </w:r>
      <w:r>
        <w:rPr>
          <w:rFonts w:hint="eastAsia" w:ascii="Times New Roman" w:hAnsi="Times New Roman" w:eastAsia="仿宋" w:cs="Times New Roman"/>
          <w:lang w:eastAsia="zh-CN"/>
        </w:rPr>
        <w:t>）</w:t>
      </w:r>
    </w:p>
    <w:p>
      <w:pPr>
        <w:ind w:firstLine="560" w:firstLineChars="200"/>
        <w:rPr>
          <w:rFonts w:hint="eastAsia" w:ascii="Times New Roman" w:hAnsi="Times New Roman" w:eastAsia="仿宋" w:cs="Times New Roman"/>
          <w:lang w:eastAsia="zh-CN"/>
        </w:rPr>
      </w:pPr>
      <w:r>
        <w:rPr>
          <w:rFonts w:hint="default" w:ascii="Times New Roman" w:hAnsi="Times New Roman" w:eastAsia="仿宋" w:cs="Times New Roman"/>
        </w:rPr>
        <w:t>8.《加强全民健身场地设施建设发展群众体育实施方案》（闽政办</w:t>
      </w:r>
      <w:r>
        <w:rPr>
          <w:rFonts w:hint="eastAsia" w:ascii="Times New Roman" w:hAnsi="Times New Roman" w:eastAsia="仿宋" w:cs="Times New Roman"/>
          <w:lang w:eastAsia="zh-CN"/>
        </w:rPr>
        <w:t>〔</w:t>
      </w:r>
      <w:r>
        <w:rPr>
          <w:rFonts w:hint="default" w:ascii="Times New Roman" w:hAnsi="Times New Roman" w:eastAsia="仿宋" w:cs="Times New Roman"/>
        </w:rPr>
        <w:t>2021</w:t>
      </w:r>
      <w:r>
        <w:rPr>
          <w:rFonts w:hint="eastAsia" w:ascii="Times New Roman" w:hAnsi="Times New Roman" w:eastAsia="仿宋" w:cs="Times New Roman"/>
          <w:lang w:eastAsia="zh-CN"/>
        </w:rPr>
        <w:t>〕</w:t>
      </w:r>
      <w:r>
        <w:rPr>
          <w:rFonts w:hint="default" w:ascii="Times New Roman" w:hAnsi="Times New Roman" w:eastAsia="仿宋" w:cs="Times New Roman"/>
        </w:rPr>
        <w:t>33号</w:t>
      </w:r>
      <w:r>
        <w:rPr>
          <w:rFonts w:hint="eastAsia" w:ascii="Times New Roman" w:hAnsi="Times New Roman" w:eastAsia="仿宋" w:cs="Times New Roman"/>
          <w:lang w:eastAsia="zh-CN"/>
        </w:rPr>
        <w:t>）</w:t>
      </w:r>
    </w:p>
    <w:p>
      <w:pPr>
        <w:ind w:firstLine="560" w:firstLineChars="200"/>
        <w:rPr>
          <w:rFonts w:hint="eastAsia" w:ascii="Times New Roman" w:hAnsi="Times New Roman" w:eastAsia="仿宋" w:cs="Times New Roman"/>
          <w:szCs w:val="28"/>
          <w:lang w:eastAsia="zh-CN"/>
        </w:rPr>
      </w:pPr>
      <w:r>
        <w:rPr>
          <w:rFonts w:hint="default" w:ascii="Times New Roman" w:hAnsi="Times New Roman" w:eastAsia="仿宋" w:cs="Times New Roman"/>
          <w:szCs w:val="28"/>
        </w:rPr>
        <w:t>9.《泉州市全民健身领导小组办公室关于2022年泉州市口袋健身公园项目建设的通知》（泉健办</w:t>
      </w:r>
      <w:r>
        <w:rPr>
          <w:rFonts w:hint="eastAsia" w:ascii="Times New Roman" w:hAnsi="Times New Roman" w:eastAsia="仿宋" w:cs="Times New Roman"/>
          <w:szCs w:val="28"/>
          <w:lang w:eastAsia="zh-CN"/>
        </w:rPr>
        <w:t>〔</w:t>
      </w:r>
      <w:r>
        <w:rPr>
          <w:rFonts w:hint="default" w:ascii="Times New Roman" w:hAnsi="Times New Roman" w:eastAsia="仿宋" w:cs="Times New Roman"/>
          <w:szCs w:val="28"/>
        </w:rPr>
        <w:t>2022</w:t>
      </w:r>
      <w:r>
        <w:rPr>
          <w:rFonts w:hint="eastAsia" w:ascii="Times New Roman" w:hAnsi="Times New Roman" w:eastAsia="仿宋" w:cs="Times New Roman"/>
          <w:szCs w:val="28"/>
          <w:lang w:eastAsia="zh-CN"/>
        </w:rPr>
        <w:t>〕</w:t>
      </w:r>
      <w:r>
        <w:rPr>
          <w:rFonts w:hint="default" w:ascii="Times New Roman" w:hAnsi="Times New Roman" w:eastAsia="仿宋" w:cs="Times New Roman"/>
          <w:szCs w:val="28"/>
        </w:rPr>
        <w:t>3号</w:t>
      </w:r>
      <w:r>
        <w:rPr>
          <w:rFonts w:hint="eastAsia" w:ascii="Times New Roman" w:hAnsi="Times New Roman" w:eastAsia="仿宋" w:cs="Times New Roman"/>
          <w:szCs w:val="28"/>
          <w:lang w:eastAsia="zh-CN"/>
        </w:rPr>
        <w:t>）</w:t>
      </w:r>
    </w:p>
    <w:p>
      <w:pPr>
        <w:ind w:firstLine="560" w:firstLineChars="200"/>
        <w:rPr>
          <w:rFonts w:hint="eastAsia" w:ascii="Times New Roman" w:hAnsi="Times New Roman" w:eastAsia="仿宋" w:cs="Times New Roman"/>
          <w:szCs w:val="28"/>
          <w:lang w:eastAsia="zh-CN"/>
        </w:rPr>
      </w:pPr>
      <w:r>
        <w:rPr>
          <w:rFonts w:hint="default" w:ascii="Times New Roman" w:hAnsi="Times New Roman" w:eastAsia="仿宋" w:cs="Times New Roman"/>
          <w:szCs w:val="28"/>
        </w:rPr>
        <w:t>10.《惠安县人民政府办公室关于2022年县政府工作报告目标任务责任分解的通知》（惠政办</w:t>
      </w:r>
      <w:r>
        <w:rPr>
          <w:rFonts w:hint="eastAsia" w:ascii="Times New Roman" w:hAnsi="Times New Roman" w:eastAsia="仿宋" w:cs="Times New Roman"/>
          <w:szCs w:val="28"/>
          <w:lang w:eastAsia="zh-CN"/>
        </w:rPr>
        <w:t>〔</w:t>
      </w:r>
      <w:r>
        <w:rPr>
          <w:rFonts w:hint="default" w:ascii="Times New Roman" w:hAnsi="Times New Roman" w:eastAsia="仿宋" w:cs="Times New Roman"/>
          <w:szCs w:val="28"/>
        </w:rPr>
        <w:t>2022</w:t>
      </w:r>
      <w:r>
        <w:rPr>
          <w:rFonts w:hint="eastAsia" w:ascii="Times New Roman" w:hAnsi="Times New Roman" w:eastAsia="仿宋" w:cs="Times New Roman"/>
          <w:szCs w:val="28"/>
          <w:lang w:eastAsia="zh-CN"/>
        </w:rPr>
        <w:t>〕</w:t>
      </w:r>
      <w:r>
        <w:rPr>
          <w:rFonts w:hint="default" w:ascii="Times New Roman" w:hAnsi="Times New Roman" w:eastAsia="仿宋" w:cs="Times New Roman"/>
          <w:szCs w:val="28"/>
        </w:rPr>
        <w:t>3号</w:t>
      </w:r>
      <w:r>
        <w:rPr>
          <w:rFonts w:hint="eastAsia" w:ascii="Times New Roman" w:hAnsi="Times New Roman" w:eastAsia="仿宋" w:cs="Times New Roman"/>
          <w:szCs w:val="28"/>
          <w:lang w:eastAsia="zh-CN"/>
        </w:rPr>
        <w:t>）</w:t>
      </w:r>
    </w:p>
    <w:p>
      <w:pPr>
        <w:ind w:firstLine="560" w:firstLineChars="200"/>
        <w:rPr>
          <w:rFonts w:hint="default" w:ascii="Times New Roman" w:hAnsi="Times New Roman" w:eastAsia="仿宋" w:cs="Times New Roman"/>
        </w:rPr>
      </w:pPr>
      <w:r>
        <w:rPr>
          <w:rFonts w:hint="default" w:ascii="Times New Roman" w:hAnsi="Times New Roman" w:eastAsia="仿宋" w:cs="Times New Roman"/>
          <w:szCs w:val="28"/>
        </w:rPr>
        <w:t>11.</w:t>
      </w:r>
      <w:r>
        <w:rPr>
          <w:rFonts w:hint="default" w:ascii="Times New Roman" w:hAnsi="Times New Roman" w:eastAsia="仿宋" w:cs="Times New Roman"/>
        </w:rPr>
        <w:t>《惠安县专项资金管理暂行办法》</w:t>
      </w:r>
    </w:p>
    <w:p>
      <w:pPr>
        <w:pStyle w:val="10"/>
        <w:spacing w:before="0" w:beforeAutospacing="0" w:after="0" w:afterAutospacing="0" w:line="360" w:lineRule="auto"/>
        <w:ind w:firstLine="560" w:firstLineChars="200"/>
        <w:jc w:val="both"/>
        <w:rPr>
          <w:rFonts w:hint="eastAsia" w:ascii="Times New Roman" w:hAnsi="Times New Roman" w:eastAsia="仿宋" w:cs="Times New Roman"/>
          <w:sz w:val="28"/>
          <w:szCs w:val="28"/>
          <w:lang w:eastAsia="zh-CN"/>
        </w:rPr>
      </w:pPr>
      <w:bookmarkStart w:id="130" w:name="_Hlk115356493"/>
      <w:r>
        <w:rPr>
          <w:rFonts w:hint="default" w:ascii="Times New Roman" w:hAnsi="Times New Roman" w:eastAsia="仿宋" w:cs="Times New Roman"/>
          <w:sz w:val="28"/>
          <w:szCs w:val="28"/>
        </w:rPr>
        <w:t>12.《中共惠安县委办公室惠安县人民政府办公室关于印发&lt;2021年全县城乡建设品质提升实施方案&gt;的通知》（惠委办</w:t>
      </w:r>
      <w:r>
        <w:rPr>
          <w:rFonts w:hint="eastAsia" w:ascii="Times New Roman" w:hAnsi="Times New Roman" w:eastAsia="仿宋" w:cs="Times New Roman"/>
          <w:sz w:val="28"/>
          <w:szCs w:val="28"/>
          <w:lang w:eastAsia="zh-CN"/>
        </w:rPr>
        <w:t>〔</w:t>
      </w:r>
      <w:r>
        <w:rPr>
          <w:rFonts w:hint="default" w:ascii="Times New Roman" w:hAnsi="Times New Roman" w:eastAsia="仿宋" w:cs="Times New Roman"/>
          <w:sz w:val="28"/>
          <w:szCs w:val="28"/>
        </w:rPr>
        <w:t>2021</w:t>
      </w:r>
      <w:r>
        <w:rPr>
          <w:rFonts w:hint="eastAsia" w:ascii="Times New Roman" w:hAnsi="Times New Roman" w:eastAsia="仿宋" w:cs="Times New Roman"/>
          <w:sz w:val="28"/>
          <w:szCs w:val="28"/>
          <w:lang w:eastAsia="zh-CN"/>
        </w:rPr>
        <w:t>〕</w:t>
      </w:r>
      <w:r>
        <w:rPr>
          <w:rFonts w:hint="default" w:ascii="Times New Roman" w:hAnsi="Times New Roman" w:eastAsia="仿宋" w:cs="Times New Roman"/>
          <w:sz w:val="28"/>
          <w:szCs w:val="28"/>
        </w:rPr>
        <w:t>12号</w:t>
      </w:r>
      <w:r>
        <w:rPr>
          <w:rFonts w:hint="eastAsia" w:ascii="Times New Roman" w:hAnsi="Times New Roman" w:eastAsia="仿宋" w:cs="Times New Roman"/>
          <w:sz w:val="28"/>
          <w:szCs w:val="28"/>
          <w:lang w:eastAsia="zh-CN"/>
        </w:rPr>
        <w:t>）</w:t>
      </w:r>
    </w:p>
    <w:p>
      <w:pPr>
        <w:pStyle w:val="10"/>
        <w:spacing w:before="0" w:beforeAutospacing="0" w:after="0" w:afterAutospacing="0" w:line="360" w:lineRule="auto"/>
        <w:ind w:firstLine="560" w:firstLineChars="200"/>
        <w:jc w:val="both"/>
        <w:rPr>
          <w:rFonts w:hint="eastAsia" w:ascii="Times New Roman" w:hAnsi="Times New Roman" w:eastAsia="仿宋" w:cs="Times New Roman"/>
          <w:sz w:val="28"/>
          <w:szCs w:val="28"/>
          <w:lang w:eastAsia="zh-CN"/>
        </w:rPr>
      </w:pPr>
      <w:r>
        <w:rPr>
          <w:rFonts w:hint="default" w:ascii="Times New Roman" w:hAnsi="Times New Roman" w:eastAsia="仿宋" w:cs="Times New Roman"/>
          <w:sz w:val="28"/>
          <w:szCs w:val="28"/>
        </w:rPr>
        <w:t>13.《中共惠安县城市管理局党组会议纪要》（惠城管党组纪要</w:t>
      </w:r>
      <w:r>
        <w:rPr>
          <w:rFonts w:hint="eastAsia" w:ascii="Times New Roman" w:hAnsi="Times New Roman" w:eastAsia="仿宋" w:cs="Times New Roman"/>
          <w:sz w:val="28"/>
          <w:szCs w:val="28"/>
          <w:lang w:eastAsia="zh-CN"/>
        </w:rPr>
        <w:t>〔</w:t>
      </w:r>
      <w:r>
        <w:rPr>
          <w:rFonts w:hint="default" w:ascii="Times New Roman" w:hAnsi="Times New Roman" w:eastAsia="仿宋" w:cs="Times New Roman"/>
          <w:sz w:val="28"/>
          <w:szCs w:val="28"/>
        </w:rPr>
        <w:t>2021</w:t>
      </w:r>
      <w:r>
        <w:rPr>
          <w:rFonts w:hint="eastAsia" w:ascii="Times New Roman" w:hAnsi="Times New Roman" w:eastAsia="仿宋" w:cs="Times New Roman"/>
          <w:sz w:val="28"/>
          <w:szCs w:val="28"/>
          <w:lang w:eastAsia="zh-CN"/>
        </w:rPr>
        <w:t>〕</w:t>
      </w:r>
      <w:r>
        <w:rPr>
          <w:rFonts w:hint="default" w:ascii="Times New Roman" w:hAnsi="Times New Roman" w:eastAsia="仿宋" w:cs="Times New Roman"/>
          <w:sz w:val="28"/>
          <w:szCs w:val="28"/>
        </w:rPr>
        <w:t>6号</w:t>
      </w:r>
      <w:r>
        <w:rPr>
          <w:rFonts w:hint="eastAsia" w:ascii="Times New Roman" w:hAnsi="Times New Roman" w:eastAsia="仿宋" w:cs="Times New Roman"/>
          <w:sz w:val="28"/>
          <w:szCs w:val="28"/>
          <w:lang w:eastAsia="zh-CN"/>
        </w:rPr>
        <w:t>）</w:t>
      </w:r>
    </w:p>
    <w:p>
      <w:pPr>
        <w:pStyle w:val="10"/>
        <w:spacing w:before="0" w:beforeAutospacing="0" w:after="0" w:afterAutospacing="0" w:line="360" w:lineRule="auto"/>
        <w:ind w:firstLine="560" w:firstLineChars="200"/>
        <w:jc w:val="both"/>
        <w:rPr>
          <w:rFonts w:hint="eastAsia" w:ascii="Times New Roman" w:hAnsi="Times New Roman" w:eastAsia="仿宋" w:cs="Times New Roman"/>
          <w:sz w:val="28"/>
          <w:szCs w:val="28"/>
          <w:lang w:eastAsia="zh-CN"/>
        </w:rPr>
      </w:pPr>
      <w:r>
        <w:rPr>
          <w:rFonts w:hint="default" w:ascii="Times New Roman" w:hAnsi="Times New Roman" w:eastAsia="仿宋" w:cs="Times New Roman"/>
          <w:sz w:val="28"/>
          <w:szCs w:val="28"/>
        </w:rPr>
        <w:t>14.《中共惠安县委惠安县人民政府关于确定2021年全国文明城市创建达标提升项目的通知》（惠委</w:t>
      </w:r>
      <w:r>
        <w:rPr>
          <w:rFonts w:hint="eastAsia" w:ascii="Times New Roman" w:hAnsi="Times New Roman" w:eastAsia="仿宋" w:cs="Times New Roman"/>
          <w:sz w:val="28"/>
          <w:szCs w:val="28"/>
          <w:lang w:eastAsia="zh-CN"/>
        </w:rPr>
        <w:t>〔</w:t>
      </w:r>
      <w:r>
        <w:rPr>
          <w:rFonts w:hint="default" w:ascii="Times New Roman" w:hAnsi="Times New Roman" w:eastAsia="仿宋" w:cs="Times New Roman"/>
          <w:sz w:val="28"/>
          <w:szCs w:val="28"/>
        </w:rPr>
        <w:t>2021</w:t>
      </w:r>
      <w:r>
        <w:rPr>
          <w:rFonts w:hint="eastAsia" w:ascii="Times New Roman" w:hAnsi="Times New Roman" w:eastAsia="仿宋" w:cs="Times New Roman"/>
          <w:sz w:val="28"/>
          <w:szCs w:val="28"/>
          <w:lang w:eastAsia="zh-CN"/>
        </w:rPr>
        <w:t>〕</w:t>
      </w:r>
      <w:r>
        <w:rPr>
          <w:rFonts w:hint="default" w:ascii="Times New Roman" w:hAnsi="Times New Roman" w:eastAsia="仿宋" w:cs="Times New Roman"/>
          <w:sz w:val="28"/>
          <w:szCs w:val="28"/>
        </w:rPr>
        <w:t>13号</w:t>
      </w:r>
      <w:r>
        <w:rPr>
          <w:rFonts w:hint="eastAsia" w:ascii="Times New Roman" w:hAnsi="Times New Roman" w:eastAsia="仿宋" w:cs="Times New Roman"/>
          <w:sz w:val="28"/>
          <w:szCs w:val="28"/>
          <w:lang w:eastAsia="zh-CN"/>
        </w:rPr>
        <w:t>）</w:t>
      </w:r>
    </w:p>
    <w:p>
      <w:pPr>
        <w:ind w:firstLine="560" w:firstLineChars="200"/>
        <w:rPr>
          <w:rFonts w:hint="default" w:ascii="Times New Roman" w:hAnsi="Times New Roman" w:eastAsia="仿宋" w:cs="Times New Roman"/>
        </w:rPr>
      </w:pPr>
      <w:r>
        <w:rPr>
          <w:rFonts w:hint="default" w:ascii="Times New Roman" w:hAnsi="Times New Roman" w:eastAsia="仿宋" w:cs="Times New Roman"/>
          <w:kern w:val="0"/>
          <w:szCs w:val="28"/>
        </w:rPr>
        <w:t>15</w:t>
      </w:r>
      <w:r>
        <w:rPr>
          <w:rFonts w:hint="default" w:ascii="Times New Roman" w:hAnsi="Times New Roman" w:eastAsia="仿宋" w:cs="Times New Roman"/>
          <w:szCs w:val="28"/>
        </w:rPr>
        <w:t>.</w:t>
      </w:r>
      <w:r>
        <w:rPr>
          <w:rFonts w:hint="default" w:ascii="Times New Roman" w:hAnsi="Times New Roman" w:eastAsia="仿宋" w:cs="Times New Roman"/>
        </w:rPr>
        <w:t>部门职责相关规定，相关行业政策、行业标准及专业技术规范及其他项目相关的政策、文件和管理办法等。</w:t>
      </w:r>
    </w:p>
    <w:bookmarkEnd w:id="125"/>
    <w:bookmarkEnd w:id="130"/>
    <w:p>
      <w:pPr>
        <w:spacing w:before="156" w:beforeLines="50" w:after="156" w:afterLines="50"/>
        <w:ind w:firstLine="643" w:firstLineChars="200"/>
        <w:outlineLvl w:val="1"/>
        <w:rPr>
          <w:rFonts w:ascii="仿宋" w:hAnsi="仿宋" w:eastAsia="仿宋" w:cs="仿宋"/>
          <w:b/>
          <w:bCs/>
          <w:sz w:val="32"/>
          <w:szCs w:val="32"/>
        </w:rPr>
      </w:pPr>
      <w:bookmarkStart w:id="131" w:name="_Toc3307"/>
      <w:bookmarkStart w:id="132" w:name="_Toc27740"/>
      <w:bookmarkStart w:id="133" w:name="_Toc9412"/>
      <w:bookmarkStart w:id="134" w:name="_Toc12670"/>
      <w:bookmarkStart w:id="135" w:name="_Toc913884773"/>
      <w:r>
        <w:rPr>
          <w:rFonts w:hint="eastAsia" w:ascii="仿宋" w:hAnsi="仿宋" w:eastAsia="仿宋" w:cs="仿宋"/>
          <w:b/>
          <w:bCs/>
          <w:sz w:val="32"/>
          <w:szCs w:val="32"/>
        </w:rPr>
        <w:t>九、评价开展过程</w:t>
      </w:r>
      <w:bookmarkEnd w:id="131"/>
      <w:bookmarkEnd w:id="132"/>
      <w:bookmarkEnd w:id="133"/>
      <w:bookmarkEnd w:id="134"/>
      <w:bookmarkEnd w:id="135"/>
    </w:p>
    <w:p>
      <w:pPr>
        <w:ind w:firstLine="560" w:firstLineChars="200"/>
        <w:rPr>
          <w:rFonts w:hint="default" w:ascii="Times New Roman" w:hAnsi="Times New Roman" w:eastAsia="仿宋" w:cs="Times New Roman"/>
        </w:rPr>
      </w:pPr>
      <w:bookmarkStart w:id="136" w:name="_Hlk115358607"/>
      <w:r>
        <w:rPr>
          <w:rFonts w:hint="eastAsia" w:ascii="仿宋" w:hAnsi="仿宋" w:eastAsia="仿宋" w:cs="仿宋"/>
        </w:rPr>
        <w:t>本次绩效评</w:t>
      </w:r>
      <w:r>
        <w:rPr>
          <w:rFonts w:hint="default" w:ascii="Times New Roman" w:hAnsi="Times New Roman" w:eastAsia="仿宋" w:cs="Times New Roman"/>
        </w:rPr>
        <w:t>价工作共经历前期准备、组织实施、报告形成三个阶段。</w:t>
      </w:r>
    </w:p>
    <w:p>
      <w:pPr>
        <w:ind w:firstLine="562" w:firstLineChars="200"/>
        <w:outlineLvl w:val="2"/>
        <w:rPr>
          <w:rFonts w:hint="default" w:ascii="Times New Roman" w:hAnsi="Times New Roman" w:eastAsia="仿宋" w:cs="Times New Roman"/>
          <w:b/>
          <w:bCs/>
          <w:szCs w:val="28"/>
        </w:rPr>
      </w:pPr>
      <w:bookmarkStart w:id="137" w:name="_Toc6702"/>
      <w:bookmarkStart w:id="138" w:name="_Toc14483"/>
      <w:bookmarkStart w:id="139" w:name="_Toc23055"/>
      <w:bookmarkStart w:id="140" w:name="_Toc11476"/>
      <w:r>
        <w:rPr>
          <w:rFonts w:hint="default" w:ascii="Times New Roman" w:hAnsi="Times New Roman" w:eastAsia="仿宋" w:cs="Times New Roman"/>
          <w:b/>
          <w:bCs/>
          <w:szCs w:val="28"/>
        </w:rPr>
        <w:t>（一</w:t>
      </w:r>
      <w:r>
        <w:rPr>
          <w:rFonts w:hint="eastAsia" w:ascii="Times New Roman" w:hAnsi="Times New Roman" w:eastAsia="仿宋" w:cs="Times New Roman"/>
          <w:b/>
          <w:bCs/>
          <w:szCs w:val="28"/>
          <w:lang w:eastAsia="zh-CN"/>
        </w:rPr>
        <w:t>）</w:t>
      </w:r>
      <w:r>
        <w:rPr>
          <w:rFonts w:hint="default" w:ascii="Times New Roman" w:hAnsi="Times New Roman" w:eastAsia="仿宋" w:cs="Times New Roman"/>
          <w:b/>
          <w:bCs/>
          <w:szCs w:val="28"/>
        </w:rPr>
        <w:t>前期准备阶段</w:t>
      </w:r>
      <w:bookmarkEnd w:id="137"/>
      <w:bookmarkEnd w:id="138"/>
      <w:bookmarkEnd w:id="139"/>
      <w:bookmarkEnd w:id="140"/>
    </w:p>
    <w:p>
      <w:pPr>
        <w:ind w:firstLine="560" w:firstLineChars="200"/>
        <w:rPr>
          <w:rFonts w:hint="default" w:ascii="Times New Roman" w:hAnsi="Times New Roman" w:eastAsia="仿宋" w:cs="Times New Roman"/>
        </w:rPr>
      </w:pPr>
      <w:r>
        <w:rPr>
          <w:rFonts w:hint="default" w:ascii="Times New Roman" w:hAnsi="Times New Roman" w:eastAsia="仿宋" w:cs="Times New Roman"/>
        </w:rPr>
        <w:t>1.成立绩效评价工作组</w:t>
      </w:r>
    </w:p>
    <w:p>
      <w:pPr>
        <w:ind w:firstLine="560" w:firstLineChars="200"/>
        <w:rPr>
          <w:rFonts w:hint="default" w:ascii="Times New Roman" w:hAnsi="Times New Roman" w:eastAsia="仿宋" w:cs="Times New Roman"/>
        </w:rPr>
      </w:pPr>
      <w:r>
        <w:rPr>
          <w:rFonts w:hint="default" w:ascii="Times New Roman" w:hAnsi="Times New Roman" w:eastAsia="仿宋" w:cs="Times New Roman"/>
        </w:rPr>
        <w:t>为做好项目的预算绩效评价工作，研究中心成立了专门的项目绩效评价工作组：福州市韦兰信息科技有限公司惠安财政重点绩效评价团队</w:t>
      </w:r>
    </w:p>
    <w:p>
      <w:pPr>
        <w:ind w:firstLine="560" w:firstLineChars="200"/>
        <w:rPr>
          <w:rFonts w:hint="default" w:ascii="Times New Roman" w:hAnsi="Times New Roman" w:eastAsia="仿宋" w:cs="Times New Roman"/>
          <w:szCs w:val="30"/>
        </w:rPr>
      </w:pPr>
      <w:r>
        <w:rPr>
          <w:rFonts w:hint="default" w:ascii="Times New Roman" w:hAnsi="Times New Roman" w:eastAsia="仿宋" w:cs="Times New Roman"/>
        </w:rPr>
        <w:t>2.资料收集与现场沟通</w:t>
      </w:r>
    </w:p>
    <w:p>
      <w:pPr>
        <w:ind w:firstLine="560" w:firstLineChars="200"/>
        <w:rPr>
          <w:rFonts w:hint="default" w:ascii="Times New Roman" w:hAnsi="Times New Roman" w:eastAsia="仿宋" w:cs="Times New Roman"/>
        </w:rPr>
      </w:pPr>
      <w:r>
        <w:rPr>
          <w:rFonts w:hint="default" w:ascii="Times New Roman" w:hAnsi="Times New Roman" w:eastAsia="仿宋" w:cs="Times New Roman"/>
        </w:rPr>
        <w:t>工作组在明确委托方要求的基础上，对惠安县财务局所收集的评价工作所需的基础材料（包括：项目绩效自评报告、绩效目标自评表及相关佐证材料；资金拨付材料；项目实施制度及资金管理办法；资金支出明细账、决算报表、结算验收有关材料</w:t>
      </w:r>
      <w:r>
        <w:rPr>
          <w:rFonts w:hint="eastAsia" w:ascii="Times New Roman" w:hAnsi="Times New Roman" w:eastAsia="仿宋" w:cs="Times New Roman"/>
          <w:lang w:eastAsia="zh-CN"/>
        </w:rPr>
        <w:t>）</w:t>
      </w:r>
      <w:r>
        <w:rPr>
          <w:rFonts w:hint="default" w:ascii="Times New Roman" w:hAnsi="Times New Roman" w:eastAsia="仿宋" w:cs="Times New Roman"/>
        </w:rPr>
        <w:t>，自行收集省内其他地市的相关政策及政策实施状况，其他相关文献资料等。2023年10月上旬开始，工作组对收集的数据和资料进行整理、汇总、分析。2023年10月，在惠安市财政局的支持下，通过实地调研和同项目相关部门会谈，初步了解项目设立和具体运行的情况。工作组在对项目相关资料充分收集的基础上，结合项目的实际情况，对评价指标体系进行了初步设置。</w:t>
      </w:r>
    </w:p>
    <w:p>
      <w:pPr>
        <w:ind w:firstLine="560" w:firstLineChars="200"/>
        <w:rPr>
          <w:rFonts w:hint="default" w:ascii="Times New Roman" w:hAnsi="Times New Roman" w:eastAsia="仿宋" w:cs="Times New Roman"/>
        </w:rPr>
      </w:pPr>
      <w:r>
        <w:rPr>
          <w:rFonts w:hint="default" w:ascii="Times New Roman" w:hAnsi="Times New Roman" w:eastAsia="仿宋" w:cs="Times New Roman"/>
        </w:rPr>
        <w:t>3.制定实施方案</w:t>
      </w:r>
    </w:p>
    <w:p>
      <w:pPr>
        <w:ind w:firstLine="560" w:firstLineChars="200"/>
        <w:rPr>
          <w:rFonts w:hint="default" w:ascii="Times New Roman" w:hAnsi="Times New Roman" w:eastAsia="仿宋" w:cs="Times New Roman"/>
        </w:rPr>
      </w:pPr>
      <w:r>
        <w:rPr>
          <w:rFonts w:hint="default" w:ascii="Times New Roman" w:hAnsi="Times New Roman" w:eastAsia="仿宋" w:cs="Times New Roman"/>
        </w:rPr>
        <w:t>在收集和审核项目资料的基础上，根据《第三方机构预算绩效评价业务监督管理暂行办法》（财监</w:t>
      </w:r>
      <w:r>
        <w:rPr>
          <w:rFonts w:hint="eastAsia" w:ascii="Times New Roman" w:hAnsi="Times New Roman" w:eastAsia="仿宋" w:cs="Times New Roman"/>
          <w:lang w:eastAsia="zh-CN"/>
        </w:rPr>
        <w:t>〔</w:t>
      </w:r>
      <w:r>
        <w:rPr>
          <w:rFonts w:hint="default" w:ascii="Times New Roman" w:hAnsi="Times New Roman" w:eastAsia="仿宋" w:cs="Times New Roman"/>
        </w:rPr>
        <w:t>2021</w:t>
      </w:r>
      <w:r>
        <w:rPr>
          <w:rFonts w:hint="eastAsia" w:ascii="Times New Roman" w:hAnsi="Times New Roman" w:eastAsia="仿宋" w:cs="Times New Roman"/>
          <w:lang w:eastAsia="zh-CN"/>
        </w:rPr>
        <w:t>〕</w:t>
      </w:r>
      <w:r>
        <w:rPr>
          <w:rFonts w:hint="default" w:ascii="Times New Roman" w:hAnsi="Times New Roman" w:eastAsia="仿宋" w:cs="Times New Roman"/>
        </w:rPr>
        <w:t>4号</w:t>
      </w:r>
      <w:r>
        <w:rPr>
          <w:rFonts w:hint="eastAsia" w:ascii="Times New Roman" w:hAnsi="Times New Roman" w:eastAsia="仿宋" w:cs="Times New Roman"/>
          <w:lang w:eastAsia="zh-CN"/>
        </w:rPr>
        <w:t>）</w:t>
      </w:r>
      <w:r>
        <w:rPr>
          <w:rFonts w:hint="default" w:ascii="Times New Roman" w:hAnsi="Times New Roman" w:eastAsia="仿宋" w:cs="Times New Roman"/>
        </w:rPr>
        <w:t>和《财政部关于印发项目支出绩效评价管理办法的通知》（财预</w:t>
      </w:r>
      <w:r>
        <w:rPr>
          <w:rFonts w:hint="eastAsia" w:ascii="Times New Roman" w:hAnsi="Times New Roman" w:eastAsia="仿宋" w:cs="Times New Roman"/>
          <w:lang w:eastAsia="zh-CN"/>
        </w:rPr>
        <w:t>〔</w:t>
      </w:r>
      <w:r>
        <w:rPr>
          <w:rFonts w:hint="default" w:ascii="Times New Roman" w:hAnsi="Times New Roman" w:eastAsia="仿宋" w:cs="Times New Roman"/>
        </w:rPr>
        <w:t>2020</w:t>
      </w:r>
      <w:r>
        <w:rPr>
          <w:rFonts w:hint="eastAsia" w:ascii="Times New Roman" w:hAnsi="Times New Roman" w:eastAsia="仿宋" w:cs="Times New Roman"/>
          <w:lang w:eastAsia="zh-CN"/>
        </w:rPr>
        <w:t>〕</w:t>
      </w:r>
      <w:r>
        <w:rPr>
          <w:rFonts w:hint="default" w:ascii="Times New Roman" w:hAnsi="Times New Roman" w:eastAsia="仿宋" w:cs="Times New Roman"/>
        </w:rPr>
        <w:t>10号</w:t>
      </w:r>
      <w:r>
        <w:rPr>
          <w:rFonts w:hint="eastAsia" w:ascii="Times New Roman" w:hAnsi="Times New Roman" w:eastAsia="仿宋" w:cs="Times New Roman"/>
          <w:lang w:eastAsia="zh-CN"/>
        </w:rPr>
        <w:t>）</w:t>
      </w:r>
      <w:r>
        <w:rPr>
          <w:rFonts w:hint="default" w:ascii="Times New Roman" w:hAnsi="Times New Roman" w:eastAsia="仿宋" w:cs="Times New Roman"/>
        </w:rPr>
        <w:t>要求，工作组进一步完善项目绩效评价指标体系并制定实施方案。方案中明确了本次绩效评价的人员配置、时间安排、评价目的、评价内容、评价依据、评价方法、指标体系、评价标准、样本确定、调查问卷、资料清单以及工作纪律等。</w:t>
      </w:r>
    </w:p>
    <w:p>
      <w:pPr>
        <w:ind w:firstLine="562" w:firstLineChars="200"/>
        <w:outlineLvl w:val="2"/>
        <w:rPr>
          <w:rFonts w:hint="default" w:ascii="Times New Roman" w:hAnsi="Times New Roman" w:eastAsia="仿宋" w:cs="Times New Roman"/>
          <w:b/>
          <w:bCs/>
          <w:szCs w:val="28"/>
        </w:rPr>
      </w:pPr>
      <w:bookmarkStart w:id="141" w:name="_Toc31367"/>
      <w:bookmarkStart w:id="142" w:name="_Toc7841"/>
      <w:bookmarkStart w:id="143" w:name="_Toc11854"/>
      <w:bookmarkStart w:id="144" w:name="_Toc21836"/>
      <w:r>
        <w:rPr>
          <w:rFonts w:hint="default" w:ascii="Times New Roman" w:hAnsi="Times New Roman" w:eastAsia="仿宋" w:cs="Times New Roman"/>
          <w:b/>
          <w:bCs/>
          <w:szCs w:val="28"/>
        </w:rPr>
        <w:t>（二</w:t>
      </w:r>
      <w:r>
        <w:rPr>
          <w:rFonts w:hint="eastAsia" w:ascii="Times New Roman" w:hAnsi="Times New Roman" w:eastAsia="仿宋" w:cs="Times New Roman"/>
          <w:b/>
          <w:bCs/>
          <w:szCs w:val="28"/>
          <w:lang w:eastAsia="zh-CN"/>
        </w:rPr>
        <w:t>）</w:t>
      </w:r>
      <w:r>
        <w:rPr>
          <w:rFonts w:hint="default" w:ascii="Times New Roman" w:hAnsi="Times New Roman" w:eastAsia="仿宋" w:cs="Times New Roman"/>
          <w:b/>
          <w:bCs/>
          <w:szCs w:val="28"/>
        </w:rPr>
        <w:t>组织实施阶段</w:t>
      </w:r>
      <w:bookmarkEnd w:id="141"/>
      <w:bookmarkEnd w:id="142"/>
      <w:bookmarkEnd w:id="143"/>
      <w:bookmarkEnd w:id="144"/>
    </w:p>
    <w:p>
      <w:pPr>
        <w:ind w:firstLine="560" w:firstLineChars="200"/>
        <w:rPr>
          <w:rFonts w:hint="default" w:ascii="Times New Roman" w:hAnsi="Times New Roman" w:eastAsia="仿宋" w:cs="Times New Roman"/>
        </w:rPr>
      </w:pPr>
      <w:r>
        <w:rPr>
          <w:rFonts w:hint="default" w:ascii="Times New Roman" w:hAnsi="Times New Roman" w:eastAsia="仿宋" w:cs="Times New Roman"/>
        </w:rPr>
        <w:t>为获取更多第一手客观的评价依据，工作组在与项目单位进行充分沟通的基础上，赴惠安县</w:t>
      </w:r>
      <w:r>
        <w:rPr>
          <w:rFonts w:hint="default" w:ascii="Times New Roman" w:hAnsi="Times New Roman" w:eastAsia="仿宋" w:cs="Times New Roman"/>
          <w:szCs w:val="28"/>
        </w:rPr>
        <w:t>文化体育和旅游局</w:t>
      </w:r>
      <w:r>
        <w:rPr>
          <w:rFonts w:hint="default" w:ascii="Times New Roman" w:hAnsi="Times New Roman" w:eastAsia="仿宋" w:cs="Times New Roman"/>
        </w:rPr>
        <w:t>展开现场调研。在现场调研过程中，工作组充分了解项目实施情况，查看相关材料和工作记录，核实资金支出的方向和用途，并将前期梳理的疑问与项目单位交换了意见。</w:t>
      </w:r>
    </w:p>
    <w:p>
      <w:pPr>
        <w:ind w:firstLine="562" w:firstLineChars="200"/>
        <w:outlineLvl w:val="2"/>
        <w:rPr>
          <w:rFonts w:hint="default" w:ascii="Times New Roman" w:hAnsi="Times New Roman" w:eastAsia="仿宋" w:cs="Times New Roman"/>
          <w:b/>
          <w:bCs/>
          <w:szCs w:val="28"/>
        </w:rPr>
      </w:pPr>
      <w:bookmarkStart w:id="145" w:name="_Toc15142"/>
      <w:bookmarkStart w:id="146" w:name="_Toc28451"/>
      <w:bookmarkStart w:id="147" w:name="_Toc7533"/>
      <w:bookmarkStart w:id="148" w:name="_Toc14058"/>
      <w:r>
        <w:rPr>
          <w:rFonts w:hint="default" w:ascii="Times New Roman" w:hAnsi="Times New Roman" w:eastAsia="仿宋" w:cs="Times New Roman"/>
          <w:b/>
          <w:bCs/>
          <w:szCs w:val="28"/>
        </w:rPr>
        <w:t>（三</w:t>
      </w:r>
      <w:r>
        <w:rPr>
          <w:rFonts w:hint="eastAsia" w:ascii="Times New Roman" w:hAnsi="Times New Roman" w:eastAsia="仿宋" w:cs="Times New Roman"/>
          <w:b/>
          <w:bCs/>
          <w:szCs w:val="28"/>
          <w:lang w:eastAsia="zh-CN"/>
        </w:rPr>
        <w:t>）</w:t>
      </w:r>
      <w:r>
        <w:rPr>
          <w:rFonts w:hint="default" w:ascii="Times New Roman" w:hAnsi="Times New Roman" w:eastAsia="仿宋" w:cs="Times New Roman"/>
          <w:b/>
          <w:bCs/>
          <w:szCs w:val="28"/>
        </w:rPr>
        <w:t>报告形成阶段</w:t>
      </w:r>
      <w:bookmarkEnd w:id="145"/>
      <w:bookmarkEnd w:id="146"/>
      <w:bookmarkEnd w:id="147"/>
      <w:bookmarkEnd w:id="148"/>
    </w:p>
    <w:p>
      <w:pPr>
        <w:ind w:firstLine="560" w:firstLineChars="200"/>
        <w:rPr>
          <w:rFonts w:hint="default" w:ascii="Times New Roman" w:hAnsi="Times New Roman" w:eastAsia="仿宋" w:cs="Times New Roman"/>
        </w:rPr>
      </w:pPr>
      <w:r>
        <w:rPr>
          <w:rFonts w:hint="default" w:ascii="Times New Roman" w:hAnsi="Times New Roman" w:eastAsia="仿宋" w:cs="Times New Roman"/>
        </w:rPr>
        <w:t>综合前期收集和审核的项目资料、</w:t>
      </w:r>
      <w:r>
        <w:rPr>
          <w:rFonts w:hint="default" w:ascii="Times New Roman" w:hAnsi="Times New Roman" w:eastAsia="仿宋" w:cs="Times New Roman"/>
        </w:rPr>
        <w:drawing>
          <wp:inline distT="0" distB="0" distL="0" distR="0">
            <wp:extent cx="9525" cy="952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9525" cy="9525"/>
                    </a:xfrm>
                    <a:prstGeom prst="rect">
                      <a:avLst/>
                    </a:prstGeom>
                    <a:noFill/>
                    <a:ln>
                      <a:noFill/>
                    </a:ln>
                  </pic:spPr>
                </pic:pic>
              </a:graphicData>
            </a:graphic>
          </wp:inline>
        </w:drawing>
      </w:r>
      <w:r>
        <w:rPr>
          <w:rFonts w:hint="default" w:ascii="Times New Roman" w:hAnsi="Times New Roman" w:eastAsia="仿宋" w:cs="Times New Roman"/>
        </w:rPr>
        <w:t>现场调研的结果等情况，工作组对项目情况进行了综合分析，并按照规定的文本格式和相关要求撰写了评价报告。工作组根据评价的分值，确定项目最终等级。评价等级分为优、良、中、差四个等级，如表6所示。</w:t>
      </w:r>
    </w:p>
    <w:p>
      <w:pPr>
        <w:ind w:firstLine="560" w:firstLineChars="200"/>
        <w:rPr>
          <w:rFonts w:hint="default" w:ascii="Times New Roman" w:hAnsi="Times New Roman" w:eastAsia="仿宋" w:cs="Times New Roman"/>
        </w:rPr>
      </w:pPr>
    </w:p>
    <w:p>
      <w:pPr>
        <w:ind w:firstLine="482" w:firstLineChars="200"/>
        <w:jc w:val="center"/>
        <w:rPr>
          <w:rFonts w:hint="default" w:ascii="Times New Roman" w:hAnsi="Times New Roman" w:eastAsia="仿宋" w:cs="Times New Roman"/>
          <w:b/>
          <w:bCs/>
          <w:sz w:val="24"/>
        </w:rPr>
      </w:pPr>
      <w:r>
        <w:rPr>
          <w:rFonts w:hint="default" w:ascii="Times New Roman" w:hAnsi="Times New Roman" w:eastAsia="仿宋" w:cs="Times New Roman"/>
          <w:b/>
          <w:bCs/>
          <w:sz w:val="24"/>
        </w:rPr>
        <w:t>表6  评价得分与等级对应表</w:t>
      </w:r>
    </w:p>
    <w:tbl>
      <w:tblPr>
        <w:tblStyle w:val="11"/>
        <w:tblW w:w="8757" w:type="dxa"/>
        <w:tblInd w:w="0"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1"/>
        <w:gridCol w:w="1525"/>
        <w:gridCol w:w="2270"/>
        <w:gridCol w:w="2193"/>
        <w:gridCol w:w="1918"/>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851" w:type="dxa"/>
            <w:tcBorders>
              <w:bottom w:val="single" w:color="auto" w:sz="4" w:space="0"/>
            </w:tcBorders>
            <w:vAlign w:val="center"/>
          </w:tcPr>
          <w:p>
            <w:pPr>
              <w:spacing w:line="240" w:lineRule="auto"/>
              <w:rPr>
                <w:rFonts w:hint="default" w:ascii="Times New Roman" w:hAnsi="Times New Roman" w:eastAsia="仿宋" w:cs="Times New Roman"/>
                <w:kern w:val="44"/>
                <w:sz w:val="22"/>
                <w:szCs w:val="22"/>
              </w:rPr>
            </w:pPr>
            <w:r>
              <w:rPr>
                <w:rFonts w:hint="default" w:ascii="Times New Roman" w:hAnsi="Times New Roman" w:eastAsia="仿宋" w:cs="Times New Roman"/>
                <w:kern w:val="44"/>
                <w:sz w:val="22"/>
                <w:szCs w:val="22"/>
              </w:rPr>
              <w:t>等级</w:t>
            </w:r>
          </w:p>
        </w:tc>
        <w:tc>
          <w:tcPr>
            <w:tcW w:w="1525" w:type="dxa"/>
            <w:tcBorders>
              <w:bottom w:val="single" w:color="auto" w:sz="4" w:space="0"/>
            </w:tcBorders>
            <w:vAlign w:val="center"/>
          </w:tcPr>
          <w:p>
            <w:pPr>
              <w:spacing w:line="240" w:lineRule="auto"/>
              <w:jc w:val="center"/>
              <w:rPr>
                <w:rFonts w:hint="default" w:ascii="Times New Roman" w:hAnsi="Times New Roman" w:eastAsia="仿宋" w:cs="Times New Roman"/>
                <w:kern w:val="44"/>
                <w:sz w:val="22"/>
                <w:szCs w:val="22"/>
              </w:rPr>
            </w:pPr>
            <w:r>
              <w:rPr>
                <w:rFonts w:hint="default" w:ascii="Times New Roman" w:hAnsi="Times New Roman" w:eastAsia="仿宋" w:cs="Times New Roman"/>
                <w:kern w:val="44"/>
                <w:sz w:val="22"/>
                <w:szCs w:val="22"/>
              </w:rPr>
              <w:t>优</w:t>
            </w:r>
          </w:p>
        </w:tc>
        <w:tc>
          <w:tcPr>
            <w:tcW w:w="2270" w:type="dxa"/>
            <w:tcBorders>
              <w:bottom w:val="single" w:color="auto" w:sz="4" w:space="0"/>
            </w:tcBorders>
            <w:vAlign w:val="center"/>
          </w:tcPr>
          <w:p>
            <w:pPr>
              <w:spacing w:line="240" w:lineRule="auto"/>
              <w:jc w:val="center"/>
              <w:rPr>
                <w:rFonts w:hint="default" w:ascii="Times New Roman" w:hAnsi="Times New Roman" w:eastAsia="仿宋" w:cs="Times New Roman"/>
                <w:kern w:val="44"/>
                <w:sz w:val="22"/>
                <w:szCs w:val="22"/>
              </w:rPr>
            </w:pPr>
            <w:r>
              <w:rPr>
                <w:rFonts w:hint="default" w:ascii="Times New Roman" w:hAnsi="Times New Roman" w:eastAsia="仿宋" w:cs="Times New Roman"/>
                <w:kern w:val="44"/>
                <w:sz w:val="22"/>
                <w:szCs w:val="22"/>
              </w:rPr>
              <w:t>良</w:t>
            </w:r>
          </w:p>
        </w:tc>
        <w:tc>
          <w:tcPr>
            <w:tcW w:w="2193" w:type="dxa"/>
            <w:tcBorders>
              <w:bottom w:val="single" w:color="auto" w:sz="4" w:space="0"/>
            </w:tcBorders>
            <w:vAlign w:val="center"/>
          </w:tcPr>
          <w:p>
            <w:pPr>
              <w:spacing w:line="240" w:lineRule="auto"/>
              <w:jc w:val="center"/>
              <w:rPr>
                <w:rFonts w:hint="default" w:ascii="Times New Roman" w:hAnsi="Times New Roman" w:eastAsia="仿宋" w:cs="Times New Roman"/>
                <w:kern w:val="44"/>
                <w:sz w:val="22"/>
                <w:szCs w:val="22"/>
              </w:rPr>
            </w:pPr>
            <w:r>
              <w:rPr>
                <w:rFonts w:hint="default" w:ascii="Times New Roman" w:hAnsi="Times New Roman" w:eastAsia="仿宋" w:cs="Times New Roman"/>
                <w:kern w:val="44"/>
                <w:sz w:val="22"/>
                <w:szCs w:val="22"/>
              </w:rPr>
              <w:t>中</w:t>
            </w:r>
          </w:p>
        </w:tc>
        <w:tc>
          <w:tcPr>
            <w:tcW w:w="1918" w:type="dxa"/>
            <w:tcBorders>
              <w:bottom w:val="single" w:color="auto" w:sz="4" w:space="0"/>
            </w:tcBorders>
            <w:vAlign w:val="center"/>
          </w:tcPr>
          <w:p>
            <w:pPr>
              <w:spacing w:line="240" w:lineRule="auto"/>
              <w:jc w:val="center"/>
              <w:rPr>
                <w:rFonts w:hint="default" w:ascii="Times New Roman" w:hAnsi="Times New Roman" w:eastAsia="仿宋" w:cs="Times New Roman"/>
                <w:kern w:val="44"/>
                <w:sz w:val="22"/>
                <w:szCs w:val="22"/>
              </w:rPr>
            </w:pPr>
            <w:r>
              <w:rPr>
                <w:rFonts w:hint="default" w:ascii="Times New Roman" w:hAnsi="Times New Roman" w:eastAsia="仿宋" w:cs="Times New Roman"/>
                <w:kern w:val="44"/>
                <w:sz w:val="22"/>
                <w:szCs w:val="22"/>
              </w:rPr>
              <w:t>差</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851" w:type="dxa"/>
            <w:tcBorders>
              <w:top w:val="single" w:color="auto" w:sz="4" w:space="0"/>
            </w:tcBorders>
            <w:vAlign w:val="center"/>
          </w:tcPr>
          <w:p>
            <w:pPr>
              <w:spacing w:line="240" w:lineRule="auto"/>
              <w:rPr>
                <w:rFonts w:hint="default" w:ascii="Times New Roman" w:hAnsi="Times New Roman" w:eastAsia="仿宋" w:cs="Times New Roman"/>
                <w:kern w:val="44"/>
                <w:sz w:val="22"/>
                <w:szCs w:val="22"/>
              </w:rPr>
            </w:pPr>
            <w:r>
              <w:rPr>
                <w:rFonts w:hint="default" w:ascii="Times New Roman" w:hAnsi="Times New Roman" w:eastAsia="仿宋" w:cs="Times New Roman"/>
                <w:kern w:val="44"/>
                <w:sz w:val="22"/>
                <w:szCs w:val="22"/>
              </w:rPr>
              <w:t>标准</w:t>
            </w:r>
          </w:p>
        </w:tc>
        <w:tc>
          <w:tcPr>
            <w:tcW w:w="1525" w:type="dxa"/>
            <w:tcBorders>
              <w:top w:val="single" w:color="auto" w:sz="4" w:space="0"/>
            </w:tcBorders>
            <w:vAlign w:val="center"/>
          </w:tcPr>
          <w:p>
            <w:pPr>
              <w:spacing w:line="240" w:lineRule="auto"/>
              <w:jc w:val="center"/>
              <w:rPr>
                <w:rFonts w:hint="default" w:ascii="Times New Roman" w:hAnsi="Times New Roman" w:eastAsia="仿宋" w:cs="Times New Roman"/>
                <w:kern w:val="44"/>
                <w:sz w:val="22"/>
                <w:szCs w:val="22"/>
              </w:rPr>
            </w:pPr>
            <w:r>
              <w:rPr>
                <w:rFonts w:hint="default" w:ascii="Times New Roman" w:hAnsi="Times New Roman" w:eastAsia="仿宋" w:cs="Times New Roman"/>
                <w:kern w:val="44"/>
                <w:sz w:val="22"/>
                <w:szCs w:val="22"/>
              </w:rPr>
              <w:t>≥90分</w:t>
            </w:r>
          </w:p>
        </w:tc>
        <w:tc>
          <w:tcPr>
            <w:tcW w:w="2270" w:type="dxa"/>
            <w:tcBorders>
              <w:top w:val="single" w:color="auto" w:sz="4" w:space="0"/>
            </w:tcBorders>
            <w:vAlign w:val="center"/>
          </w:tcPr>
          <w:p>
            <w:pPr>
              <w:spacing w:line="240" w:lineRule="auto"/>
              <w:jc w:val="center"/>
              <w:rPr>
                <w:rFonts w:hint="default" w:ascii="Times New Roman" w:hAnsi="Times New Roman" w:eastAsia="仿宋" w:cs="Times New Roman"/>
                <w:kern w:val="44"/>
                <w:sz w:val="22"/>
                <w:szCs w:val="22"/>
              </w:rPr>
            </w:pPr>
            <w:r>
              <w:rPr>
                <w:rFonts w:hint="default" w:ascii="Times New Roman" w:hAnsi="Times New Roman" w:eastAsia="仿宋" w:cs="Times New Roman"/>
                <w:kern w:val="44"/>
                <w:sz w:val="22"/>
                <w:szCs w:val="22"/>
              </w:rPr>
              <w:t>90&gt;得分≥80分</w:t>
            </w:r>
          </w:p>
        </w:tc>
        <w:tc>
          <w:tcPr>
            <w:tcW w:w="2193" w:type="dxa"/>
            <w:tcBorders>
              <w:top w:val="single" w:color="auto" w:sz="4" w:space="0"/>
            </w:tcBorders>
            <w:vAlign w:val="center"/>
          </w:tcPr>
          <w:p>
            <w:pPr>
              <w:spacing w:line="240" w:lineRule="auto"/>
              <w:jc w:val="center"/>
              <w:rPr>
                <w:rFonts w:hint="default" w:ascii="Times New Roman" w:hAnsi="Times New Roman" w:eastAsia="仿宋" w:cs="Times New Roman"/>
                <w:kern w:val="44"/>
                <w:sz w:val="22"/>
                <w:szCs w:val="22"/>
              </w:rPr>
            </w:pPr>
            <w:r>
              <w:rPr>
                <w:rFonts w:hint="default" w:ascii="Times New Roman" w:hAnsi="Times New Roman" w:eastAsia="仿宋" w:cs="Times New Roman"/>
                <w:kern w:val="44"/>
                <w:sz w:val="22"/>
                <w:szCs w:val="22"/>
              </w:rPr>
              <w:t>80&gt;得分≥60分</w:t>
            </w:r>
          </w:p>
        </w:tc>
        <w:tc>
          <w:tcPr>
            <w:tcW w:w="1918" w:type="dxa"/>
            <w:tcBorders>
              <w:top w:val="single" w:color="auto" w:sz="4" w:space="0"/>
            </w:tcBorders>
            <w:vAlign w:val="center"/>
          </w:tcPr>
          <w:p>
            <w:pPr>
              <w:spacing w:line="240" w:lineRule="auto"/>
              <w:jc w:val="center"/>
              <w:rPr>
                <w:rFonts w:hint="default" w:ascii="Times New Roman" w:hAnsi="Times New Roman" w:eastAsia="仿宋" w:cs="Times New Roman"/>
                <w:kern w:val="44"/>
                <w:sz w:val="22"/>
                <w:szCs w:val="22"/>
              </w:rPr>
            </w:pPr>
            <w:r>
              <w:rPr>
                <w:rFonts w:hint="default" w:ascii="Times New Roman" w:hAnsi="Times New Roman" w:eastAsia="仿宋" w:cs="Times New Roman"/>
                <w:kern w:val="44"/>
                <w:sz w:val="22"/>
                <w:szCs w:val="22"/>
              </w:rPr>
              <w:t>得分＜60分</w:t>
            </w:r>
          </w:p>
        </w:tc>
      </w:tr>
      <w:bookmarkEnd w:id="136"/>
    </w:tbl>
    <w:p>
      <w:pPr>
        <w:ind w:firstLine="640" w:firstLineChars="200"/>
        <w:rPr>
          <w:rFonts w:ascii="仿宋" w:hAnsi="仿宋" w:eastAsia="仿宋" w:cs="仿宋"/>
          <w:sz w:val="32"/>
          <w:szCs w:val="32"/>
        </w:rPr>
      </w:pPr>
    </w:p>
    <w:p>
      <w:pPr>
        <w:widowControl/>
        <w:spacing w:line="240" w:lineRule="auto"/>
        <w:jc w:val="left"/>
        <w:rPr>
          <w:rFonts w:ascii="仿宋" w:hAnsi="仿宋" w:eastAsia="仿宋" w:cs="仿宋"/>
          <w:sz w:val="32"/>
          <w:szCs w:val="32"/>
        </w:rPr>
      </w:pPr>
      <w:r>
        <w:rPr>
          <w:rFonts w:hint="eastAsia" w:ascii="仿宋" w:hAnsi="仿宋" w:eastAsia="仿宋" w:cs="仿宋"/>
          <w:sz w:val="32"/>
          <w:szCs w:val="32"/>
        </w:rPr>
        <w:br w:type="page"/>
      </w:r>
    </w:p>
    <w:p>
      <w:pPr>
        <w:rPr>
          <w:rFonts w:ascii="仿宋" w:hAnsi="仿宋" w:eastAsia="仿宋" w:cs="仿宋"/>
          <w:sz w:val="24"/>
        </w:rPr>
      </w:pPr>
    </w:p>
    <w:p>
      <w:pPr>
        <w:jc w:val="center"/>
        <w:outlineLvl w:val="0"/>
        <w:rPr>
          <w:rFonts w:ascii="仿宋" w:hAnsi="仿宋" w:eastAsia="仿宋" w:cs="仿宋"/>
          <w:b/>
          <w:bCs/>
          <w:sz w:val="36"/>
          <w:szCs w:val="36"/>
        </w:rPr>
      </w:pPr>
      <w:bookmarkStart w:id="149" w:name="_Toc221"/>
      <w:bookmarkStart w:id="150" w:name="_Toc16805"/>
      <w:bookmarkStart w:id="151" w:name="_Toc63"/>
      <w:bookmarkStart w:id="152" w:name="_Toc9763"/>
      <w:bookmarkStart w:id="153" w:name="_Toc1080104207"/>
      <w:r>
        <w:rPr>
          <w:rFonts w:hint="eastAsia" w:ascii="仿宋" w:hAnsi="仿宋" w:eastAsia="仿宋" w:cs="仿宋"/>
          <w:b/>
          <w:bCs/>
          <w:sz w:val="36"/>
          <w:szCs w:val="36"/>
        </w:rPr>
        <w:t>第三部分 绩效评价结果</w:t>
      </w:r>
      <w:bookmarkEnd w:id="149"/>
      <w:bookmarkEnd w:id="150"/>
      <w:bookmarkEnd w:id="151"/>
      <w:bookmarkEnd w:id="152"/>
      <w:bookmarkEnd w:id="153"/>
    </w:p>
    <w:p>
      <w:pPr>
        <w:rPr>
          <w:rFonts w:ascii="仿宋" w:hAnsi="仿宋" w:eastAsia="仿宋" w:cs="仿宋"/>
          <w:b/>
          <w:bCs/>
          <w:sz w:val="24"/>
        </w:rPr>
      </w:pPr>
    </w:p>
    <w:p>
      <w:pPr>
        <w:spacing w:before="156" w:beforeLines="50" w:after="156" w:afterLines="50"/>
        <w:ind w:firstLine="643" w:firstLineChars="200"/>
        <w:outlineLvl w:val="1"/>
        <w:rPr>
          <w:rFonts w:ascii="仿宋" w:hAnsi="仿宋" w:eastAsia="仿宋" w:cs="仿宋"/>
          <w:b/>
          <w:bCs/>
          <w:sz w:val="32"/>
          <w:szCs w:val="32"/>
        </w:rPr>
      </w:pPr>
      <w:bookmarkStart w:id="154" w:name="_Toc12399"/>
      <w:bookmarkStart w:id="155" w:name="_Toc25049"/>
      <w:bookmarkStart w:id="156" w:name="_Toc19940"/>
      <w:bookmarkStart w:id="157" w:name="_Toc1103246537"/>
      <w:bookmarkStart w:id="158" w:name="_Toc26068"/>
      <w:r>
        <w:rPr>
          <w:rFonts w:hint="eastAsia" w:ascii="仿宋" w:hAnsi="仿宋" w:eastAsia="仿宋" w:cs="仿宋"/>
          <w:b/>
          <w:bCs/>
          <w:sz w:val="32"/>
          <w:szCs w:val="32"/>
        </w:rPr>
        <w:t>一、绩效评价得分情况</w:t>
      </w:r>
      <w:bookmarkEnd w:id="154"/>
      <w:bookmarkEnd w:id="155"/>
      <w:bookmarkEnd w:id="156"/>
      <w:bookmarkEnd w:id="157"/>
      <w:bookmarkEnd w:id="158"/>
    </w:p>
    <w:p>
      <w:pPr>
        <w:ind w:firstLine="560" w:firstLineChars="200"/>
        <w:rPr>
          <w:rFonts w:hint="default" w:ascii="Times New Roman" w:hAnsi="Times New Roman" w:eastAsia="仿宋" w:cs="Times New Roman"/>
          <w:szCs w:val="28"/>
        </w:rPr>
      </w:pPr>
      <w:r>
        <w:rPr>
          <w:rFonts w:hint="eastAsia" w:ascii="仿宋" w:hAnsi="仿宋" w:eastAsia="仿宋" w:cs="仿宋"/>
          <w:szCs w:val="28"/>
        </w:rPr>
        <w:t>据绩效</w:t>
      </w:r>
      <w:r>
        <w:rPr>
          <w:rFonts w:hint="default" w:ascii="Times New Roman" w:hAnsi="Times New Roman" w:eastAsia="仿宋" w:cs="Times New Roman"/>
          <w:szCs w:val="28"/>
        </w:rPr>
        <w:t>评价指标体系，结合专项资金的实施情况，2021-2022年建设体育基础设施资金最终绩效评价得分为</w:t>
      </w:r>
      <w:r>
        <w:rPr>
          <w:rFonts w:hint="eastAsia" w:ascii="Times New Roman" w:hAnsi="Times New Roman" w:eastAsia="仿宋" w:cs="Times New Roman"/>
          <w:szCs w:val="28"/>
          <w:lang w:val="en-US" w:eastAsia="zh-CN"/>
        </w:rPr>
        <w:t>83.75</w:t>
      </w:r>
      <w:r>
        <w:rPr>
          <w:rFonts w:hint="default" w:ascii="Times New Roman" w:hAnsi="Times New Roman" w:eastAsia="仿宋" w:cs="Times New Roman"/>
          <w:szCs w:val="28"/>
        </w:rPr>
        <w:t>分，评价等级为</w:t>
      </w:r>
      <w:r>
        <w:rPr>
          <w:rFonts w:hint="eastAsia" w:ascii="Times New Roman" w:hAnsi="Times New Roman" w:eastAsia="仿宋" w:cs="Times New Roman"/>
          <w:szCs w:val="28"/>
          <w:lang w:eastAsia="zh-CN"/>
        </w:rPr>
        <w:t>“</w:t>
      </w:r>
      <w:r>
        <w:rPr>
          <w:rFonts w:hint="default" w:ascii="Times New Roman" w:hAnsi="Times New Roman" w:eastAsia="仿宋" w:cs="Times New Roman"/>
          <w:szCs w:val="28"/>
        </w:rPr>
        <w:t>良好</w:t>
      </w:r>
      <w:r>
        <w:rPr>
          <w:rFonts w:hint="eastAsia" w:ascii="Times New Roman" w:hAnsi="Times New Roman" w:eastAsia="仿宋" w:cs="Times New Roman"/>
          <w:szCs w:val="28"/>
          <w:lang w:eastAsia="zh-CN"/>
        </w:rPr>
        <w:t>”</w:t>
      </w:r>
      <w:r>
        <w:rPr>
          <w:rFonts w:hint="default" w:ascii="Times New Roman" w:hAnsi="Times New Roman" w:eastAsia="仿宋" w:cs="Times New Roman"/>
          <w:szCs w:val="28"/>
        </w:rPr>
        <w:t>。具体得分情况如表7所示：</w:t>
      </w:r>
    </w:p>
    <w:p>
      <w:pPr>
        <w:ind w:firstLine="560" w:firstLineChars="200"/>
        <w:rPr>
          <w:rFonts w:hint="default" w:ascii="Times New Roman" w:hAnsi="Times New Roman" w:eastAsia="仿宋" w:cs="Times New Roman"/>
          <w:szCs w:val="28"/>
        </w:rPr>
      </w:pPr>
    </w:p>
    <w:p>
      <w:pPr>
        <w:spacing w:line="240" w:lineRule="auto"/>
        <w:jc w:val="center"/>
        <w:rPr>
          <w:rFonts w:hint="default" w:ascii="Times New Roman" w:hAnsi="Times New Roman" w:eastAsia="仿宋" w:cs="Times New Roman"/>
          <w:b/>
          <w:bCs/>
          <w:sz w:val="24"/>
        </w:rPr>
      </w:pPr>
      <w:r>
        <w:rPr>
          <w:rFonts w:hint="default" w:ascii="Times New Roman" w:hAnsi="Times New Roman" w:eastAsia="仿宋" w:cs="Times New Roman"/>
          <w:b/>
          <w:bCs/>
          <w:sz w:val="24"/>
        </w:rPr>
        <w:t>表7  惠安县202-2022年建设体育基础设施专项资金最终绩效评价得分详情</w:t>
      </w:r>
    </w:p>
    <w:tbl>
      <w:tblPr>
        <w:tblStyle w:val="11"/>
        <w:tblW w:w="5000" w:type="pct"/>
        <w:tblInd w:w="0"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82"/>
        <w:gridCol w:w="2170"/>
        <w:gridCol w:w="1734"/>
        <w:gridCol w:w="1730"/>
        <w:gridCol w:w="706"/>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blHeader/>
        </w:trPr>
        <w:tc>
          <w:tcPr>
            <w:tcW w:w="1280" w:type="pct"/>
            <w:tcBorders>
              <w:top w:val="single" w:color="auto" w:sz="12" w:space="0"/>
              <w:bottom w:val="single" w:color="auto" w:sz="4" w:space="0"/>
            </w:tcBorders>
            <w:shd w:val="clear" w:color="auto" w:fill="auto"/>
            <w:vAlign w:val="center"/>
          </w:tcPr>
          <w:p>
            <w:pPr>
              <w:widowControl/>
              <w:spacing w:line="240" w:lineRule="auto"/>
              <w:jc w:val="center"/>
              <w:rPr>
                <w:rFonts w:hint="default" w:ascii="Times New Roman" w:hAnsi="Times New Roman" w:eastAsia="仿宋" w:cs="Times New Roman"/>
                <w:b/>
                <w:bCs/>
                <w:color w:val="000000"/>
                <w:kern w:val="0"/>
                <w:sz w:val="22"/>
                <w:szCs w:val="22"/>
              </w:rPr>
            </w:pPr>
            <w:r>
              <w:rPr>
                <w:rFonts w:hint="default" w:ascii="Times New Roman" w:hAnsi="Times New Roman" w:eastAsia="仿宋" w:cs="Times New Roman"/>
                <w:b/>
                <w:bCs/>
                <w:color w:val="000000"/>
                <w:kern w:val="0"/>
                <w:sz w:val="22"/>
                <w:szCs w:val="22"/>
              </w:rPr>
              <w:t>一级指标</w:t>
            </w:r>
          </w:p>
        </w:tc>
        <w:tc>
          <w:tcPr>
            <w:tcW w:w="1273" w:type="pct"/>
            <w:tcBorders>
              <w:top w:val="single" w:color="auto" w:sz="12" w:space="0"/>
              <w:bottom w:val="single" w:color="auto" w:sz="4" w:space="0"/>
            </w:tcBorders>
            <w:shd w:val="clear" w:color="auto" w:fill="auto"/>
            <w:vAlign w:val="center"/>
          </w:tcPr>
          <w:p>
            <w:pPr>
              <w:widowControl/>
              <w:spacing w:line="240" w:lineRule="auto"/>
              <w:jc w:val="center"/>
              <w:rPr>
                <w:rFonts w:hint="default" w:ascii="Times New Roman" w:hAnsi="Times New Roman" w:eastAsia="仿宋" w:cs="Times New Roman"/>
                <w:b/>
                <w:bCs/>
                <w:color w:val="000000"/>
                <w:kern w:val="0"/>
                <w:sz w:val="22"/>
                <w:szCs w:val="22"/>
              </w:rPr>
            </w:pPr>
            <w:r>
              <w:rPr>
                <w:rFonts w:hint="default" w:ascii="Times New Roman" w:hAnsi="Times New Roman" w:eastAsia="仿宋" w:cs="Times New Roman"/>
                <w:b/>
                <w:bCs/>
                <w:color w:val="000000"/>
                <w:kern w:val="0"/>
                <w:sz w:val="22"/>
                <w:szCs w:val="22"/>
              </w:rPr>
              <w:t>二级指标</w:t>
            </w:r>
          </w:p>
        </w:tc>
        <w:tc>
          <w:tcPr>
            <w:tcW w:w="2032" w:type="pct"/>
            <w:gridSpan w:val="2"/>
            <w:tcBorders>
              <w:top w:val="single" w:color="auto" w:sz="12" w:space="0"/>
              <w:bottom w:val="single" w:color="auto" w:sz="4" w:space="0"/>
            </w:tcBorders>
            <w:shd w:val="clear" w:color="auto" w:fill="auto"/>
            <w:vAlign w:val="center"/>
          </w:tcPr>
          <w:p>
            <w:pPr>
              <w:widowControl/>
              <w:spacing w:line="240" w:lineRule="auto"/>
              <w:jc w:val="center"/>
              <w:rPr>
                <w:rFonts w:hint="default" w:ascii="Times New Roman" w:hAnsi="Times New Roman" w:eastAsia="仿宋" w:cs="Times New Roman"/>
                <w:b/>
                <w:bCs/>
                <w:color w:val="000000"/>
                <w:kern w:val="0"/>
                <w:sz w:val="22"/>
                <w:szCs w:val="22"/>
              </w:rPr>
            </w:pPr>
            <w:r>
              <w:rPr>
                <w:rFonts w:hint="default" w:ascii="Times New Roman" w:hAnsi="Times New Roman" w:eastAsia="仿宋" w:cs="Times New Roman"/>
                <w:b/>
                <w:bCs/>
                <w:color w:val="000000"/>
                <w:kern w:val="0"/>
                <w:sz w:val="22"/>
                <w:szCs w:val="22"/>
              </w:rPr>
              <w:t>三级指标</w:t>
            </w:r>
          </w:p>
        </w:tc>
        <w:tc>
          <w:tcPr>
            <w:tcW w:w="413" w:type="pct"/>
            <w:tcBorders>
              <w:top w:val="single" w:color="auto" w:sz="12" w:space="0"/>
              <w:bottom w:val="single" w:color="auto" w:sz="4" w:space="0"/>
            </w:tcBorders>
            <w:shd w:val="clear" w:color="auto" w:fill="auto"/>
            <w:vAlign w:val="center"/>
          </w:tcPr>
          <w:p>
            <w:pPr>
              <w:widowControl/>
              <w:spacing w:line="240" w:lineRule="auto"/>
              <w:jc w:val="center"/>
              <w:rPr>
                <w:rFonts w:hint="default" w:ascii="Times New Roman" w:hAnsi="Times New Roman" w:eastAsia="仿宋" w:cs="Times New Roman"/>
                <w:b/>
                <w:bCs/>
                <w:color w:val="000000"/>
                <w:kern w:val="0"/>
                <w:sz w:val="22"/>
                <w:szCs w:val="22"/>
              </w:rPr>
            </w:pPr>
            <w:r>
              <w:rPr>
                <w:rFonts w:hint="default" w:ascii="Times New Roman" w:hAnsi="Times New Roman" w:eastAsia="仿宋" w:cs="Times New Roman"/>
                <w:b/>
                <w:bCs/>
                <w:color w:val="000000"/>
                <w:kern w:val="0"/>
                <w:sz w:val="22"/>
                <w:szCs w:val="22"/>
              </w:rPr>
              <w:t>评分</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1280" w:type="pct"/>
            <w:vMerge w:val="restart"/>
            <w:tcBorders>
              <w:top w:val="single" w:color="auto" w:sz="4" w:space="0"/>
            </w:tcBorders>
            <w:shd w:val="clear" w:color="auto" w:fill="auto"/>
            <w:noWrap/>
            <w:vAlign w:val="center"/>
          </w:tcPr>
          <w:p>
            <w:pPr>
              <w:widowControl/>
              <w:spacing w:line="240" w:lineRule="auto"/>
              <w:jc w:val="center"/>
              <w:rPr>
                <w:rFonts w:hint="eastAsia" w:ascii="Times New Roman" w:hAnsi="Times New Roman" w:eastAsia="仿宋" w:cs="Times New Roman"/>
                <w:b/>
                <w:bCs/>
                <w:color w:val="000000"/>
                <w:kern w:val="0"/>
                <w:sz w:val="22"/>
                <w:szCs w:val="22"/>
                <w:lang w:eastAsia="zh-CN"/>
              </w:rPr>
            </w:pPr>
            <w:r>
              <w:rPr>
                <w:rFonts w:hint="default" w:ascii="Times New Roman" w:hAnsi="Times New Roman" w:eastAsia="仿宋" w:cs="Times New Roman"/>
                <w:b/>
                <w:bCs/>
                <w:color w:val="000000"/>
                <w:kern w:val="0"/>
                <w:sz w:val="22"/>
                <w:szCs w:val="22"/>
              </w:rPr>
              <w:t>决策指标（20分</w:t>
            </w:r>
            <w:r>
              <w:rPr>
                <w:rFonts w:hint="eastAsia" w:ascii="Times New Roman" w:hAnsi="Times New Roman" w:eastAsia="仿宋" w:cs="Times New Roman"/>
                <w:b/>
                <w:bCs/>
                <w:color w:val="000000"/>
                <w:kern w:val="0"/>
                <w:sz w:val="22"/>
                <w:szCs w:val="22"/>
                <w:lang w:eastAsia="zh-CN"/>
              </w:rPr>
              <w:t>）</w:t>
            </w:r>
          </w:p>
        </w:tc>
        <w:tc>
          <w:tcPr>
            <w:tcW w:w="1273" w:type="pct"/>
            <w:vMerge w:val="restart"/>
            <w:tcBorders>
              <w:top w:val="single" w:color="auto" w:sz="4" w:space="0"/>
            </w:tcBorders>
            <w:shd w:val="clear" w:color="auto" w:fill="auto"/>
            <w:noWrap/>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项目立项（8分</w:t>
            </w:r>
            <w:r>
              <w:rPr>
                <w:rFonts w:hint="eastAsia" w:ascii="Times New Roman" w:hAnsi="Times New Roman" w:eastAsia="仿宋" w:cs="Times New Roman"/>
                <w:color w:val="000000"/>
                <w:kern w:val="0"/>
                <w:sz w:val="22"/>
                <w:szCs w:val="22"/>
                <w:lang w:eastAsia="zh-CN"/>
              </w:rPr>
              <w:t>）</w:t>
            </w:r>
          </w:p>
        </w:tc>
        <w:tc>
          <w:tcPr>
            <w:tcW w:w="2032" w:type="pct"/>
            <w:gridSpan w:val="2"/>
            <w:tcBorders>
              <w:top w:val="single" w:color="auto" w:sz="4" w:space="0"/>
            </w:tcBorders>
            <w:shd w:val="clear" w:color="auto" w:fill="auto"/>
            <w:noWrap/>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立项依据充分性（4分</w:t>
            </w:r>
            <w:r>
              <w:rPr>
                <w:rFonts w:hint="eastAsia" w:ascii="Times New Roman" w:hAnsi="Times New Roman" w:eastAsia="仿宋" w:cs="Times New Roman"/>
                <w:color w:val="000000"/>
                <w:kern w:val="0"/>
                <w:sz w:val="22"/>
                <w:szCs w:val="22"/>
                <w:lang w:eastAsia="zh-CN"/>
              </w:rPr>
              <w:t>）</w:t>
            </w:r>
          </w:p>
        </w:tc>
        <w:tc>
          <w:tcPr>
            <w:tcW w:w="413" w:type="pct"/>
            <w:tcBorders>
              <w:top w:val="single" w:color="auto" w:sz="4" w:space="0"/>
            </w:tcBorders>
            <w:shd w:val="clear" w:color="auto" w:fill="auto"/>
            <w:noWrap/>
            <w:vAlign w:val="center"/>
          </w:tcPr>
          <w:p>
            <w:pPr>
              <w:widowControl/>
              <w:spacing w:line="240" w:lineRule="auto"/>
              <w:jc w:val="center"/>
              <w:rPr>
                <w:rFonts w:hint="default" w:ascii="Times New Roman" w:hAnsi="Times New Roman" w:eastAsia="仿宋" w:cs="Times New Roman"/>
                <w:color w:val="000000"/>
                <w:kern w:val="0"/>
                <w:sz w:val="22"/>
                <w:szCs w:val="22"/>
              </w:rPr>
            </w:pPr>
            <w:r>
              <w:rPr>
                <w:rFonts w:hint="default" w:ascii="Times New Roman" w:hAnsi="Times New Roman" w:eastAsia="仿宋" w:cs="Times New Roman"/>
                <w:color w:val="000000"/>
                <w:kern w:val="0"/>
                <w:sz w:val="22"/>
                <w:szCs w:val="22"/>
              </w:rPr>
              <w:t>4.00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1280" w:type="pct"/>
            <w:vMerge w:val="continue"/>
            <w:vAlign w:val="center"/>
          </w:tcPr>
          <w:p>
            <w:pPr>
              <w:widowControl/>
              <w:spacing w:line="240" w:lineRule="auto"/>
              <w:jc w:val="left"/>
              <w:rPr>
                <w:rFonts w:hint="default" w:ascii="Times New Roman" w:hAnsi="Times New Roman" w:eastAsia="仿宋" w:cs="Times New Roman"/>
                <w:b/>
                <w:bCs/>
                <w:color w:val="000000"/>
                <w:kern w:val="0"/>
                <w:sz w:val="22"/>
                <w:szCs w:val="22"/>
              </w:rPr>
            </w:pPr>
          </w:p>
        </w:tc>
        <w:tc>
          <w:tcPr>
            <w:tcW w:w="1273" w:type="pct"/>
            <w:vMerge w:val="continue"/>
            <w:vAlign w:val="center"/>
          </w:tcPr>
          <w:p>
            <w:pPr>
              <w:widowControl/>
              <w:spacing w:line="240" w:lineRule="auto"/>
              <w:jc w:val="left"/>
              <w:rPr>
                <w:rFonts w:hint="default" w:ascii="Times New Roman" w:hAnsi="Times New Roman" w:eastAsia="仿宋" w:cs="Times New Roman"/>
                <w:color w:val="000000"/>
                <w:kern w:val="0"/>
                <w:sz w:val="22"/>
                <w:szCs w:val="22"/>
              </w:rPr>
            </w:pPr>
          </w:p>
        </w:tc>
        <w:tc>
          <w:tcPr>
            <w:tcW w:w="2032" w:type="pct"/>
            <w:gridSpan w:val="2"/>
            <w:shd w:val="clear" w:color="auto" w:fill="auto"/>
            <w:noWrap/>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立项程序规范性（4分</w:t>
            </w:r>
            <w:r>
              <w:rPr>
                <w:rFonts w:hint="eastAsia" w:ascii="Times New Roman" w:hAnsi="Times New Roman" w:eastAsia="仿宋" w:cs="Times New Roman"/>
                <w:color w:val="000000"/>
                <w:kern w:val="0"/>
                <w:sz w:val="22"/>
                <w:szCs w:val="22"/>
                <w:lang w:eastAsia="zh-CN"/>
              </w:rPr>
              <w:t>）</w:t>
            </w:r>
          </w:p>
        </w:tc>
        <w:tc>
          <w:tcPr>
            <w:tcW w:w="413" w:type="pct"/>
            <w:shd w:val="clear" w:color="auto" w:fill="auto"/>
            <w:noWrap/>
            <w:vAlign w:val="center"/>
          </w:tcPr>
          <w:p>
            <w:pPr>
              <w:widowControl/>
              <w:spacing w:line="240" w:lineRule="auto"/>
              <w:jc w:val="center"/>
              <w:rPr>
                <w:rFonts w:hint="default" w:ascii="Times New Roman" w:hAnsi="Times New Roman" w:eastAsia="仿宋" w:cs="Times New Roman"/>
                <w:color w:val="000000"/>
                <w:kern w:val="0"/>
                <w:sz w:val="22"/>
                <w:szCs w:val="22"/>
              </w:rPr>
            </w:pPr>
            <w:r>
              <w:rPr>
                <w:rFonts w:hint="default" w:ascii="Times New Roman" w:hAnsi="Times New Roman" w:eastAsia="仿宋" w:cs="Times New Roman"/>
                <w:color w:val="000000"/>
                <w:kern w:val="0"/>
                <w:sz w:val="22"/>
                <w:szCs w:val="22"/>
              </w:rPr>
              <w:t>4.00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1280" w:type="pct"/>
            <w:vMerge w:val="continue"/>
            <w:vAlign w:val="center"/>
          </w:tcPr>
          <w:p>
            <w:pPr>
              <w:widowControl/>
              <w:spacing w:line="240" w:lineRule="auto"/>
              <w:jc w:val="left"/>
              <w:rPr>
                <w:rFonts w:hint="default" w:ascii="Times New Roman" w:hAnsi="Times New Roman" w:eastAsia="仿宋" w:cs="Times New Roman"/>
                <w:b/>
                <w:bCs/>
                <w:color w:val="000000"/>
                <w:kern w:val="0"/>
                <w:sz w:val="22"/>
                <w:szCs w:val="22"/>
              </w:rPr>
            </w:pPr>
          </w:p>
        </w:tc>
        <w:tc>
          <w:tcPr>
            <w:tcW w:w="1273" w:type="pct"/>
            <w:vMerge w:val="restart"/>
            <w:shd w:val="clear" w:color="auto" w:fill="auto"/>
            <w:noWrap/>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绩效目标（8分</w:t>
            </w:r>
            <w:r>
              <w:rPr>
                <w:rFonts w:hint="eastAsia" w:ascii="Times New Roman" w:hAnsi="Times New Roman" w:eastAsia="仿宋" w:cs="Times New Roman"/>
                <w:color w:val="000000"/>
                <w:kern w:val="0"/>
                <w:sz w:val="22"/>
                <w:szCs w:val="22"/>
                <w:lang w:eastAsia="zh-CN"/>
              </w:rPr>
              <w:t>）</w:t>
            </w:r>
          </w:p>
        </w:tc>
        <w:tc>
          <w:tcPr>
            <w:tcW w:w="2032" w:type="pct"/>
            <w:gridSpan w:val="2"/>
            <w:shd w:val="clear" w:color="auto" w:fill="auto"/>
            <w:noWrap/>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绩效目标合理性（4分</w:t>
            </w:r>
            <w:r>
              <w:rPr>
                <w:rFonts w:hint="eastAsia" w:ascii="Times New Roman" w:hAnsi="Times New Roman" w:eastAsia="仿宋" w:cs="Times New Roman"/>
                <w:color w:val="000000"/>
                <w:kern w:val="0"/>
                <w:sz w:val="22"/>
                <w:szCs w:val="22"/>
                <w:lang w:eastAsia="zh-CN"/>
              </w:rPr>
              <w:t>）</w:t>
            </w:r>
          </w:p>
        </w:tc>
        <w:tc>
          <w:tcPr>
            <w:tcW w:w="413" w:type="pct"/>
            <w:shd w:val="clear" w:color="auto" w:fill="auto"/>
            <w:noWrap/>
            <w:vAlign w:val="center"/>
          </w:tcPr>
          <w:p>
            <w:pPr>
              <w:widowControl/>
              <w:spacing w:line="240" w:lineRule="auto"/>
              <w:jc w:val="center"/>
              <w:rPr>
                <w:rFonts w:hint="default" w:ascii="Times New Roman" w:hAnsi="Times New Roman" w:eastAsia="仿宋" w:cs="Times New Roman"/>
                <w:color w:val="000000"/>
                <w:kern w:val="0"/>
                <w:sz w:val="22"/>
                <w:szCs w:val="22"/>
              </w:rPr>
            </w:pPr>
            <w:r>
              <w:rPr>
                <w:rFonts w:hint="eastAsia" w:ascii="Times New Roman" w:hAnsi="Times New Roman" w:eastAsia="仿宋" w:cs="Times New Roman"/>
                <w:color w:val="000000"/>
                <w:kern w:val="0"/>
                <w:sz w:val="22"/>
                <w:szCs w:val="22"/>
                <w:lang w:val="en-US" w:eastAsia="zh-CN"/>
              </w:rPr>
              <w:t>2</w:t>
            </w:r>
            <w:r>
              <w:rPr>
                <w:rFonts w:hint="default" w:ascii="Times New Roman" w:hAnsi="Times New Roman" w:eastAsia="仿宋" w:cs="Times New Roman"/>
                <w:color w:val="000000"/>
                <w:kern w:val="0"/>
                <w:sz w:val="22"/>
                <w:szCs w:val="22"/>
              </w:rPr>
              <w:t>.00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2" w:hRule="atLeast"/>
        </w:trPr>
        <w:tc>
          <w:tcPr>
            <w:tcW w:w="1280" w:type="pct"/>
            <w:vMerge w:val="continue"/>
            <w:vAlign w:val="center"/>
          </w:tcPr>
          <w:p>
            <w:pPr>
              <w:widowControl/>
              <w:spacing w:line="240" w:lineRule="auto"/>
              <w:jc w:val="left"/>
              <w:rPr>
                <w:rFonts w:hint="default" w:ascii="Times New Roman" w:hAnsi="Times New Roman" w:eastAsia="仿宋" w:cs="Times New Roman"/>
                <w:b/>
                <w:bCs/>
                <w:color w:val="000000"/>
                <w:kern w:val="0"/>
                <w:sz w:val="22"/>
                <w:szCs w:val="22"/>
              </w:rPr>
            </w:pPr>
          </w:p>
        </w:tc>
        <w:tc>
          <w:tcPr>
            <w:tcW w:w="1273" w:type="pct"/>
            <w:vMerge w:val="continue"/>
            <w:vAlign w:val="center"/>
          </w:tcPr>
          <w:p>
            <w:pPr>
              <w:widowControl/>
              <w:spacing w:line="240" w:lineRule="auto"/>
              <w:jc w:val="left"/>
              <w:rPr>
                <w:rFonts w:hint="default" w:ascii="Times New Roman" w:hAnsi="Times New Roman" w:eastAsia="仿宋" w:cs="Times New Roman"/>
                <w:color w:val="000000"/>
                <w:kern w:val="0"/>
                <w:sz w:val="22"/>
                <w:szCs w:val="22"/>
              </w:rPr>
            </w:pPr>
          </w:p>
        </w:tc>
        <w:tc>
          <w:tcPr>
            <w:tcW w:w="2032" w:type="pct"/>
            <w:gridSpan w:val="2"/>
            <w:shd w:val="clear" w:color="auto" w:fill="auto"/>
            <w:noWrap/>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绩效指标明确性（4分</w:t>
            </w:r>
            <w:r>
              <w:rPr>
                <w:rFonts w:hint="eastAsia" w:ascii="Times New Roman" w:hAnsi="Times New Roman" w:eastAsia="仿宋" w:cs="Times New Roman"/>
                <w:color w:val="000000"/>
                <w:kern w:val="0"/>
                <w:sz w:val="22"/>
                <w:szCs w:val="22"/>
                <w:lang w:eastAsia="zh-CN"/>
              </w:rPr>
              <w:t>）</w:t>
            </w:r>
          </w:p>
        </w:tc>
        <w:tc>
          <w:tcPr>
            <w:tcW w:w="413" w:type="pct"/>
            <w:shd w:val="clear" w:color="auto" w:fill="auto"/>
            <w:noWrap/>
            <w:vAlign w:val="center"/>
          </w:tcPr>
          <w:p>
            <w:pPr>
              <w:widowControl/>
              <w:spacing w:line="240" w:lineRule="auto"/>
              <w:jc w:val="center"/>
              <w:rPr>
                <w:rFonts w:hint="default" w:ascii="Times New Roman" w:hAnsi="Times New Roman" w:eastAsia="仿宋" w:cs="Times New Roman"/>
                <w:color w:val="000000"/>
                <w:kern w:val="0"/>
                <w:sz w:val="22"/>
                <w:szCs w:val="22"/>
              </w:rPr>
            </w:pPr>
            <w:r>
              <w:rPr>
                <w:rFonts w:hint="default" w:ascii="Times New Roman" w:hAnsi="Times New Roman" w:eastAsia="仿宋" w:cs="Times New Roman"/>
                <w:color w:val="000000"/>
                <w:kern w:val="0"/>
                <w:sz w:val="22"/>
                <w:szCs w:val="22"/>
              </w:rPr>
              <w:t>0.00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1280" w:type="pct"/>
            <w:vMerge w:val="continue"/>
            <w:vAlign w:val="center"/>
          </w:tcPr>
          <w:p>
            <w:pPr>
              <w:widowControl/>
              <w:spacing w:line="240" w:lineRule="auto"/>
              <w:jc w:val="left"/>
              <w:rPr>
                <w:rFonts w:hint="default" w:ascii="Times New Roman" w:hAnsi="Times New Roman" w:eastAsia="仿宋" w:cs="Times New Roman"/>
                <w:b/>
                <w:bCs/>
                <w:color w:val="000000"/>
                <w:kern w:val="0"/>
                <w:sz w:val="22"/>
                <w:szCs w:val="22"/>
              </w:rPr>
            </w:pPr>
          </w:p>
        </w:tc>
        <w:tc>
          <w:tcPr>
            <w:tcW w:w="1273" w:type="pct"/>
            <w:shd w:val="clear" w:color="auto" w:fill="auto"/>
            <w:noWrap/>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资金投入（4分</w:t>
            </w:r>
            <w:r>
              <w:rPr>
                <w:rFonts w:hint="eastAsia" w:ascii="Times New Roman" w:hAnsi="Times New Roman" w:eastAsia="仿宋" w:cs="Times New Roman"/>
                <w:color w:val="000000"/>
                <w:kern w:val="0"/>
                <w:sz w:val="22"/>
                <w:szCs w:val="22"/>
                <w:lang w:eastAsia="zh-CN"/>
              </w:rPr>
              <w:t>）</w:t>
            </w:r>
          </w:p>
        </w:tc>
        <w:tc>
          <w:tcPr>
            <w:tcW w:w="2032" w:type="pct"/>
            <w:gridSpan w:val="2"/>
            <w:shd w:val="clear" w:color="auto" w:fill="auto"/>
            <w:noWrap/>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预算编制科学性（4分</w:t>
            </w:r>
            <w:r>
              <w:rPr>
                <w:rFonts w:hint="eastAsia" w:ascii="Times New Roman" w:hAnsi="Times New Roman" w:eastAsia="仿宋" w:cs="Times New Roman"/>
                <w:color w:val="000000"/>
                <w:kern w:val="0"/>
                <w:sz w:val="22"/>
                <w:szCs w:val="22"/>
                <w:lang w:eastAsia="zh-CN"/>
              </w:rPr>
              <w:t>）</w:t>
            </w:r>
          </w:p>
        </w:tc>
        <w:tc>
          <w:tcPr>
            <w:tcW w:w="413" w:type="pct"/>
            <w:shd w:val="clear" w:color="auto" w:fill="auto"/>
            <w:noWrap/>
            <w:vAlign w:val="center"/>
          </w:tcPr>
          <w:p>
            <w:pPr>
              <w:widowControl/>
              <w:spacing w:line="240" w:lineRule="auto"/>
              <w:jc w:val="center"/>
              <w:rPr>
                <w:rFonts w:hint="default" w:ascii="Times New Roman" w:hAnsi="Times New Roman" w:eastAsia="仿宋" w:cs="Times New Roman"/>
                <w:color w:val="000000"/>
                <w:kern w:val="0"/>
                <w:sz w:val="22"/>
                <w:szCs w:val="22"/>
              </w:rPr>
            </w:pPr>
            <w:r>
              <w:rPr>
                <w:rFonts w:hint="default" w:ascii="Times New Roman" w:hAnsi="Times New Roman" w:eastAsia="仿宋" w:cs="Times New Roman"/>
                <w:color w:val="000000"/>
                <w:kern w:val="0"/>
                <w:sz w:val="22"/>
                <w:szCs w:val="22"/>
              </w:rPr>
              <w:t>4.00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1280" w:type="pct"/>
            <w:vMerge w:val="restart"/>
            <w:shd w:val="clear" w:color="auto" w:fill="auto"/>
            <w:noWrap/>
            <w:vAlign w:val="center"/>
          </w:tcPr>
          <w:p>
            <w:pPr>
              <w:widowControl/>
              <w:spacing w:line="240" w:lineRule="auto"/>
              <w:jc w:val="center"/>
              <w:rPr>
                <w:rFonts w:hint="eastAsia" w:ascii="Times New Roman" w:hAnsi="Times New Roman" w:eastAsia="仿宋" w:cs="Times New Roman"/>
                <w:b/>
                <w:bCs/>
                <w:color w:val="000000"/>
                <w:kern w:val="0"/>
                <w:sz w:val="22"/>
                <w:szCs w:val="22"/>
                <w:lang w:eastAsia="zh-CN"/>
              </w:rPr>
            </w:pPr>
            <w:r>
              <w:rPr>
                <w:rFonts w:hint="default" w:ascii="Times New Roman" w:hAnsi="Times New Roman" w:eastAsia="仿宋" w:cs="Times New Roman"/>
                <w:b/>
                <w:bCs/>
                <w:color w:val="000000"/>
                <w:kern w:val="0"/>
                <w:sz w:val="22"/>
                <w:szCs w:val="22"/>
              </w:rPr>
              <w:t>过程指标（20分</w:t>
            </w:r>
            <w:r>
              <w:rPr>
                <w:rFonts w:hint="eastAsia" w:ascii="Times New Roman" w:hAnsi="Times New Roman" w:eastAsia="仿宋" w:cs="Times New Roman"/>
                <w:b/>
                <w:bCs/>
                <w:color w:val="000000"/>
                <w:kern w:val="0"/>
                <w:sz w:val="22"/>
                <w:szCs w:val="22"/>
                <w:lang w:eastAsia="zh-CN"/>
              </w:rPr>
              <w:t>）</w:t>
            </w:r>
          </w:p>
        </w:tc>
        <w:tc>
          <w:tcPr>
            <w:tcW w:w="1273" w:type="pct"/>
            <w:vMerge w:val="restart"/>
            <w:shd w:val="clear" w:color="auto" w:fill="auto"/>
            <w:noWrap/>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资金管理（10分</w:t>
            </w:r>
            <w:r>
              <w:rPr>
                <w:rFonts w:hint="eastAsia" w:ascii="Times New Roman" w:hAnsi="Times New Roman" w:eastAsia="仿宋" w:cs="Times New Roman"/>
                <w:color w:val="000000"/>
                <w:kern w:val="0"/>
                <w:sz w:val="22"/>
                <w:szCs w:val="22"/>
                <w:lang w:eastAsia="zh-CN"/>
              </w:rPr>
              <w:t>）</w:t>
            </w:r>
          </w:p>
        </w:tc>
        <w:tc>
          <w:tcPr>
            <w:tcW w:w="2032" w:type="pct"/>
            <w:gridSpan w:val="2"/>
            <w:shd w:val="clear" w:color="auto" w:fill="auto"/>
            <w:noWrap/>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预算执行率（5分</w:t>
            </w:r>
            <w:r>
              <w:rPr>
                <w:rFonts w:hint="eastAsia" w:ascii="Times New Roman" w:hAnsi="Times New Roman" w:eastAsia="仿宋" w:cs="Times New Roman"/>
                <w:color w:val="000000"/>
                <w:kern w:val="0"/>
                <w:sz w:val="22"/>
                <w:szCs w:val="22"/>
                <w:lang w:eastAsia="zh-CN"/>
              </w:rPr>
              <w:t>）</w:t>
            </w:r>
          </w:p>
        </w:tc>
        <w:tc>
          <w:tcPr>
            <w:tcW w:w="413" w:type="pct"/>
            <w:shd w:val="clear" w:color="auto" w:fill="auto"/>
            <w:noWrap/>
            <w:vAlign w:val="center"/>
          </w:tcPr>
          <w:p>
            <w:pPr>
              <w:widowControl/>
              <w:spacing w:line="240" w:lineRule="auto"/>
              <w:jc w:val="center"/>
              <w:rPr>
                <w:rFonts w:hint="default" w:ascii="Times New Roman" w:hAnsi="Times New Roman" w:eastAsia="仿宋" w:cs="Times New Roman"/>
                <w:color w:val="000000"/>
                <w:kern w:val="0"/>
                <w:sz w:val="22"/>
                <w:szCs w:val="22"/>
              </w:rPr>
            </w:pPr>
            <w:r>
              <w:rPr>
                <w:rFonts w:hint="eastAsia" w:ascii="Times New Roman" w:hAnsi="Times New Roman" w:eastAsia="仿宋" w:cs="Times New Roman"/>
                <w:color w:val="000000"/>
                <w:kern w:val="0"/>
                <w:sz w:val="22"/>
                <w:szCs w:val="22"/>
                <w:lang w:val="en-US" w:eastAsia="zh-CN"/>
              </w:rPr>
              <w:t>4</w:t>
            </w:r>
            <w:r>
              <w:rPr>
                <w:rFonts w:hint="default" w:ascii="Times New Roman" w:hAnsi="Times New Roman" w:eastAsia="仿宋" w:cs="Times New Roman"/>
                <w:color w:val="000000"/>
                <w:kern w:val="0"/>
                <w:sz w:val="22"/>
                <w:szCs w:val="22"/>
              </w:rPr>
              <w:t>.00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1280" w:type="pct"/>
            <w:vMerge w:val="continue"/>
            <w:vAlign w:val="center"/>
          </w:tcPr>
          <w:p>
            <w:pPr>
              <w:widowControl/>
              <w:spacing w:line="240" w:lineRule="auto"/>
              <w:jc w:val="left"/>
              <w:rPr>
                <w:rFonts w:hint="default" w:ascii="Times New Roman" w:hAnsi="Times New Roman" w:eastAsia="仿宋" w:cs="Times New Roman"/>
                <w:b/>
                <w:bCs/>
                <w:color w:val="000000"/>
                <w:kern w:val="0"/>
                <w:sz w:val="22"/>
                <w:szCs w:val="22"/>
              </w:rPr>
            </w:pPr>
          </w:p>
        </w:tc>
        <w:tc>
          <w:tcPr>
            <w:tcW w:w="1273" w:type="pct"/>
            <w:vMerge w:val="continue"/>
            <w:vAlign w:val="center"/>
          </w:tcPr>
          <w:p>
            <w:pPr>
              <w:widowControl/>
              <w:spacing w:line="240" w:lineRule="auto"/>
              <w:jc w:val="left"/>
              <w:rPr>
                <w:rFonts w:hint="default" w:ascii="Times New Roman" w:hAnsi="Times New Roman" w:eastAsia="仿宋" w:cs="Times New Roman"/>
                <w:color w:val="000000"/>
                <w:kern w:val="0"/>
                <w:sz w:val="22"/>
                <w:szCs w:val="22"/>
              </w:rPr>
            </w:pPr>
          </w:p>
        </w:tc>
        <w:tc>
          <w:tcPr>
            <w:tcW w:w="2032" w:type="pct"/>
            <w:gridSpan w:val="2"/>
            <w:shd w:val="clear" w:color="auto" w:fill="auto"/>
            <w:noWrap/>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资金使用合规性（5分</w:t>
            </w:r>
            <w:r>
              <w:rPr>
                <w:rFonts w:hint="eastAsia" w:ascii="Times New Roman" w:hAnsi="Times New Roman" w:eastAsia="仿宋" w:cs="Times New Roman"/>
                <w:color w:val="000000"/>
                <w:kern w:val="0"/>
                <w:sz w:val="22"/>
                <w:szCs w:val="22"/>
                <w:lang w:eastAsia="zh-CN"/>
              </w:rPr>
              <w:t>）</w:t>
            </w:r>
          </w:p>
        </w:tc>
        <w:tc>
          <w:tcPr>
            <w:tcW w:w="413" w:type="pct"/>
            <w:shd w:val="clear" w:color="auto" w:fill="auto"/>
            <w:noWrap/>
            <w:vAlign w:val="center"/>
          </w:tcPr>
          <w:p>
            <w:pPr>
              <w:widowControl/>
              <w:spacing w:line="240" w:lineRule="auto"/>
              <w:jc w:val="center"/>
              <w:rPr>
                <w:rFonts w:hint="default" w:ascii="Times New Roman" w:hAnsi="Times New Roman" w:eastAsia="仿宋" w:cs="Times New Roman"/>
                <w:color w:val="000000"/>
                <w:kern w:val="0"/>
                <w:sz w:val="22"/>
                <w:szCs w:val="22"/>
              </w:rPr>
            </w:pPr>
            <w:r>
              <w:rPr>
                <w:rFonts w:hint="default" w:ascii="Times New Roman" w:hAnsi="Times New Roman" w:eastAsia="仿宋" w:cs="Times New Roman"/>
                <w:color w:val="000000"/>
                <w:kern w:val="0"/>
                <w:sz w:val="22"/>
                <w:szCs w:val="22"/>
              </w:rPr>
              <w:t>3.75</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1280" w:type="pct"/>
            <w:vMerge w:val="continue"/>
            <w:vAlign w:val="center"/>
          </w:tcPr>
          <w:p>
            <w:pPr>
              <w:widowControl/>
              <w:spacing w:line="240" w:lineRule="auto"/>
              <w:jc w:val="left"/>
              <w:rPr>
                <w:rFonts w:hint="default" w:ascii="Times New Roman" w:hAnsi="Times New Roman" w:eastAsia="仿宋" w:cs="Times New Roman"/>
                <w:b/>
                <w:bCs/>
                <w:color w:val="000000"/>
                <w:kern w:val="0"/>
                <w:sz w:val="22"/>
                <w:szCs w:val="22"/>
              </w:rPr>
            </w:pPr>
          </w:p>
        </w:tc>
        <w:tc>
          <w:tcPr>
            <w:tcW w:w="1273" w:type="pct"/>
            <w:vMerge w:val="restart"/>
            <w:shd w:val="clear" w:color="auto" w:fill="auto"/>
            <w:noWrap/>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组织实施（10分</w:t>
            </w:r>
            <w:r>
              <w:rPr>
                <w:rFonts w:hint="eastAsia" w:ascii="Times New Roman" w:hAnsi="Times New Roman" w:eastAsia="仿宋" w:cs="Times New Roman"/>
                <w:color w:val="000000"/>
                <w:kern w:val="0"/>
                <w:sz w:val="22"/>
                <w:szCs w:val="22"/>
                <w:lang w:eastAsia="zh-CN"/>
              </w:rPr>
              <w:t>）</w:t>
            </w:r>
          </w:p>
        </w:tc>
        <w:tc>
          <w:tcPr>
            <w:tcW w:w="2032" w:type="pct"/>
            <w:gridSpan w:val="2"/>
            <w:shd w:val="clear" w:color="auto" w:fill="auto"/>
            <w:noWrap/>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管理制度健全性（5分</w:t>
            </w:r>
            <w:r>
              <w:rPr>
                <w:rFonts w:hint="eastAsia" w:ascii="Times New Roman" w:hAnsi="Times New Roman" w:eastAsia="仿宋" w:cs="Times New Roman"/>
                <w:color w:val="000000"/>
                <w:kern w:val="0"/>
                <w:sz w:val="22"/>
                <w:szCs w:val="22"/>
                <w:lang w:eastAsia="zh-CN"/>
              </w:rPr>
              <w:t>）</w:t>
            </w:r>
          </w:p>
        </w:tc>
        <w:tc>
          <w:tcPr>
            <w:tcW w:w="413" w:type="pct"/>
            <w:shd w:val="clear" w:color="auto" w:fill="auto"/>
            <w:noWrap/>
            <w:vAlign w:val="center"/>
          </w:tcPr>
          <w:p>
            <w:pPr>
              <w:widowControl/>
              <w:spacing w:line="240" w:lineRule="auto"/>
              <w:jc w:val="center"/>
              <w:rPr>
                <w:rFonts w:hint="default" w:ascii="Times New Roman" w:hAnsi="Times New Roman" w:eastAsia="仿宋" w:cs="Times New Roman"/>
                <w:color w:val="000000"/>
                <w:kern w:val="0"/>
                <w:sz w:val="22"/>
                <w:szCs w:val="22"/>
              </w:rPr>
            </w:pPr>
            <w:r>
              <w:rPr>
                <w:rFonts w:hint="default" w:ascii="Times New Roman" w:hAnsi="Times New Roman" w:eastAsia="仿宋" w:cs="Times New Roman"/>
                <w:color w:val="000000"/>
                <w:kern w:val="0"/>
                <w:sz w:val="22"/>
                <w:szCs w:val="22"/>
              </w:rPr>
              <w:t>5.00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1280" w:type="pct"/>
            <w:vMerge w:val="continue"/>
            <w:vAlign w:val="center"/>
          </w:tcPr>
          <w:p>
            <w:pPr>
              <w:widowControl/>
              <w:spacing w:line="240" w:lineRule="auto"/>
              <w:jc w:val="left"/>
              <w:rPr>
                <w:rFonts w:hint="default" w:ascii="Times New Roman" w:hAnsi="Times New Roman" w:eastAsia="仿宋" w:cs="Times New Roman"/>
                <w:b/>
                <w:bCs/>
                <w:color w:val="000000"/>
                <w:kern w:val="0"/>
                <w:sz w:val="22"/>
                <w:szCs w:val="22"/>
              </w:rPr>
            </w:pPr>
          </w:p>
        </w:tc>
        <w:tc>
          <w:tcPr>
            <w:tcW w:w="1273" w:type="pct"/>
            <w:vMerge w:val="continue"/>
            <w:vAlign w:val="center"/>
          </w:tcPr>
          <w:p>
            <w:pPr>
              <w:widowControl/>
              <w:spacing w:line="240" w:lineRule="auto"/>
              <w:jc w:val="left"/>
              <w:rPr>
                <w:rFonts w:hint="default" w:ascii="Times New Roman" w:hAnsi="Times New Roman" w:eastAsia="仿宋" w:cs="Times New Roman"/>
                <w:color w:val="000000"/>
                <w:kern w:val="0"/>
                <w:sz w:val="22"/>
                <w:szCs w:val="22"/>
              </w:rPr>
            </w:pPr>
          </w:p>
        </w:tc>
        <w:tc>
          <w:tcPr>
            <w:tcW w:w="2032" w:type="pct"/>
            <w:gridSpan w:val="2"/>
            <w:shd w:val="clear" w:color="auto" w:fill="auto"/>
            <w:noWrap/>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制度执行有效性（5分</w:t>
            </w:r>
            <w:r>
              <w:rPr>
                <w:rFonts w:hint="eastAsia" w:ascii="Times New Roman" w:hAnsi="Times New Roman" w:eastAsia="仿宋" w:cs="Times New Roman"/>
                <w:color w:val="000000"/>
                <w:kern w:val="0"/>
                <w:sz w:val="22"/>
                <w:szCs w:val="22"/>
                <w:lang w:eastAsia="zh-CN"/>
              </w:rPr>
              <w:t>）</w:t>
            </w:r>
          </w:p>
        </w:tc>
        <w:tc>
          <w:tcPr>
            <w:tcW w:w="413" w:type="pct"/>
            <w:shd w:val="clear" w:color="auto" w:fill="auto"/>
            <w:noWrap/>
            <w:vAlign w:val="center"/>
          </w:tcPr>
          <w:p>
            <w:pPr>
              <w:widowControl/>
              <w:spacing w:line="240" w:lineRule="auto"/>
              <w:jc w:val="center"/>
              <w:rPr>
                <w:rFonts w:hint="default" w:ascii="Times New Roman" w:hAnsi="Times New Roman" w:eastAsia="仿宋" w:cs="Times New Roman"/>
                <w:color w:val="000000"/>
                <w:kern w:val="0"/>
                <w:sz w:val="22"/>
                <w:szCs w:val="22"/>
              </w:rPr>
            </w:pPr>
            <w:r>
              <w:rPr>
                <w:rFonts w:hint="default" w:ascii="Times New Roman" w:hAnsi="Times New Roman" w:eastAsia="仿宋" w:cs="Times New Roman"/>
                <w:color w:val="000000"/>
                <w:kern w:val="0"/>
                <w:sz w:val="22"/>
                <w:szCs w:val="22"/>
              </w:rPr>
              <w:t>3.75</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1280" w:type="pct"/>
            <w:vMerge w:val="restart"/>
            <w:shd w:val="clear" w:color="auto" w:fill="auto"/>
            <w:vAlign w:val="center"/>
          </w:tcPr>
          <w:p>
            <w:pPr>
              <w:widowControl/>
              <w:spacing w:line="240" w:lineRule="auto"/>
              <w:jc w:val="center"/>
              <w:rPr>
                <w:rFonts w:hint="eastAsia" w:ascii="Times New Roman" w:hAnsi="Times New Roman" w:eastAsia="仿宋" w:cs="Times New Roman"/>
                <w:b/>
                <w:bCs/>
                <w:color w:val="000000"/>
                <w:kern w:val="0"/>
                <w:sz w:val="22"/>
                <w:szCs w:val="22"/>
                <w:lang w:eastAsia="zh-CN"/>
              </w:rPr>
            </w:pPr>
            <w:r>
              <w:rPr>
                <w:rFonts w:hint="default" w:ascii="Times New Roman" w:hAnsi="Times New Roman" w:eastAsia="仿宋" w:cs="Times New Roman"/>
                <w:b/>
                <w:bCs/>
                <w:color w:val="000000"/>
                <w:kern w:val="0"/>
                <w:sz w:val="22"/>
                <w:szCs w:val="22"/>
              </w:rPr>
              <w:t>产出指标（40分</w:t>
            </w:r>
            <w:r>
              <w:rPr>
                <w:rFonts w:hint="eastAsia" w:ascii="Times New Roman" w:hAnsi="Times New Roman" w:eastAsia="仿宋" w:cs="Times New Roman"/>
                <w:b/>
                <w:bCs/>
                <w:color w:val="000000"/>
                <w:kern w:val="0"/>
                <w:sz w:val="22"/>
                <w:szCs w:val="22"/>
                <w:lang w:eastAsia="zh-CN"/>
              </w:rPr>
              <w:t>）</w:t>
            </w:r>
          </w:p>
        </w:tc>
        <w:tc>
          <w:tcPr>
            <w:tcW w:w="1273" w:type="pct"/>
            <w:vMerge w:val="restart"/>
            <w:shd w:val="clear" w:color="auto" w:fill="auto"/>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数量指标（16分</w:t>
            </w:r>
            <w:r>
              <w:rPr>
                <w:rFonts w:hint="eastAsia" w:ascii="Times New Roman" w:hAnsi="Times New Roman" w:eastAsia="仿宋" w:cs="Times New Roman"/>
                <w:color w:val="000000"/>
                <w:kern w:val="0"/>
                <w:sz w:val="22"/>
                <w:szCs w:val="22"/>
                <w:lang w:eastAsia="zh-CN"/>
              </w:rPr>
              <w:t>）</w:t>
            </w:r>
          </w:p>
        </w:tc>
        <w:tc>
          <w:tcPr>
            <w:tcW w:w="2032" w:type="pct"/>
            <w:gridSpan w:val="2"/>
            <w:shd w:val="clear" w:color="auto" w:fill="auto"/>
            <w:noWrap/>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健身路径（4分</w:t>
            </w:r>
            <w:r>
              <w:rPr>
                <w:rFonts w:hint="eastAsia" w:ascii="Times New Roman" w:hAnsi="Times New Roman" w:eastAsia="仿宋" w:cs="Times New Roman"/>
                <w:color w:val="000000"/>
                <w:kern w:val="0"/>
                <w:sz w:val="22"/>
                <w:szCs w:val="22"/>
                <w:lang w:eastAsia="zh-CN"/>
              </w:rPr>
              <w:t>）</w:t>
            </w:r>
          </w:p>
        </w:tc>
        <w:tc>
          <w:tcPr>
            <w:tcW w:w="413" w:type="pct"/>
            <w:shd w:val="clear" w:color="auto" w:fill="auto"/>
            <w:vAlign w:val="center"/>
          </w:tcPr>
          <w:p>
            <w:pPr>
              <w:widowControl/>
              <w:spacing w:line="240" w:lineRule="auto"/>
              <w:jc w:val="center"/>
              <w:rPr>
                <w:rFonts w:hint="default" w:ascii="Times New Roman" w:hAnsi="Times New Roman" w:eastAsia="仿宋" w:cs="Times New Roman"/>
                <w:color w:val="000000"/>
                <w:kern w:val="0"/>
                <w:sz w:val="22"/>
                <w:szCs w:val="22"/>
              </w:rPr>
            </w:pPr>
            <w:r>
              <w:rPr>
                <w:rFonts w:hint="default" w:ascii="Times New Roman" w:hAnsi="Times New Roman" w:eastAsia="仿宋" w:cs="Times New Roman"/>
                <w:color w:val="000000"/>
                <w:kern w:val="0"/>
                <w:sz w:val="22"/>
                <w:szCs w:val="22"/>
              </w:rPr>
              <w:t>4.00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1280" w:type="pct"/>
            <w:vMerge w:val="continue"/>
            <w:vAlign w:val="center"/>
          </w:tcPr>
          <w:p>
            <w:pPr>
              <w:widowControl/>
              <w:spacing w:line="240" w:lineRule="auto"/>
              <w:jc w:val="left"/>
              <w:rPr>
                <w:rFonts w:hint="default" w:ascii="Times New Roman" w:hAnsi="Times New Roman" w:eastAsia="仿宋" w:cs="Times New Roman"/>
                <w:b/>
                <w:bCs/>
                <w:color w:val="000000"/>
                <w:kern w:val="0"/>
                <w:sz w:val="22"/>
                <w:szCs w:val="22"/>
              </w:rPr>
            </w:pPr>
          </w:p>
        </w:tc>
        <w:tc>
          <w:tcPr>
            <w:tcW w:w="1273" w:type="pct"/>
            <w:vMerge w:val="continue"/>
            <w:shd w:val="clear" w:color="auto" w:fill="auto"/>
            <w:vAlign w:val="center"/>
          </w:tcPr>
          <w:p>
            <w:pPr>
              <w:widowControl/>
              <w:spacing w:line="240" w:lineRule="auto"/>
              <w:jc w:val="center"/>
              <w:rPr>
                <w:rFonts w:hint="default" w:ascii="Times New Roman" w:hAnsi="Times New Roman" w:eastAsia="仿宋" w:cs="Times New Roman"/>
                <w:color w:val="000000"/>
                <w:kern w:val="0"/>
                <w:sz w:val="22"/>
                <w:szCs w:val="22"/>
              </w:rPr>
            </w:pPr>
          </w:p>
        </w:tc>
        <w:tc>
          <w:tcPr>
            <w:tcW w:w="2032" w:type="pct"/>
            <w:gridSpan w:val="2"/>
            <w:shd w:val="clear" w:color="auto" w:fill="auto"/>
            <w:noWrap/>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足球场（4分</w:t>
            </w:r>
            <w:r>
              <w:rPr>
                <w:rFonts w:hint="eastAsia" w:ascii="Times New Roman" w:hAnsi="Times New Roman" w:eastAsia="仿宋" w:cs="Times New Roman"/>
                <w:color w:val="000000"/>
                <w:kern w:val="0"/>
                <w:sz w:val="22"/>
                <w:szCs w:val="22"/>
                <w:lang w:eastAsia="zh-CN"/>
              </w:rPr>
              <w:t>）</w:t>
            </w:r>
          </w:p>
        </w:tc>
        <w:tc>
          <w:tcPr>
            <w:tcW w:w="413" w:type="pct"/>
            <w:shd w:val="clear" w:color="auto" w:fill="auto"/>
            <w:vAlign w:val="center"/>
          </w:tcPr>
          <w:p>
            <w:pPr>
              <w:widowControl/>
              <w:spacing w:line="240" w:lineRule="auto"/>
              <w:jc w:val="center"/>
              <w:rPr>
                <w:rFonts w:hint="default" w:ascii="Times New Roman" w:hAnsi="Times New Roman" w:eastAsia="仿宋" w:cs="Times New Roman"/>
                <w:color w:val="000000"/>
                <w:kern w:val="0"/>
                <w:sz w:val="22"/>
                <w:szCs w:val="22"/>
              </w:rPr>
            </w:pPr>
            <w:r>
              <w:rPr>
                <w:rFonts w:hint="default" w:ascii="Times New Roman" w:hAnsi="Times New Roman" w:eastAsia="仿宋" w:cs="Times New Roman"/>
                <w:color w:val="000000"/>
                <w:kern w:val="0"/>
                <w:sz w:val="22"/>
                <w:szCs w:val="22"/>
              </w:rPr>
              <w:t>4.00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1280" w:type="pct"/>
            <w:vMerge w:val="continue"/>
            <w:vAlign w:val="center"/>
          </w:tcPr>
          <w:p>
            <w:pPr>
              <w:widowControl/>
              <w:spacing w:line="240" w:lineRule="auto"/>
              <w:jc w:val="left"/>
              <w:rPr>
                <w:rFonts w:hint="default" w:ascii="Times New Roman" w:hAnsi="Times New Roman" w:eastAsia="仿宋" w:cs="Times New Roman"/>
                <w:b/>
                <w:bCs/>
                <w:color w:val="000000"/>
                <w:kern w:val="0"/>
                <w:sz w:val="22"/>
                <w:szCs w:val="22"/>
              </w:rPr>
            </w:pPr>
          </w:p>
        </w:tc>
        <w:tc>
          <w:tcPr>
            <w:tcW w:w="1273" w:type="pct"/>
            <w:vMerge w:val="continue"/>
            <w:shd w:val="clear" w:color="auto" w:fill="auto"/>
            <w:vAlign w:val="center"/>
          </w:tcPr>
          <w:p>
            <w:pPr>
              <w:widowControl/>
              <w:spacing w:line="240" w:lineRule="auto"/>
              <w:jc w:val="center"/>
              <w:rPr>
                <w:rFonts w:hint="default" w:ascii="Times New Roman" w:hAnsi="Times New Roman" w:eastAsia="仿宋" w:cs="Times New Roman"/>
                <w:color w:val="000000"/>
                <w:kern w:val="0"/>
                <w:sz w:val="22"/>
                <w:szCs w:val="22"/>
              </w:rPr>
            </w:pPr>
          </w:p>
        </w:tc>
        <w:tc>
          <w:tcPr>
            <w:tcW w:w="2032" w:type="pct"/>
            <w:gridSpan w:val="2"/>
            <w:shd w:val="clear" w:color="auto" w:fill="auto"/>
            <w:noWrap/>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多功能运动场（4分</w:t>
            </w:r>
            <w:r>
              <w:rPr>
                <w:rFonts w:hint="eastAsia" w:ascii="Times New Roman" w:hAnsi="Times New Roman" w:eastAsia="仿宋" w:cs="Times New Roman"/>
                <w:color w:val="000000"/>
                <w:kern w:val="0"/>
                <w:sz w:val="22"/>
                <w:szCs w:val="22"/>
                <w:lang w:eastAsia="zh-CN"/>
              </w:rPr>
              <w:t>）</w:t>
            </w:r>
          </w:p>
        </w:tc>
        <w:tc>
          <w:tcPr>
            <w:tcW w:w="413" w:type="pct"/>
            <w:shd w:val="clear" w:color="auto" w:fill="auto"/>
            <w:vAlign w:val="center"/>
          </w:tcPr>
          <w:p>
            <w:pPr>
              <w:widowControl/>
              <w:spacing w:line="240" w:lineRule="auto"/>
              <w:jc w:val="center"/>
              <w:rPr>
                <w:rFonts w:hint="default" w:ascii="Times New Roman" w:hAnsi="Times New Roman" w:eastAsia="仿宋" w:cs="Times New Roman"/>
                <w:color w:val="000000"/>
                <w:kern w:val="0"/>
                <w:sz w:val="22"/>
                <w:szCs w:val="22"/>
              </w:rPr>
            </w:pPr>
            <w:r>
              <w:rPr>
                <w:rFonts w:hint="default" w:ascii="Times New Roman" w:hAnsi="Times New Roman" w:eastAsia="仿宋" w:cs="Times New Roman"/>
                <w:color w:val="000000"/>
                <w:kern w:val="0"/>
                <w:sz w:val="22"/>
                <w:szCs w:val="22"/>
              </w:rPr>
              <w:t>4.00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1280" w:type="pct"/>
            <w:vMerge w:val="continue"/>
            <w:vAlign w:val="center"/>
          </w:tcPr>
          <w:p>
            <w:pPr>
              <w:widowControl/>
              <w:spacing w:line="240" w:lineRule="auto"/>
              <w:jc w:val="left"/>
              <w:rPr>
                <w:rFonts w:hint="default" w:ascii="Times New Roman" w:hAnsi="Times New Roman" w:eastAsia="仿宋" w:cs="Times New Roman"/>
                <w:b/>
                <w:bCs/>
                <w:color w:val="000000"/>
                <w:kern w:val="0"/>
                <w:sz w:val="22"/>
                <w:szCs w:val="22"/>
              </w:rPr>
            </w:pPr>
          </w:p>
        </w:tc>
        <w:tc>
          <w:tcPr>
            <w:tcW w:w="1273" w:type="pct"/>
            <w:vMerge w:val="continue"/>
            <w:vAlign w:val="center"/>
          </w:tcPr>
          <w:p>
            <w:pPr>
              <w:widowControl/>
              <w:spacing w:line="240" w:lineRule="auto"/>
              <w:jc w:val="center"/>
              <w:rPr>
                <w:rFonts w:hint="default" w:ascii="Times New Roman" w:hAnsi="Times New Roman" w:eastAsia="仿宋" w:cs="Times New Roman"/>
                <w:color w:val="000000"/>
                <w:kern w:val="0"/>
                <w:sz w:val="22"/>
                <w:szCs w:val="22"/>
              </w:rPr>
            </w:pPr>
          </w:p>
        </w:tc>
        <w:tc>
          <w:tcPr>
            <w:tcW w:w="2032" w:type="pct"/>
            <w:gridSpan w:val="2"/>
            <w:shd w:val="clear" w:color="auto" w:fill="auto"/>
            <w:noWrap/>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口袋公园健身设施（4分</w:t>
            </w:r>
            <w:r>
              <w:rPr>
                <w:rFonts w:hint="eastAsia" w:ascii="Times New Roman" w:hAnsi="Times New Roman" w:eastAsia="仿宋" w:cs="Times New Roman"/>
                <w:color w:val="000000"/>
                <w:kern w:val="0"/>
                <w:sz w:val="22"/>
                <w:szCs w:val="22"/>
                <w:lang w:eastAsia="zh-CN"/>
              </w:rPr>
              <w:t>）</w:t>
            </w:r>
          </w:p>
        </w:tc>
        <w:tc>
          <w:tcPr>
            <w:tcW w:w="413" w:type="pct"/>
            <w:shd w:val="clear" w:color="auto" w:fill="auto"/>
            <w:vAlign w:val="center"/>
          </w:tcPr>
          <w:p>
            <w:pPr>
              <w:widowControl/>
              <w:spacing w:line="240" w:lineRule="auto"/>
              <w:jc w:val="center"/>
              <w:rPr>
                <w:rFonts w:hint="default" w:ascii="Times New Roman" w:hAnsi="Times New Roman" w:eastAsia="仿宋" w:cs="Times New Roman"/>
                <w:color w:val="000000"/>
                <w:kern w:val="0"/>
                <w:sz w:val="22"/>
                <w:szCs w:val="22"/>
              </w:rPr>
            </w:pPr>
            <w:r>
              <w:rPr>
                <w:rFonts w:hint="default" w:ascii="Times New Roman" w:hAnsi="Times New Roman" w:eastAsia="仿宋" w:cs="Times New Roman"/>
                <w:color w:val="000000"/>
                <w:kern w:val="0"/>
                <w:sz w:val="22"/>
                <w:szCs w:val="22"/>
              </w:rPr>
              <w:t>4.00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1280" w:type="pct"/>
            <w:vMerge w:val="continue"/>
            <w:vAlign w:val="center"/>
          </w:tcPr>
          <w:p>
            <w:pPr>
              <w:widowControl/>
              <w:spacing w:line="240" w:lineRule="auto"/>
              <w:jc w:val="left"/>
              <w:rPr>
                <w:rFonts w:hint="default" w:ascii="Times New Roman" w:hAnsi="Times New Roman" w:eastAsia="仿宋" w:cs="Times New Roman"/>
                <w:b/>
                <w:bCs/>
                <w:color w:val="000000"/>
                <w:kern w:val="0"/>
                <w:sz w:val="22"/>
                <w:szCs w:val="22"/>
              </w:rPr>
            </w:pPr>
          </w:p>
        </w:tc>
        <w:tc>
          <w:tcPr>
            <w:tcW w:w="1273" w:type="pct"/>
            <w:vMerge w:val="restart"/>
            <w:shd w:val="clear" w:color="auto" w:fill="auto"/>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质量指标（8分</w:t>
            </w:r>
            <w:r>
              <w:rPr>
                <w:rFonts w:hint="eastAsia" w:ascii="Times New Roman" w:hAnsi="Times New Roman" w:eastAsia="仿宋" w:cs="Times New Roman"/>
                <w:color w:val="000000"/>
                <w:kern w:val="0"/>
                <w:sz w:val="22"/>
                <w:szCs w:val="22"/>
                <w:lang w:eastAsia="zh-CN"/>
              </w:rPr>
              <w:t>）</w:t>
            </w:r>
          </w:p>
        </w:tc>
        <w:tc>
          <w:tcPr>
            <w:tcW w:w="2032" w:type="pct"/>
            <w:gridSpan w:val="2"/>
            <w:shd w:val="clear" w:color="auto" w:fill="auto"/>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竣工验收合格率（4分</w:t>
            </w:r>
            <w:r>
              <w:rPr>
                <w:rFonts w:hint="eastAsia" w:ascii="Times New Roman" w:hAnsi="Times New Roman" w:eastAsia="仿宋" w:cs="Times New Roman"/>
                <w:color w:val="000000"/>
                <w:kern w:val="0"/>
                <w:sz w:val="22"/>
                <w:szCs w:val="22"/>
                <w:lang w:eastAsia="zh-CN"/>
              </w:rPr>
              <w:t>）</w:t>
            </w:r>
          </w:p>
        </w:tc>
        <w:tc>
          <w:tcPr>
            <w:tcW w:w="413" w:type="pct"/>
            <w:shd w:val="clear" w:color="auto" w:fill="auto"/>
            <w:vAlign w:val="center"/>
          </w:tcPr>
          <w:p>
            <w:pPr>
              <w:widowControl/>
              <w:spacing w:line="240" w:lineRule="auto"/>
              <w:jc w:val="center"/>
              <w:rPr>
                <w:rFonts w:hint="default" w:ascii="Times New Roman" w:hAnsi="Times New Roman" w:eastAsia="仿宋" w:cs="Times New Roman"/>
                <w:color w:val="000000"/>
                <w:kern w:val="0"/>
                <w:sz w:val="22"/>
                <w:szCs w:val="22"/>
              </w:rPr>
            </w:pPr>
            <w:r>
              <w:rPr>
                <w:rFonts w:hint="default" w:ascii="Times New Roman" w:hAnsi="Times New Roman" w:eastAsia="仿宋" w:cs="Times New Roman"/>
                <w:color w:val="000000"/>
                <w:kern w:val="0"/>
                <w:sz w:val="22"/>
                <w:szCs w:val="22"/>
              </w:rPr>
              <w:t>4.00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1280" w:type="pct"/>
            <w:vMerge w:val="continue"/>
            <w:vAlign w:val="center"/>
          </w:tcPr>
          <w:p>
            <w:pPr>
              <w:widowControl/>
              <w:spacing w:line="240" w:lineRule="auto"/>
              <w:jc w:val="left"/>
              <w:rPr>
                <w:rFonts w:hint="default" w:ascii="Times New Roman" w:hAnsi="Times New Roman" w:eastAsia="仿宋" w:cs="Times New Roman"/>
                <w:b/>
                <w:bCs/>
                <w:color w:val="000000"/>
                <w:kern w:val="0"/>
                <w:sz w:val="22"/>
                <w:szCs w:val="22"/>
              </w:rPr>
            </w:pPr>
          </w:p>
        </w:tc>
        <w:tc>
          <w:tcPr>
            <w:tcW w:w="1273" w:type="pct"/>
            <w:vMerge w:val="continue"/>
            <w:shd w:val="clear" w:color="auto" w:fill="auto"/>
            <w:vAlign w:val="center"/>
          </w:tcPr>
          <w:p>
            <w:pPr>
              <w:widowControl/>
              <w:spacing w:line="240" w:lineRule="auto"/>
              <w:jc w:val="center"/>
              <w:rPr>
                <w:rFonts w:hint="default" w:ascii="Times New Roman" w:hAnsi="Times New Roman" w:eastAsia="仿宋" w:cs="Times New Roman"/>
                <w:color w:val="000000"/>
                <w:kern w:val="0"/>
                <w:sz w:val="22"/>
                <w:szCs w:val="22"/>
              </w:rPr>
            </w:pPr>
          </w:p>
        </w:tc>
        <w:tc>
          <w:tcPr>
            <w:tcW w:w="2032" w:type="pct"/>
            <w:gridSpan w:val="2"/>
            <w:shd w:val="clear" w:color="auto" w:fill="auto"/>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体育设施有序开放（4分</w:t>
            </w:r>
            <w:r>
              <w:rPr>
                <w:rFonts w:hint="eastAsia" w:ascii="Times New Roman" w:hAnsi="Times New Roman" w:eastAsia="仿宋" w:cs="Times New Roman"/>
                <w:color w:val="000000"/>
                <w:kern w:val="0"/>
                <w:sz w:val="22"/>
                <w:szCs w:val="22"/>
                <w:lang w:eastAsia="zh-CN"/>
              </w:rPr>
              <w:t>）</w:t>
            </w:r>
          </w:p>
        </w:tc>
        <w:tc>
          <w:tcPr>
            <w:tcW w:w="413" w:type="pct"/>
            <w:shd w:val="clear" w:color="auto" w:fill="auto"/>
            <w:vAlign w:val="center"/>
          </w:tcPr>
          <w:p>
            <w:pPr>
              <w:widowControl/>
              <w:spacing w:line="240" w:lineRule="auto"/>
              <w:jc w:val="center"/>
              <w:rPr>
                <w:rFonts w:hint="default" w:ascii="Times New Roman" w:hAnsi="Times New Roman" w:eastAsia="仿宋" w:cs="Times New Roman"/>
                <w:color w:val="000000"/>
                <w:kern w:val="0"/>
                <w:sz w:val="22"/>
                <w:szCs w:val="22"/>
              </w:rPr>
            </w:pPr>
            <w:r>
              <w:rPr>
                <w:rFonts w:hint="default" w:ascii="Times New Roman" w:hAnsi="Times New Roman" w:eastAsia="仿宋" w:cs="Times New Roman"/>
                <w:color w:val="000000"/>
                <w:kern w:val="0"/>
                <w:sz w:val="22"/>
                <w:szCs w:val="22"/>
              </w:rPr>
              <w:t>4.00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1280" w:type="pct"/>
            <w:vMerge w:val="restart"/>
            <w:shd w:val="clear" w:color="auto" w:fill="auto"/>
            <w:vAlign w:val="center"/>
          </w:tcPr>
          <w:p>
            <w:pPr>
              <w:widowControl/>
              <w:spacing w:line="240" w:lineRule="auto"/>
              <w:jc w:val="center"/>
              <w:rPr>
                <w:rFonts w:hint="eastAsia" w:ascii="Times New Roman" w:hAnsi="Times New Roman" w:eastAsia="仿宋" w:cs="Times New Roman"/>
                <w:b/>
                <w:bCs/>
                <w:color w:val="000000"/>
                <w:kern w:val="0"/>
                <w:sz w:val="22"/>
                <w:szCs w:val="22"/>
                <w:lang w:eastAsia="zh-CN"/>
              </w:rPr>
            </w:pPr>
            <w:r>
              <w:rPr>
                <w:rFonts w:hint="default" w:ascii="Times New Roman" w:hAnsi="Times New Roman" w:eastAsia="仿宋" w:cs="Times New Roman"/>
                <w:b/>
                <w:bCs/>
                <w:color w:val="000000"/>
                <w:kern w:val="0"/>
                <w:sz w:val="22"/>
                <w:szCs w:val="22"/>
              </w:rPr>
              <w:t>效益指标（20分</w:t>
            </w:r>
            <w:r>
              <w:rPr>
                <w:rFonts w:hint="eastAsia" w:ascii="Times New Roman" w:hAnsi="Times New Roman" w:eastAsia="仿宋" w:cs="Times New Roman"/>
                <w:b/>
                <w:bCs/>
                <w:color w:val="000000"/>
                <w:kern w:val="0"/>
                <w:sz w:val="22"/>
                <w:szCs w:val="22"/>
                <w:lang w:eastAsia="zh-CN"/>
              </w:rPr>
              <w:t>）</w:t>
            </w:r>
          </w:p>
        </w:tc>
        <w:tc>
          <w:tcPr>
            <w:tcW w:w="1273" w:type="pct"/>
            <w:shd w:val="clear" w:color="auto" w:fill="auto"/>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时效指标（7分</w:t>
            </w:r>
            <w:r>
              <w:rPr>
                <w:rFonts w:hint="eastAsia" w:ascii="Times New Roman" w:hAnsi="Times New Roman" w:eastAsia="仿宋" w:cs="Times New Roman"/>
                <w:color w:val="000000"/>
                <w:kern w:val="0"/>
                <w:sz w:val="22"/>
                <w:szCs w:val="22"/>
                <w:lang w:eastAsia="zh-CN"/>
              </w:rPr>
              <w:t>）</w:t>
            </w:r>
          </w:p>
        </w:tc>
        <w:tc>
          <w:tcPr>
            <w:tcW w:w="2032" w:type="pct"/>
            <w:gridSpan w:val="2"/>
            <w:shd w:val="clear" w:color="auto" w:fill="auto"/>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工程按期完成率（7分</w:t>
            </w:r>
            <w:r>
              <w:rPr>
                <w:rFonts w:hint="eastAsia" w:ascii="Times New Roman" w:hAnsi="Times New Roman" w:eastAsia="仿宋" w:cs="Times New Roman"/>
                <w:color w:val="000000"/>
                <w:kern w:val="0"/>
                <w:sz w:val="22"/>
                <w:szCs w:val="22"/>
                <w:lang w:eastAsia="zh-CN"/>
              </w:rPr>
              <w:t>）</w:t>
            </w:r>
          </w:p>
        </w:tc>
        <w:tc>
          <w:tcPr>
            <w:tcW w:w="413" w:type="pct"/>
            <w:shd w:val="clear" w:color="auto" w:fill="auto"/>
            <w:vAlign w:val="center"/>
          </w:tcPr>
          <w:p>
            <w:pPr>
              <w:widowControl/>
              <w:spacing w:line="240" w:lineRule="auto"/>
              <w:jc w:val="center"/>
              <w:rPr>
                <w:rFonts w:hint="default" w:ascii="Times New Roman" w:hAnsi="Times New Roman" w:eastAsia="仿宋" w:cs="Times New Roman"/>
                <w:color w:val="000000"/>
                <w:kern w:val="0"/>
                <w:sz w:val="22"/>
                <w:szCs w:val="22"/>
              </w:rPr>
            </w:pPr>
            <w:r>
              <w:rPr>
                <w:rFonts w:hint="default" w:ascii="Times New Roman" w:hAnsi="Times New Roman" w:eastAsia="仿宋" w:cs="Times New Roman"/>
                <w:color w:val="000000"/>
                <w:kern w:val="0"/>
                <w:sz w:val="22"/>
                <w:szCs w:val="22"/>
              </w:rPr>
              <w:t>7.00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1280" w:type="pct"/>
            <w:vMerge w:val="continue"/>
            <w:vAlign w:val="center"/>
          </w:tcPr>
          <w:p>
            <w:pPr>
              <w:widowControl/>
              <w:spacing w:line="240" w:lineRule="auto"/>
              <w:jc w:val="left"/>
              <w:rPr>
                <w:rFonts w:hint="default" w:ascii="Times New Roman" w:hAnsi="Times New Roman" w:eastAsia="仿宋" w:cs="Times New Roman"/>
                <w:b/>
                <w:bCs/>
                <w:color w:val="000000"/>
                <w:kern w:val="0"/>
                <w:sz w:val="22"/>
                <w:szCs w:val="22"/>
              </w:rPr>
            </w:pPr>
          </w:p>
        </w:tc>
        <w:tc>
          <w:tcPr>
            <w:tcW w:w="1273" w:type="pct"/>
            <w:shd w:val="clear" w:color="auto" w:fill="auto"/>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成本指标（9分</w:t>
            </w:r>
            <w:r>
              <w:rPr>
                <w:rFonts w:hint="eastAsia" w:ascii="Times New Roman" w:hAnsi="Times New Roman" w:eastAsia="仿宋" w:cs="Times New Roman"/>
                <w:color w:val="000000"/>
                <w:kern w:val="0"/>
                <w:sz w:val="22"/>
                <w:szCs w:val="22"/>
                <w:lang w:eastAsia="zh-CN"/>
              </w:rPr>
              <w:t>）</w:t>
            </w:r>
          </w:p>
        </w:tc>
        <w:tc>
          <w:tcPr>
            <w:tcW w:w="2032" w:type="pct"/>
            <w:gridSpan w:val="2"/>
            <w:shd w:val="clear" w:color="auto" w:fill="auto"/>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成本控制比例（9分</w:t>
            </w:r>
            <w:r>
              <w:rPr>
                <w:rFonts w:hint="eastAsia" w:ascii="Times New Roman" w:hAnsi="Times New Roman" w:eastAsia="仿宋" w:cs="Times New Roman"/>
                <w:color w:val="000000"/>
                <w:kern w:val="0"/>
                <w:sz w:val="22"/>
                <w:szCs w:val="22"/>
                <w:lang w:eastAsia="zh-CN"/>
              </w:rPr>
              <w:t>）</w:t>
            </w:r>
          </w:p>
        </w:tc>
        <w:tc>
          <w:tcPr>
            <w:tcW w:w="413" w:type="pct"/>
            <w:shd w:val="clear" w:color="auto" w:fill="auto"/>
            <w:vAlign w:val="center"/>
          </w:tcPr>
          <w:p>
            <w:pPr>
              <w:widowControl/>
              <w:spacing w:line="240" w:lineRule="auto"/>
              <w:jc w:val="center"/>
              <w:rPr>
                <w:rFonts w:hint="default" w:ascii="Times New Roman" w:hAnsi="Times New Roman" w:eastAsia="仿宋" w:cs="Times New Roman"/>
                <w:color w:val="000000"/>
                <w:kern w:val="0"/>
                <w:sz w:val="22"/>
                <w:szCs w:val="22"/>
              </w:rPr>
            </w:pPr>
            <w:r>
              <w:rPr>
                <w:rFonts w:hint="default" w:ascii="Times New Roman" w:hAnsi="Times New Roman" w:eastAsia="仿宋" w:cs="Times New Roman"/>
                <w:color w:val="000000"/>
                <w:kern w:val="0"/>
                <w:sz w:val="22"/>
                <w:szCs w:val="22"/>
              </w:rPr>
              <w:t>6.00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1280" w:type="pct"/>
            <w:vMerge w:val="continue"/>
            <w:vAlign w:val="center"/>
          </w:tcPr>
          <w:p>
            <w:pPr>
              <w:widowControl/>
              <w:spacing w:line="240" w:lineRule="auto"/>
              <w:jc w:val="left"/>
              <w:rPr>
                <w:rFonts w:hint="default" w:ascii="Times New Roman" w:hAnsi="Times New Roman" w:eastAsia="仿宋" w:cs="Times New Roman"/>
                <w:b/>
                <w:bCs/>
                <w:color w:val="000000"/>
                <w:kern w:val="0"/>
                <w:sz w:val="22"/>
                <w:szCs w:val="22"/>
              </w:rPr>
            </w:pPr>
          </w:p>
        </w:tc>
        <w:tc>
          <w:tcPr>
            <w:tcW w:w="1273" w:type="pct"/>
            <w:vMerge w:val="restart"/>
            <w:shd w:val="clear" w:color="auto" w:fill="auto"/>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社会效益（10分</w:t>
            </w:r>
            <w:r>
              <w:rPr>
                <w:rFonts w:hint="eastAsia" w:ascii="Times New Roman" w:hAnsi="Times New Roman" w:eastAsia="仿宋" w:cs="Times New Roman"/>
                <w:color w:val="000000"/>
                <w:kern w:val="0"/>
                <w:sz w:val="22"/>
                <w:szCs w:val="22"/>
                <w:lang w:eastAsia="zh-CN"/>
              </w:rPr>
              <w:t>）</w:t>
            </w:r>
          </w:p>
        </w:tc>
        <w:tc>
          <w:tcPr>
            <w:tcW w:w="2032" w:type="pct"/>
            <w:gridSpan w:val="2"/>
            <w:shd w:val="clear" w:color="auto" w:fill="auto"/>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健身环境改善程度（5分</w:t>
            </w:r>
            <w:r>
              <w:rPr>
                <w:rFonts w:hint="eastAsia" w:ascii="Times New Roman" w:hAnsi="Times New Roman" w:eastAsia="仿宋" w:cs="Times New Roman"/>
                <w:color w:val="000000"/>
                <w:kern w:val="0"/>
                <w:sz w:val="22"/>
                <w:szCs w:val="22"/>
                <w:lang w:eastAsia="zh-CN"/>
              </w:rPr>
              <w:t>）</w:t>
            </w:r>
          </w:p>
        </w:tc>
        <w:tc>
          <w:tcPr>
            <w:tcW w:w="413" w:type="pct"/>
            <w:shd w:val="clear" w:color="auto" w:fill="auto"/>
            <w:vAlign w:val="center"/>
          </w:tcPr>
          <w:p>
            <w:pPr>
              <w:widowControl/>
              <w:spacing w:line="240" w:lineRule="auto"/>
              <w:jc w:val="center"/>
              <w:rPr>
                <w:rFonts w:hint="default" w:ascii="Times New Roman" w:hAnsi="Times New Roman" w:eastAsia="仿宋" w:cs="Times New Roman"/>
                <w:color w:val="000000"/>
                <w:kern w:val="0"/>
                <w:sz w:val="22"/>
                <w:szCs w:val="22"/>
              </w:rPr>
            </w:pPr>
            <w:r>
              <w:rPr>
                <w:rFonts w:hint="default" w:ascii="Times New Roman" w:hAnsi="Times New Roman" w:eastAsia="仿宋" w:cs="Times New Roman"/>
                <w:color w:val="000000"/>
                <w:kern w:val="0"/>
                <w:sz w:val="22"/>
                <w:szCs w:val="22"/>
              </w:rPr>
              <w:t>5.00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1280" w:type="pct"/>
            <w:vMerge w:val="continue"/>
            <w:tcBorders>
              <w:bottom w:val="nil"/>
            </w:tcBorders>
            <w:vAlign w:val="center"/>
          </w:tcPr>
          <w:p>
            <w:pPr>
              <w:widowControl/>
              <w:spacing w:line="240" w:lineRule="auto"/>
              <w:jc w:val="left"/>
              <w:rPr>
                <w:rFonts w:hint="default" w:ascii="Times New Roman" w:hAnsi="Times New Roman" w:eastAsia="仿宋" w:cs="Times New Roman"/>
                <w:b/>
                <w:bCs/>
                <w:color w:val="000000"/>
                <w:kern w:val="0"/>
                <w:sz w:val="22"/>
                <w:szCs w:val="22"/>
              </w:rPr>
            </w:pPr>
          </w:p>
        </w:tc>
        <w:tc>
          <w:tcPr>
            <w:tcW w:w="1273" w:type="pct"/>
            <w:vMerge w:val="continue"/>
            <w:tcBorders>
              <w:bottom w:val="nil"/>
            </w:tcBorders>
            <w:shd w:val="clear" w:color="auto" w:fill="auto"/>
            <w:vAlign w:val="center"/>
          </w:tcPr>
          <w:p>
            <w:pPr>
              <w:widowControl/>
              <w:spacing w:line="240" w:lineRule="auto"/>
              <w:jc w:val="left"/>
              <w:rPr>
                <w:rFonts w:hint="default" w:ascii="Times New Roman" w:hAnsi="Times New Roman" w:eastAsia="仿宋" w:cs="Times New Roman"/>
                <w:color w:val="000000"/>
                <w:kern w:val="0"/>
                <w:sz w:val="22"/>
                <w:szCs w:val="22"/>
              </w:rPr>
            </w:pPr>
          </w:p>
        </w:tc>
        <w:tc>
          <w:tcPr>
            <w:tcW w:w="2032" w:type="pct"/>
            <w:gridSpan w:val="2"/>
            <w:tcBorders>
              <w:bottom w:val="nil"/>
            </w:tcBorders>
            <w:shd w:val="clear" w:color="auto" w:fill="auto"/>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公共服务水平的改善或提高（5分</w:t>
            </w:r>
            <w:r>
              <w:rPr>
                <w:rFonts w:hint="eastAsia" w:ascii="Times New Roman" w:hAnsi="Times New Roman" w:eastAsia="仿宋" w:cs="Times New Roman"/>
                <w:color w:val="000000"/>
                <w:kern w:val="0"/>
                <w:sz w:val="22"/>
                <w:szCs w:val="22"/>
                <w:lang w:eastAsia="zh-CN"/>
              </w:rPr>
              <w:t>）</w:t>
            </w:r>
          </w:p>
        </w:tc>
        <w:tc>
          <w:tcPr>
            <w:tcW w:w="413" w:type="pct"/>
            <w:tcBorders>
              <w:bottom w:val="nil"/>
            </w:tcBorders>
            <w:shd w:val="clear" w:color="auto" w:fill="auto"/>
            <w:vAlign w:val="center"/>
          </w:tcPr>
          <w:p>
            <w:pPr>
              <w:widowControl/>
              <w:spacing w:line="240" w:lineRule="auto"/>
              <w:jc w:val="center"/>
              <w:rPr>
                <w:rFonts w:hint="default" w:ascii="Times New Roman" w:hAnsi="Times New Roman" w:eastAsia="仿宋" w:cs="Times New Roman"/>
                <w:color w:val="000000"/>
                <w:kern w:val="0"/>
                <w:sz w:val="22"/>
                <w:szCs w:val="22"/>
              </w:rPr>
            </w:pPr>
            <w:r>
              <w:rPr>
                <w:rFonts w:hint="default" w:ascii="Times New Roman" w:hAnsi="Times New Roman" w:eastAsia="仿宋" w:cs="Times New Roman"/>
                <w:color w:val="000000"/>
                <w:kern w:val="0"/>
                <w:sz w:val="22"/>
                <w:szCs w:val="22"/>
              </w:rPr>
              <w:t>3.00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280" w:type="pct"/>
            <w:tcBorders>
              <w:bottom w:val="nil"/>
            </w:tcBorders>
            <w:vAlign w:val="center"/>
          </w:tcPr>
          <w:p>
            <w:pPr>
              <w:widowControl/>
              <w:spacing w:line="240" w:lineRule="auto"/>
              <w:jc w:val="left"/>
              <w:rPr>
                <w:rFonts w:hint="default" w:ascii="Times New Roman" w:hAnsi="Times New Roman" w:eastAsia="仿宋" w:cs="Times New Roman"/>
                <w:b/>
                <w:bCs/>
                <w:color w:val="000000"/>
                <w:kern w:val="0"/>
                <w:sz w:val="22"/>
                <w:szCs w:val="22"/>
              </w:rPr>
            </w:pPr>
          </w:p>
        </w:tc>
        <w:tc>
          <w:tcPr>
            <w:tcW w:w="1273" w:type="pct"/>
            <w:tcBorders>
              <w:bottom w:val="nil"/>
            </w:tcBorders>
            <w:shd w:val="clear" w:color="auto" w:fill="auto"/>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可持续效益（5分</w:t>
            </w:r>
            <w:r>
              <w:rPr>
                <w:rFonts w:hint="eastAsia" w:ascii="Times New Roman" w:hAnsi="Times New Roman" w:eastAsia="仿宋" w:cs="Times New Roman"/>
                <w:color w:val="000000"/>
                <w:kern w:val="0"/>
                <w:sz w:val="22"/>
                <w:szCs w:val="22"/>
                <w:lang w:eastAsia="zh-CN"/>
              </w:rPr>
              <w:t>）</w:t>
            </w:r>
          </w:p>
        </w:tc>
        <w:tc>
          <w:tcPr>
            <w:tcW w:w="2032" w:type="pct"/>
            <w:gridSpan w:val="2"/>
            <w:tcBorders>
              <w:bottom w:val="nil"/>
            </w:tcBorders>
            <w:shd w:val="clear" w:color="auto" w:fill="auto"/>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管护机制有效性（5分</w:t>
            </w:r>
            <w:r>
              <w:rPr>
                <w:rFonts w:hint="eastAsia" w:ascii="Times New Roman" w:hAnsi="Times New Roman" w:eastAsia="仿宋" w:cs="Times New Roman"/>
                <w:color w:val="000000"/>
                <w:kern w:val="0"/>
                <w:sz w:val="22"/>
                <w:szCs w:val="22"/>
                <w:lang w:eastAsia="zh-CN"/>
              </w:rPr>
              <w:t>）</w:t>
            </w:r>
          </w:p>
        </w:tc>
        <w:tc>
          <w:tcPr>
            <w:tcW w:w="413" w:type="pct"/>
            <w:tcBorders>
              <w:bottom w:val="nil"/>
            </w:tcBorders>
            <w:shd w:val="clear" w:color="auto" w:fill="auto"/>
            <w:vAlign w:val="center"/>
          </w:tcPr>
          <w:p>
            <w:pPr>
              <w:widowControl/>
              <w:spacing w:line="240" w:lineRule="auto"/>
              <w:jc w:val="center"/>
              <w:rPr>
                <w:rFonts w:hint="default" w:ascii="Times New Roman" w:hAnsi="Times New Roman" w:eastAsia="仿宋" w:cs="Times New Roman"/>
                <w:color w:val="000000"/>
                <w:kern w:val="0"/>
                <w:sz w:val="22"/>
                <w:szCs w:val="22"/>
              </w:rPr>
            </w:pPr>
            <w:r>
              <w:rPr>
                <w:rFonts w:hint="default" w:ascii="Times New Roman" w:hAnsi="Times New Roman" w:eastAsia="仿宋" w:cs="Times New Roman"/>
                <w:color w:val="000000"/>
                <w:kern w:val="0"/>
                <w:sz w:val="22"/>
                <w:szCs w:val="22"/>
              </w:rPr>
              <w:t>3.75</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1280" w:type="pct"/>
            <w:tcBorders>
              <w:bottom w:val="nil"/>
            </w:tcBorders>
            <w:vAlign w:val="center"/>
          </w:tcPr>
          <w:p>
            <w:pPr>
              <w:widowControl/>
              <w:spacing w:line="240" w:lineRule="auto"/>
              <w:jc w:val="left"/>
              <w:rPr>
                <w:rFonts w:hint="default" w:ascii="Times New Roman" w:hAnsi="Times New Roman" w:eastAsia="仿宋" w:cs="Times New Roman"/>
                <w:b/>
                <w:bCs/>
                <w:color w:val="000000"/>
                <w:kern w:val="0"/>
                <w:sz w:val="22"/>
                <w:szCs w:val="22"/>
              </w:rPr>
            </w:pPr>
          </w:p>
        </w:tc>
        <w:tc>
          <w:tcPr>
            <w:tcW w:w="1273" w:type="pct"/>
            <w:tcBorders>
              <w:bottom w:val="nil"/>
            </w:tcBorders>
            <w:shd w:val="clear" w:color="auto" w:fill="auto"/>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满意度（5分</w:t>
            </w:r>
            <w:r>
              <w:rPr>
                <w:rFonts w:hint="eastAsia" w:ascii="Times New Roman" w:hAnsi="Times New Roman" w:eastAsia="仿宋" w:cs="Times New Roman"/>
                <w:color w:val="000000"/>
                <w:kern w:val="0"/>
                <w:sz w:val="22"/>
                <w:szCs w:val="22"/>
                <w:lang w:eastAsia="zh-CN"/>
              </w:rPr>
              <w:t>）</w:t>
            </w:r>
          </w:p>
        </w:tc>
        <w:tc>
          <w:tcPr>
            <w:tcW w:w="2032" w:type="pct"/>
            <w:gridSpan w:val="2"/>
            <w:tcBorders>
              <w:bottom w:val="nil"/>
            </w:tcBorders>
            <w:shd w:val="clear" w:color="auto" w:fill="auto"/>
            <w:vAlign w:val="center"/>
          </w:tcPr>
          <w:p>
            <w:pPr>
              <w:widowControl/>
              <w:spacing w:line="240" w:lineRule="auto"/>
              <w:jc w:val="center"/>
              <w:rPr>
                <w:rFonts w:hint="eastAsia" w:ascii="Times New Roman" w:hAnsi="Times New Roman" w:eastAsia="仿宋" w:cs="Times New Roman"/>
                <w:color w:val="000000"/>
                <w:kern w:val="0"/>
                <w:sz w:val="22"/>
                <w:szCs w:val="22"/>
                <w:lang w:eastAsia="zh-CN"/>
              </w:rPr>
            </w:pPr>
            <w:r>
              <w:rPr>
                <w:rFonts w:hint="default" w:ascii="Times New Roman" w:hAnsi="Times New Roman" w:eastAsia="仿宋" w:cs="Times New Roman"/>
                <w:color w:val="000000"/>
                <w:kern w:val="0"/>
                <w:sz w:val="22"/>
                <w:szCs w:val="22"/>
              </w:rPr>
              <w:t>受益群众满意度（5分</w:t>
            </w:r>
            <w:r>
              <w:rPr>
                <w:rFonts w:hint="eastAsia" w:ascii="Times New Roman" w:hAnsi="Times New Roman" w:eastAsia="仿宋" w:cs="Times New Roman"/>
                <w:color w:val="000000"/>
                <w:kern w:val="0"/>
                <w:sz w:val="22"/>
                <w:szCs w:val="22"/>
                <w:lang w:eastAsia="zh-CN"/>
              </w:rPr>
              <w:t>）</w:t>
            </w:r>
          </w:p>
        </w:tc>
        <w:tc>
          <w:tcPr>
            <w:tcW w:w="413" w:type="pct"/>
            <w:tcBorders>
              <w:bottom w:val="nil"/>
            </w:tcBorders>
            <w:shd w:val="clear" w:color="auto" w:fill="auto"/>
            <w:vAlign w:val="center"/>
          </w:tcPr>
          <w:p>
            <w:pPr>
              <w:widowControl/>
              <w:spacing w:line="240" w:lineRule="auto"/>
              <w:jc w:val="center"/>
              <w:rPr>
                <w:rFonts w:hint="default" w:ascii="Times New Roman" w:hAnsi="Times New Roman" w:eastAsia="仿宋" w:cs="Times New Roman"/>
                <w:color w:val="000000"/>
                <w:kern w:val="0"/>
                <w:sz w:val="22"/>
                <w:szCs w:val="22"/>
              </w:rPr>
            </w:pPr>
            <w:r>
              <w:rPr>
                <w:rFonts w:hint="default" w:ascii="Times New Roman" w:hAnsi="Times New Roman" w:eastAsia="仿宋" w:cs="Times New Roman"/>
                <w:color w:val="000000"/>
                <w:kern w:val="0"/>
                <w:sz w:val="22"/>
                <w:szCs w:val="22"/>
              </w:rPr>
              <w:t>4.50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jc w:val="center"/>
        </w:trPr>
        <w:tc>
          <w:tcPr>
            <w:tcW w:w="3570" w:type="pct"/>
            <w:gridSpan w:val="3"/>
            <w:tcBorders>
              <w:top w:val="nil"/>
              <w:bottom w:val="single" w:color="auto" w:sz="12" w:space="0"/>
            </w:tcBorders>
            <w:shd w:val="clear" w:color="auto" w:fill="auto"/>
            <w:noWrap/>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default" w:ascii="Times New Roman" w:hAnsi="Times New Roman" w:eastAsia="仿宋" w:cs="Times New Roman"/>
                <w:color w:val="000000"/>
                <w:kern w:val="0"/>
                <w:sz w:val="22"/>
                <w:szCs w:val="22"/>
                <w:lang w:bidi="ar"/>
              </w:rPr>
              <w:t>总得分</w:t>
            </w:r>
          </w:p>
        </w:tc>
        <w:tc>
          <w:tcPr>
            <w:tcW w:w="1429" w:type="pct"/>
            <w:gridSpan w:val="2"/>
            <w:tcBorders>
              <w:top w:val="nil"/>
              <w:bottom w:val="single" w:color="auto" w:sz="12" w:space="0"/>
            </w:tcBorders>
            <w:shd w:val="clear" w:color="auto" w:fill="auto"/>
            <w:vAlign w:val="center"/>
          </w:tcPr>
          <w:p>
            <w:pPr>
              <w:widowControl/>
              <w:spacing w:line="240" w:lineRule="auto"/>
              <w:jc w:val="center"/>
              <w:textAlignment w:val="center"/>
              <w:rPr>
                <w:rFonts w:hint="default" w:ascii="Times New Roman" w:hAnsi="Times New Roman" w:eastAsia="仿宋" w:cs="Times New Roman"/>
                <w:color w:val="000000"/>
                <w:sz w:val="22"/>
                <w:szCs w:val="22"/>
              </w:rPr>
            </w:pPr>
            <w:r>
              <w:rPr>
                <w:rFonts w:hint="eastAsia" w:ascii="Times New Roman" w:hAnsi="Times New Roman" w:eastAsia="仿宋" w:cs="Times New Roman"/>
                <w:color w:val="000000"/>
                <w:kern w:val="0"/>
                <w:sz w:val="22"/>
                <w:szCs w:val="22"/>
                <w:lang w:val="en-US" w:eastAsia="zh-CN" w:bidi="ar"/>
              </w:rPr>
              <w:t>83.75</w:t>
            </w:r>
            <w:r>
              <w:rPr>
                <w:rFonts w:hint="default" w:ascii="Times New Roman" w:hAnsi="Times New Roman" w:eastAsia="仿宋" w:cs="Times New Roman"/>
                <w:color w:val="000000"/>
                <w:kern w:val="0"/>
                <w:sz w:val="22"/>
                <w:szCs w:val="22"/>
                <w:lang w:bidi="ar"/>
              </w:rPr>
              <w:t xml:space="preserve"> </w:t>
            </w:r>
          </w:p>
        </w:tc>
      </w:tr>
    </w:tbl>
    <w:p>
      <w:pPr>
        <w:spacing w:before="156" w:beforeLines="50" w:after="156" w:afterLines="50"/>
        <w:outlineLvl w:val="1"/>
        <w:rPr>
          <w:rFonts w:hint="default" w:ascii="Times New Roman" w:hAnsi="Times New Roman" w:eastAsia="仿宋" w:cs="Times New Roman"/>
          <w:b/>
          <w:bCs/>
          <w:sz w:val="32"/>
          <w:szCs w:val="32"/>
        </w:rPr>
      </w:pPr>
      <w:r>
        <w:rPr>
          <w:rFonts w:hint="default" w:ascii="Times New Roman" w:hAnsi="Times New Roman" w:eastAsia="仿宋" w:cs="Times New Roman"/>
          <w:sz w:val="32"/>
          <w:szCs w:val="32"/>
        </w:rPr>
        <w:t xml:space="preserve">    </w:t>
      </w:r>
      <w:bookmarkStart w:id="159" w:name="_Toc12868"/>
      <w:bookmarkStart w:id="160" w:name="_Toc1004"/>
      <w:bookmarkStart w:id="161" w:name="_Toc1517595374"/>
      <w:bookmarkStart w:id="162" w:name="_Toc20281"/>
      <w:bookmarkStart w:id="163" w:name="_Toc29444"/>
      <w:r>
        <w:rPr>
          <w:rFonts w:hint="default" w:ascii="Times New Roman" w:hAnsi="Times New Roman" w:eastAsia="仿宋" w:cs="Times New Roman"/>
          <w:b/>
          <w:bCs/>
          <w:sz w:val="32"/>
          <w:szCs w:val="32"/>
        </w:rPr>
        <w:t>二、绩效评价指标分析</w:t>
      </w:r>
      <w:bookmarkEnd w:id="159"/>
      <w:bookmarkEnd w:id="160"/>
      <w:bookmarkEnd w:id="161"/>
      <w:bookmarkEnd w:id="162"/>
      <w:bookmarkEnd w:id="163"/>
    </w:p>
    <w:p>
      <w:pPr>
        <w:ind w:firstLine="560" w:firstLineChars="200"/>
        <w:rPr>
          <w:rFonts w:hint="default" w:ascii="Times New Roman" w:hAnsi="Times New Roman" w:eastAsia="仿宋" w:cs="Times New Roman"/>
          <w:szCs w:val="28"/>
        </w:rPr>
      </w:pPr>
      <w:r>
        <w:rPr>
          <w:rFonts w:hint="default" w:ascii="Times New Roman" w:hAnsi="Times New Roman" w:eastAsia="仿宋" w:cs="Times New Roman"/>
          <w:szCs w:val="28"/>
        </w:rPr>
        <w:t>从整体来看，2021-2022年惠安县建设体育基础设施资金运作较规范，资金使用及时，整体实施情况良好，较好地完成了项目设定的各项目标。下面从项目决策、过程、产出、效益四个维度具体分析项目运行情况：</w:t>
      </w:r>
    </w:p>
    <w:p>
      <w:pPr>
        <w:ind w:firstLine="562" w:firstLineChars="200"/>
        <w:outlineLvl w:val="2"/>
        <w:rPr>
          <w:rFonts w:hint="default" w:ascii="Times New Roman" w:hAnsi="Times New Roman" w:eastAsia="仿宋" w:cs="Times New Roman"/>
          <w:b/>
          <w:bCs/>
          <w:szCs w:val="28"/>
        </w:rPr>
      </w:pPr>
      <w:bookmarkStart w:id="164" w:name="_Toc32378"/>
      <w:bookmarkStart w:id="165" w:name="_Toc406714302"/>
      <w:bookmarkStart w:id="166" w:name="_Toc23120"/>
      <w:bookmarkStart w:id="167" w:name="_Toc30919"/>
      <w:bookmarkStart w:id="168" w:name="_Toc22984"/>
      <w:r>
        <w:rPr>
          <w:rFonts w:hint="default" w:ascii="Times New Roman" w:hAnsi="Times New Roman" w:eastAsia="仿宋" w:cs="Times New Roman"/>
          <w:b/>
          <w:bCs/>
          <w:szCs w:val="28"/>
        </w:rPr>
        <w:t>（一</w:t>
      </w:r>
      <w:r>
        <w:rPr>
          <w:rFonts w:hint="eastAsia" w:ascii="Times New Roman" w:hAnsi="Times New Roman" w:eastAsia="仿宋" w:cs="Times New Roman"/>
          <w:b/>
          <w:bCs/>
          <w:szCs w:val="28"/>
          <w:lang w:eastAsia="zh-CN"/>
        </w:rPr>
        <w:t>）</w:t>
      </w:r>
      <w:r>
        <w:rPr>
          <w:rFonts w:hint="default" w:ascii="Times New Roman" w:hAnsi="Times New Roman" w:eastAsia="仿宋" w:cs="Times New Roman"/>
          <w:b/>
          <w:bCs/>
          <w:szCs w:val="28"/>
        </w:rPr>
        <w:t>项目决策情况</w:t>
      </w:r>
      <w:bookmarkEnd w:id="164"/>
      <w:bookmarkEnd w:id="165"/>
      <w:bookmarkEnd w:id="166"/>
      <w:bookmarkEnd w:id="167"/>
      <w:bookmarkEnd w:id="168"/>
    </w:p>
    <w:p>
      <w:pPr>
        <w:ind w:firstLine="560" w:firstLineChars="200"/>
        <w:rPr>
          <w:rFonts w:hint="default" w:ascii="Times New Roman" w:hAnsi="Times New Roman" w:eastAsia="仿宋" w:cs="Times New Roman"/>
          <w:szCs w:val="28"/>
        </w:rPr>
      </w:pPr>
      <w:r>
        <w:rPr>
          <w:rFonts w:hint="default" w:ascii="Times New Roman" w:hAnsi="Times New Roman" w:eastAsia="仿宋" w:cs="Times New Roman"/>
          <w:szCs w:val="28"/>
        </w:rPr>
        <w:t>项目决策维度的评价主要从项目立项、绩效目标和资金投入三个方面展开。</w:t>
      </w:r>
      <w:r>
        <w:rPr>
          <w:rFonts w:hint="default" w:ascii="Times New Roman" w:hAnsi="Times New Roman" w:eastAsia="仿宋" w:cs="Times New Roman"/>
          <w:color w:val="333333"/>
          <w:shd w:val="clear" w:color="auto" w:fill="FFFFFF"/>
        </w:rPr>
        <w:t>项目立项合规合法，资金投入科学合理，但绩效目标设置有待完善。该部分总分20分，得分1</w:t>
      </w:r>
      <w:r>
        <w:rPr>
          <w:rFonts w:hint="eastAsia" w:ascii="Times New Roman" w:hAnsi="Times New Roman" w:eastAsia="仿宋" w:cs="Times New Roman"/>
          <w:color w:val="333333"/>
          <w:highlight w:val="none"/>
          <w:shd w:val="clear" w:color="auto" w:fill="FFFFFF"/>
          <w:lang w:eastAsia="zh-CN"/>
        </w:rPr>
        <w:t>4</w:t>
      </w:r>
      <w:r>
        <w:rPr>
          <w:rFonts w:hint="default" w:ascii="Times New Roman" w:hAnsi="Times New Roman" w:eastAsia="仿宋" w:cs="Times New Roman"/>
          <w:color w:val="333333"/>
          <w:shd w:val="clear" w:color="auto" w:fill="FFFFFF"/>
        </w:rPr>
        <w:t>分，扣分</w:t>
      </w:r>
      <w:r>
        <w:rPr>
          <w:rFonts w:hint="eastAsia" w:ascii="Times New Roman" w:hAnsi="Times New Roman" w:eastAsia="仿宋" w:cs="Times New Roman"/>
          <w:color w:val="333333"/>
          <w:shd w:val="clear" w:color="auto" w:fill="FFFFFF"/>
          <w:lang w:val="en-US" w:eastAsia="zh-CN"/>
        </w:rPr>
        <w:t>6</w:t>
      </w:r>
      <w:r>
        <w:rPr>
          <w:rFonts w:hint="default" w:ascii="Times New Roman" w:hAnsi="Times New Roman" w:eastAsia="仿宋" w:cs="Times New Roman"/>
          <w:color w:val="333333"/>
          <w:shd w:val="clear" w:color="auto" w:fill="FFFFFF"/>
        </w:rPr>
        <w:t>分。</w:t>
      </w:r>
    </w:p>
    <w:p>
      <w:pPr>
        <w:ind w:firstLine="560" w:firstLineChars="200"/>
        <w:rPr>
          <w:rFonts w:hint="default" w:ascii="Times New Roman" w:hAnsi="Times New Roman" w:eastAsia="仿宋" w:cs="Times New Roman"/>
          <w:szCs w:val="28"/>
        </w:rPr>
      </w:pPr>
      <w:r>
        <w:rPr>
          <w:rFonts w:hint="default" w:ascii="Times New Roman" w:hAnsi="Times New Roman" w:eastAsia="仿宋" w:cs="Times New Roman"/>
          <w:szCs w:val="28"/>
        </w:rPr>
        <w:t>在项目立项方面，专项资金从项目立项起便依据《泉州市人民政府办公室关于印发泉州市口袋健身公园建设三年行动实施方案的通知》（泉政办</w:t>
      </w:r>
      <w:r>
        <w:rPr>
          <w:rFonts w:hint="eastAsia" w:ascii="Times New Roman" w:hAnsi="Times New Roman" w:eastAsia="仿宋" w:cs="Times New Roman"/>
          <w:szCs w:val="28"/>
          <w:lang w:eastAsia="zh-CN"/>
        </w:rPr>
        <w:t>〔</w:t>
      </w:r>
      <w:r>
        <w:rPr>
          <w:rFonts w:hint="default" w:ascii="Times New Roman" w:hAnsi="Times New Roman" w:eastAsia="仿宋" w:cs="Times New Roman"/>
          <w:szCs w:val="28"/>
        </w:rPr>
        <w:t>2021</w:t>
      </w:r>
      <w:r>
        <w:rPr>
          <w:rFonts w:hint="eastAsia" w:ascii="Times New Roman" w:hAnsi="Times New Roman" w:eastAsia="仿宋" w:cs="Times New Roman"/>
          <w:szCs w:val="28"/>
          <w:lang w:eastAsia="zh-CN"/>
        </w:rPr>
        <w:t>〕</w:t>
      </w:r>
      <w:r>
        <w:rPr>
          <w:rFonts w:hint="default" w:ascii="Times New Roman" w:hAnsi="Times New Roman" w:eastAsia="仿宋" w:cs="Times New Roman"/>
          <w:szCs w:val="28"/>
        </w:rPr>
        <w:t>39号</w:t>
      </w:r>
      <w:r>
        <w:rPr>
          <w:rFonts w:hint="eastAsia" w:ascii="Times New Roman" w:hAnsi="Times New Roman" w:eastAsia="仿宋" w:cs="Times New Roman"/>
          <w:szCs w:val="28"/>
          <w:lang w:eastAsia="zh-CN"/>
        </w:rPr>
        <w:t>）</w:t>
      </w:r>
      <w:r>
        <w:rPr>
          <w:rFonts w:hint="default" w:ascii="Times New Roman" w:hAnsi="Times New Roman" w:eastAsia="仿宋" w:cs="Times New Roman"/>
          <w:szCs w:val="28"/>
        </w:rPr>
        <w:t>、《惠安县人民政府办公室关于2022年县政府工作报告目标任务责任分解的通知》（惠政办</w:t>
      </w:r>
      <w:r>
        <w:rPr>
          <w:rFonts w:hint="eastAsia" w:ascii="Times New Roman" w:hAnsi="Times New Roman" w:eastAsia="仿宋" w:cs="Times New Roman"/>
          <w:szCs w:val="28"/>
          <w:lang w:eastAsia="zh-CN"/>
        </w:rPr>
        <w:t>〔</w:t>
      </w:r>
      <w:r>
        <w:rPr>
          <w:rFonts w:hint="default" w:ascii="Times New Roman" w:hAnsi="Times New Roman" w:eastAsia="仿宋" w:cs="Times New Roman"/>
          <w:szCs w:val="28"/>
        </w:rPr>
        <w:t>2022</w:t>
      </w:r>
      <w:r>
        <w:rPr>
          <w:rFonts w:hint="eastAsia" w:ascii="Times New Roman" w:hAnsi="Times New Roman" w:eastAsia="仿宋" w:cs="Times New Roman"/>
          <w:szCs w:val="28"/>
          <w:lang w:eastAsia="zh-CN"/>
        </w:rPr>
        <w:t>〕</w:t>
      </w:r>
      <w:r>
        <w:rPr>
          <w:rFonts w:hint="default" w:ascii="Times New Roman" w:hAnsi="Times New Roman" w:eastAsia="仿宋" w:cs="Times New Roman"/>
          <w:szCs w:val="28"/>
        </w:rPr>
        <w:t>3号</w:t>
      </w:r>
      <w:r>
        <w:rPr>
          <w:rFonts w:hint="eastAsia" w:ascii="Times New Roman" w:hAnsi="Times New Roman" w:eastAsia="仿宋" w:cs="Times New Roman"/>
          <w:szCs w:val="28"/>
          <w:lang w:eastAsia="zh-CN"/>
        </w:rPr>
        <w:t>）</w:t>
      </w:r>
      <w:r>
        <w:rPr>
          <w:rFonts w:hint="default" w:ascii="Times New Roman" w:hAnsi="Times New Roman" w:eastAsia="仿宋" w:cs="Times New Roman"/>
          <w:szCs w:val="28"/>
        </w:rPr>
        <w:t>等政策文件，项目按照规定的程序申请设立；审批文件、材料符合相关要求；事前已经过必要的可行性研究和集体决策。</w:t>
      </w:r>
      <w:bookmarkStart w:id="169" w:name="_Hlk125886954"/>
    </w:p>
    <w:p>
      <w:pPr>
        <w:ind w:firstLine="560" w:firstLineChars="200"/>
        <w:rPr>
          <w:rFonts w:hint="default" w:ascii="Times New Roman" w:hAnsi="Times New Roman" w:eastAsia="仿宋" w:cs="Times New Roman"/>
          <w:color w:val="333333"/>
          <w:highlight w:val="none"/>
          <w:shd w:val="clear" w:color="auto" w:fill="FFFFFF"/>
        </w:rPr>
      </w:pPr>
      <w:r>
        <w:rPr>
          <w:rFonts w:hint="default" w:ascii="Times New Roman" w:hAnsi="Times New Roman" w:eastAsia="仿宋" w:cs="Times New Roman"/>
          <w:szCs w:val="28"/>
        </w:rPr>
        <w:t>在绩效目标设置上，项目</w:t>
      </w:r>
      <w:r>
        <w:rPr>
          <w:rFonts w:hint="default" w:ascii="Times New Roman" w:hAnsi="Times New Roman" w:eastAsia="仿宋" w:cs="Times New Roman"/>
          <w:color w:val="333333"/>
          <w:shd w:val="clear" w:color="auto" w:fill="FFFFFF"/>
        </w:rPr>
        <w:t>依据惠安县财政局《惠安县专项资金管理暂行办法》文件要求，从数量、质量、成本和时效等方面编制预算绩效目标，</w:t>
      </w:r>
      <w:r>
        <w:rPr>
          <w:rFonts w:hint="eastAsia" w:ascii="Times New Roman" w:hAnsi="Times New Roman" w:eastAsia="仿宋" w:cs="Times New Roman"/>
          <w:color w:val="333333"/>
          <w:highlight w:val="none"/>
          <w:shd w:val="clear" w:color="auto" w:fill="FFFFFF"/>
          <w:lang w:val="en-US" w:eastAsia="zh-CN"/>
        </w:rPr>
        <w:t>但由于项目单位未能提供预算申请材料，</w:t>
      </w:r>
      <w:r>
        <w:rPr>
          <w:rFonts w:hint="default" w:ascii="Times New Roman" w:hAnsi="Times New Roman" w:eastAsia="仿宋" w:cs="Times New Roman"/>
          <w:highlight w:val="none"/>
        </w:rPr>
        <w:t>故扣</w:t>
      </w:r>
      <w:r>
        <w:rPr>
          <w:rFonts w:hint="eastAsia" w:ascii="Times New Roman" w:hAnsi="Times New Roman" w:eastAsia="仿宋" w:cs="Times New Roman"/>
          <w:highlight w:val="none"/>
          <w:lang w:eastAsia="zh-CN"/>
        </w:rPr>
        <w:t>2</w:t>
      </w:r>
      <w:r>
        <w:rPr>
          <w:rFonts w:hint="default" w:ascii="Times New Roman" w:hAnsi="Times New Roman" w:eastAsia="仿宋" w:cs="Times New Roman"/>
          <w:highlight w:val="none"/>
        </w:rPr>
        <w:t>分；</w:t>
      </w:r>
      <w:r>
        <w:rPr>
          <w:rFonts w:hint="default" w:ascii="Times New Roman" w:hAnsi="Times New Roman" w:eastAsia="仿宋" w:cs="Times New Roman"/>
          <w:color w:val="333333"/>
          <w:highlight w:val="none"/>
          <w:shd w:val="clear" w:color="auto" w:fill="FFFFFF"/>
        </w:rPr>
        <w:t>项目按照绩效评价相关规定开展2022年度项目支出绩效自评工作，及时完成项目绩效自评报告和项目支出绩效自评表，</w:t>
      </w:r>
      <w:r>
        <w:rPr>
          <w:rFonts w:hint="eastAsia" w:ascii="Times New Roman" w:hAnsi="Times New Roman" w:eastAsia="仿宋" w:cs="Times New Roman"/>
          <w:color w:val="333333"/>
          <w:highlight w:val="none"/>
          <w:shd w:val="clear" w:color="auto" w:fill="FFFFFF"/>
          <w:lang w:val="en-US" w:eastAsia="zh-CN"/>
        </w:rPr>
        <w:t>但绩效指标细化不足，较为单一，且社会效益指标量化不足，难以衡量，</w:t>
      </w:r>
      <w:r>
        <w:rPr>
          <w:rFonts w:hint="default" w:ascii="Times New Roman" w:hAnsi="Times New Roman" w:eastAsia="仿宋" w:cs="Times New Roman"/>
          <w:color w:val="333333"/>
          <w:highlight w:val="none"/>
          <w:shd w:val="clear" w:color="auto" w:fill="FFFFFF"/>
        </w:rPr>
        <w:t>因此此项扣4分。</w:t>
      </w:r>
    </w:p>
    <w:p>
      <w:pPr>
        <w:ind w:firstLine="560" w:firstLineChars="200"/>
        <w:rPr>
          <w:rFonts w:hint="default" w:ascii="Times New Roman" w:hAnsi="Times New Roman" w:eastAsia="仿宋" w:cs="Times New Roman"/>
          <w:szCs w:val="28"/>
        </w:rPr>
      </w:pPr>
      <w:r>
        <w:rPr>
          <w:rFonts w:hint="default" w:ascii="Times New Roman" w:hAnsi="Times New Roman" w:eastAsia="仿宋" w:cs="Times New Roman"/>
          <w:color w:val="333333"/>
          <w:shd w:val="clear" w:color="auto" w:fill="FFFFFF"/>
        </w:rPr>
        <w:t>在资金投入方面，预算编制经过科学论证；预算内容与项目内容匹配；预算额度测算依据充分，并按照标准编制；预算确定的项目投资额或资金量与工作任务相匹配。</w:t>
      </w:r>
    </w:p>
    <w:bookmarkEnd w:id="169"/>
    <w:p>
      <w:pPr>
        <w:autoSpaceDE w:val="0"/>
        <w:ind w:firstLine="562"/>
        <w:outlineLvl w:val="2"/>
        <w:rPr>
          <w:rFonts w:hint="default" w:ascii="Times New Roman" w:hAnsi="Times New Roman" w:eastAsia="仿宋" w:cs="Times New Roman"/>
          <w:b/>
          <w:bCs/>
          <w:szCs w:val="28"/>
        </w:rPr>
      </w:pPr>
      <w:bookmarkStart w:id="170" w:name="_Toc12225"/>
      <w:bookmarkStart w:id="171" w:name="_Toc24871"/>
      <w:bookmarkStart w:id="172" w:name="_Toc16997"/>
      <w:bookmarkStart w:id="173" w:name="_Toc27177"/>
      <w:bookmarkStart w:id="174" w:name="_Toc119967329"/>
      <w:r>
        <w:rPr>
          <w:rFonts w:hint="default" w:ascii="Times New Roman" w:hAnsi="Times New Roman" w:eastAsia="仿宋" w:cs="Times New Roman"/>
          <w:b/>
          <w:bCs/>
        </w:rPr>
        <w:t>（二</w:t>
      </w:r>
      <w:r>
        <w:rPr>
          <w:rFonts w:hint="eastAsia" w:ascii="Times New Roman" w:hAnsi="Times New Roman" w:eastAsia="仿宋" w:cs="Times New Roman"/>
          <w:b/>
          <w:bCs/>
          <w:lang w:eastAsia="zh-CN"/>
        </w:rPr>
        <w:t>）</w:t>
      </w:r>
      <w:r>
        <w:rPr>
          <w:rFonts w:hint="default" w:ascii="Times New Roman" w:hAnsi="Times New Roman" w:eastAsia="仿宋" w:cs="Times New Roman"/>
          <w:b/>
          <w:bCs/>
        </w:rPr>
        <w:t>项目过程情况</w:t>
      </w:r>
      <w:bookmarkEnd w:id="170"/>
      <w:bookmarkEnd w:id="171"/>
      <w:bookmarkEnd w:id="172"/>
      <w:bookmarkEnd w:id="173"/>
      <w:bookmarkEnd w:id="174"/>
    </w:p>
    <w:p>
      <w:pPr>
        <w:ind w:firstLine="560" w:firstLineChars="200"/>
        <w:rPr>
          <w:rFonts w:hint="default" w:ascii="Times New Roman" w:hAnsi="Times New Roman" w:eastAsia="仿宋" w:cs="Times New Roman"/>
        </w:rPr>
      </w:pPr>
      <w:r>
        <w:rPr>
          <w:rFonts w:hint="default" w:ascii="Times New Roman" w:hAnsi="Times New Roman" w:eastAsia="仿宋" w:cs="Times New Roman"/>
        </w:rPr>
        <w:t>项目过程维度的评价主要从资金管理和组织实施两个方面展开。</w:t>
      </w:r>
      <w:bookmarkStart w:id="175" w:name="_Hlk125887691"/>
      <w:r>
        <w:rPr>
          <w:rFonts w:hint="default" w:ascii="Times New Roman" w:hAnsi="Times New Roman" w:eastAsia="仿宋" w:cs="Times New Roman"/>
          <w:color w:val="333333"/>
          <w:shd w:val="clear" w:color="auto" w:fill="FFFFFF"/>
        </w:rPr>
        <w:t>项目资金管理合规，组织实施有据可依。该部分总分20分，得分1</w:t>
      </w:r>
      <w:r>
        <w:rPr>
          <w:rFonts w:hint="eastAsia" w:ascii="Times New Roman" w:hAnsi="Times New Roman" w:eastAsia="仿宋" w:cs="Times New Roman"/>
          <w:color w:val="333333"/>
          <w:shd w:val="clear" w:color="auto" w:fill="FFFFFF"/>
          <w:lang w:val="en-US" w:eastAsia="zh-CN"/>
        </w:rPr>
        <w:t>6</w:t>
      </w:r>
      <w:r>
        <w:rPr>
          <w:rFonts w:hint="default" w:ascii="Times New Roman" w:hAnsi="Times New Roman" w:eastAsia="仿宋" w:cs="Times New Roman"/>
          <w:color w:val="333333"/>
          <w:shd w:val="clear" w:color="auto" w:fill="FFFFFF"/>
        </w:rPr>
        <w:t>.5分，扣分</w:t>
      </w:r>
      <w:r>
        <w:rPr>
          <w:rFonts w:hint="eastAsia" w:ascii="Times New Roman" w:hAnsi="Times New Roman" w:eastAsia="仿宋" w:cs="Times New Roman"/>
          <w:color w:val="333333"/>
          <w:shd w:val="clear" w:color="auto" w:fill="FFFFFF"/>
          <w:lang w:val="en-US" w:eastAsia="zh-CN"/>
        </w:rPr>
        <w:t>3</w:t>
      </w:r>
      <w:r>
        <w:rPr>
          <w:rFonts w:hint="default" w:ascii="Times New Roman" w:hAnsi="Times New Roman" w:eastAsia="仿宋" w:cs="Times New Roman"/>
          <w:color w:val="333333"/>
          <w:shd w:val="clear" w:color="auto" w:fill="FFFFFF"/>
        </w:rPr>
        <w:t>.5分。</w:t>
      </w:r>
    </w:p>
    <w:p>
      <w:pPr>
        <w:ind w:firstLine="560" w:firstLineChars="200"/>
        <w:rPr>
          <w:rFonts w:hint="default" w:ascii="Times New Roman" w:hAnsi="Times New Roman" w:eastAsia="仿宋" w:cs="Times New Roman"/>
          <w:color w:val="333333"/>
          <w:shd w:val="clear" w:color="auto" w:fill="FFFFFF"/>
        </w:rPr>
      </w:pPr>
      <w:r>
        <w:rPr>
          <w:rFonts w:hint="default" w:ascii="Times New Roman" w:hAnsi="Times New Roman" w:eastAsia="仿宋" w:cs="Times New Roman"/>
        </w:rPr>
        <w:t>在资金管理上，</w:t>
      </w:r>
      <w:r>
        <w:rPr>
          <w:rFonts w:hint="eastAsia" w:ascii="Times New Roman" w:hAnsi="Times New Roman" w:eastAsia="仿宋" w:cs="Times New Roman"/>
          <w:lang w:val="en-US" w:eastAsia="zh-CN"/>
        </w:rPr>
        <w:t>项目预算执行率=（484.7558/606）*5=4，故此项得4分；</w:t>
      </w:r>
      <w:r>
        <w:rPr>
          <w:rFonts w:hint="default" w:ascii="Times New Roman" w:hAnsi="Times New Roman" w:eastAsia="仿宋" w:cs="Times New Roman"/>
        </w:rPr>
        <w:t>资金使用符合国家财经法规和财务管理制度以及有关专项资金管理办法的规定；资金使用符合项目资金批复或合同规定的用途；不存在挤占、挪用、虚列支出等情况，但项目单位未能提供</w:t>
      </w:r>
      <w:r>
        <w:rPr>
          <w:rFonts w:hint="default" w:ascii="Times New Roman" w:hAnsi="Times New Roman" w:eastAsia="仿宋" w:cs="Times New Roman"/>
          <w:color w:val="333333"/>
          <w:shd w:val="clear" w:color="auto" w:fill="FFFFFF"/>
        </w:rPr>
        <w:t>资金拨付完整的审批程序和手续相关的证明材料，故扣1.25分。</w:t>
      </w:r>
    </w:p>
    <w:p>
      <w:pPr>
        <w:ind w:firstLine="560" w:firstLineChars="200"/>
        <w:rPr>
          <w:rFonts w:hint="default" w:ascii="Times New Roman" w:hAnsi="Times New Roman" w:eastAsia="仿宋" w:cs="Times New Roman"/>
          <w:lang w:val="en-US" w:eastAsia="zh-CN"/>
        </w:rPr>
      </w:pPr>
      <w:r>
        <w:rPr>
          <w:rFonts w:hint="default" w:ascii="Times New Roman" w:hAnsi="Times New Roman" w:eastAsia="仿宋" w:cs="Times New Roman"/>
        </w:rPr>
        <w:t>在组织实施上，建设体育基础设施项目</w:t>
      </w:r>
      <w:r>
        <w:rPr>
          <w:rFonts w:hint="default" w:ascii="Times New Roman" w:hAnsi="Times New Roman" w:eastAsia="仿宋" w:cs="Times New Roman"/>
          <w:color w:val="333333"/>
          <w:shd w:val="clear" w:color="auto" w:fill="FFFFFF"/>
        </w:rPr>
        <w:t>已具有相应的财务和业务管理制度；财务和业务管理制度合法、合规、完整，对项目顺利实施提供了保障。</w:t>
      </w:r>
      <w:r>
        <w:rPr>
          <w:rFonts w:hint="default" w:ascii="Times New Roman" w:hAnsi="Times New Roman" w:eastAsia="仿宋" w:cs="Times New Roman"/>
        </w:rPr>
        <w:t>县文旅局依据相关法律法规和相关管理规定实施项目；项目实施的人员条件、场地设备、信息支撑等落实到位。</w:t>
      </w:r>
      <w:bookmarkEnd w:id="175"/>
      <w:r>
        <w:rPr>
          <w:rFonts w:hint="default" w:ascii="Times New Roman" w:hAnsi="Times New Roman" w:eastAsia="仿宋" w:cs="Times New Roman"/>
        </w:rPr>
        <w:t>项目合同书、验收报告等纸质资料齐全并及时归档，但</w:t>
      </w:r>
      <w:r>
        <w:rPr>
          <w:rFonts w:hint="default" w:ascii="Times New Roman" w:hAnsi="Times New Roman" w:eastAsia="仿宋" w:cs="Times New Roman"/>
          <w:color w:val="333333"/>
          <w:shd w:val="clear" w:color="auto" w:fill="FFFFFF"/>
        </w:rPr>
        <w:t>项目</w:t>
      </w:r>
      <w:r>
        <w:rPr>
          <w:rFonts w:hint="default" w:ascii="Times New Roman" w:hAnsi="Times New Roman" w:eastAsia="仿宋" w:cs="Times New Roman"/>
          <w:kern w:val="0"/>
          <w:szCs w:val="28"/>
        </w:rPr>
        <w:t>资金申请、经费批复与实施的过程文件、项目实施方案、具体规划安排</w:t>
      </w:r>
      <w:r>
        <w:rPr>
          <w:rFonts w:hint="default" w:ascii="Times New Roman" w:hAnsi="Times New Roman" w:eastAsia="仿宋" w:cs="Times New Roman"/>
          <w:color w:val="333333"/>
          <w:shd w:val="clear" w:color="auto" w:fill="FFFFFF"/>
        </w:rPr>
        <w:t>等佐证材料纸质化归档不足，且</w:t>
      </w:r>
      <w:r>
        <w:rPr>
          <w:rFonts w:hint="default" w:ascii="Times New Roman" w:hAnsi="Times New Roman" w:eastAsia="仿宋" w:cs="Times New Roman"/>
        </w:rPr>
        <w:t>缺少完善的电子档案管理</w:t>
      </w:r>
      <w:r>
        <w:rPr>
          <w:rFonts w:hint="default" w:ascii="Times New Roman" w:hAnsi="Times New Roman" w:eastAsia="仿宋" w:cs="Times New Roman"/>
          <w:color w:val="333333"/>
          <w:shd w:val="clear" w:color="auto" w:fill="FFFFFF"/>
        </w:rPr>
        <w:t>，故此项扣1.25分。</w:t>
      </w:r>
    </w:p>
    <w:p>
      <w:pPr>
        <w:autoSpaceDE w:val="0"/>
        <w:ind w:firstLine="562"/>
        <w:outlineLvl w:val="2"/>
        <w:rPr>
          <w:rFonts w:hint="default" w:ascii="Times New Roman" w:hAnsi="Times New Roman" w:eastAsia="仿宋" w:cs="Times New Roman"/>
          <w:b/>
          <w:bCs/>
          <w:szCs w:val="28"/>
        </w:rPr>
      </w:pPr>
      <w:bookmarkStart w:id="176" w:name="_Toc6782"/>
      <w:bookmarkStart w:id="177" w:name="_Toc119967330"/>
      <w:bookmarkStart w:id="178" w:name="_Toc5218"/>
      <w:bookmarkStart w:id="179" w:name="_Toc3181"/>
      <w:bookmarkStart w:id="180" w:name="_Toc11946"/>
      <w:r>
        <w:rPr>
          <w:rFonts w:hint="default" w:ascii="Times New Roman" w:hAnsi="Times New Roman" w:eastAsia="仿宋" w:cs="Times New Roman"/>
          <w:b/>
          <w:bCs/>
        </w:rPr>
        <w:t>（三</w:t>
      </w:r>
      <w:r>
        <w:rPr>
          <w:rFonts w:hint="eastAsia" w:ascii="Times New Roman" w:hAnsi="Times New Roman" w:eastAsia="仿宋" w:cs="Times New Roman"/>
          <w:b/>
          <w:bCs/>
          <w:lang w:eastAsia="zh-CN"/>
        </w:rPr>
        <w:t>）</w:t>
      </w:r>
      <w:r>
        <w:rPr>
          <w:rFonts w:hint="default" w:ascii="Times New Roman" w:hAnsi="Times New Roman" w:eastAsia="仿宋" w:cs="Times New Roman"/>
          <w:b/>
          <w:bCs/>
        </w:rPr>
        <w:t>项目产出情况</w:t>
      </w:r>
      <w:bookmarkEnd w:id="176"/>
      <w:bookmarkEnd w:id="177"/>
      <w:bookmarkEnd w:id="178"/>
      <w:bookmarkEnd w:id="179"/>
      <w:bookmarkEnd w:id="180"/>
    </w:p>
    <w:p>
      <w:pPr>
        <w:ind w:firstLine="560" w:firstLineChars="200"/>
        <w:rPr>
          <w:rFonts w:hint="default" w:ascii="Times New Roman" w:hAnsi="Times New Roman" w:eastAsia="仿宋" w:cs="Times New Roman"/>
        </w:rPr>
      </w:pPr>
      <w:r>
        <w:rPr>
          <w:rFonts w:hint="default" w:ascii="Times New Roman" w:hAnsi="Times New Roman" w:eastAsia="仿宋" w:cs="Times New Roman"/>
        </w:rPr>
        <w:t>项目产出维度的评价主要从项目产出数量、质量、时效和成本四个方面展开。</w:t>
      </w:r>
      <w:r>
        <w:rPr>
          <w:rFonts w:hint="default" w:ascii="Times New Roman" w:hAnsi="Times New Roman" w:eastAsia="仿宋" w:cs="Times New Roman"/>
          <w:color w:val="333333"/>
          <w:shd w:val="clear" w:color="auto" w:fill="FFFFFF"/>
        </w:rPr>
        <w:t>项目体育基础设施建设数量基本达标，质量合格，投入合理，但还存在部分建设任务未达到目标，项目采购标准有待统一的问题。本部分总分40分，得分</w:t>
      </w:r>
      <w:r>
        <w:rPr>
          <w:rFonts w:hint="eastAsia" w:ascii="Times New Roman" w:hAnsi="Times New Roman" w:eastAsia="仿宋" w:cs="Times New Roman"/>
          <w:color w:val="333333"/>
          <w:shd w:val="clear" w:color="auto" w:fill="FFFFFF"/>
          <w:lang w:val="en-US" w:eastAsia="zh-CN"/>
        </w:rPr>
        <w:t>37</w:t>
      </w:r>
      <w:r>
        <w:rPr>
          <w:rFonts w:hint="default" w:ascii="Times New Roman" w:hAnsi="Times New Roman" w:eastAsia="仿宋" w:cs="Times New Roman"/>
          <w:color w:val="333333"/>
          <w:shd w:val="clear" w:color="auto" w:fill="FFFFFF"/>
        </w:rPr>
        <w:t>分，扣分3分。</w:t>
      </w:r>
    </w:p>
    <w:p>
      <w:pPr>
        <w:ind w:firstLine="560" w:firstLineChars="200"/>
        <w:rPr>
          <w:rFonts w:hint="default" w:ascii="Times New Roman" w:hAnsi="Times New Roman" w:eastAsia="仿宋" w:cs="Times New Roman"/>
        </w:rPr>
      </w:pPr>
      <w:r>
        <w:rPr>
          <w:rFonts w:hint="default" w:ascii="Times New Roman" w:hAnsi="Times New Roman" w:eastAsia="仿宋" w:cs="Times New Roman"/>
        </w:rPr>
        <w:t>数量上，2022年度县文旅局计划建成：（1</w:t>
      </w:r>
      <w:r>
        <w:rPr>
          <w:rFonts w:hint="eastAsia" w:ascii="Times New Roman" w:hAnsi="Times New Roman" w:eastAsia="仿宋" w:cs="Times New Roman"/>
          <w:lang w:eastAsia="zh-CN"/>
        </w:rPr>
        <w:t>）</w:t>
      </w:r>
      <w:r>
        <w:rPr>
          <w:rFonts w:hint="default" w:ascii="Times New Roman" w:hAnsi="Times New Roman" w:eastAsia="仿宋" w:cs="Times New Roman"/>
        </w:rPr>
        <w:t>10条健身路径；（2</w:t>
      </w:r>
      <w:r>
        <w:rPr>
          <w:rFonts w:hint="eastAsia" w:ascii="Times New Roman" w:hAnsi="Times New Roman" w:eastAsia="仿宋" w:cs="Times New Roman"/>
          <w:lang w:eastAsia="zh-CN"/>
        </w:rPr>
        <w:t>）</w:t>
      </w:r>
      <w:r>
        <w:rPr>
          <w:rFonts w:hint="default" w:ascii="Times New Roman" w:hAnsi="Times New Roman" w:eastAsia="仿宋" w:cs="Times New Roman"/>
        </w:rPr>
        <w:t>1块5人制足球场；（3</w:t>
      </w:r>
      <w:r>
        <w:rPr>
          <w:rFonts w:hint="eastAsia" w:ascii="Times New Roman" w:hAnsi="Times New Roman" w:eastAsia="仿宋" w:cs="Times New Roman"/>
          <w:lang w:eastAsia="zh-CN"/>
        </w:rPr>
        <w:t>）</w:t>
      </w:r>
      <w:r>
        <w:rPr>
          <w:rFonts w:hint="default" w:ascii="Times New Roman" w:hAnsi="Times New Roman" w:eastAsia="仿宋" w:cs="Times New Roman"/>
        </w:rPr>
        <w:t>5个口袋健身公园健身设施；（4</w:t>
      </w:r>
      <w:r>
        <w:rPr>
          <w:rFonts w:hint="eastAsia" w:ascii="Times New Roman" w:hAnsi="Times New Roman" w:eastAsia="仿宋" w:cs="Times New Roman"/>
          <w:lang w:eastAsia="zh-CN"/>
        </w:rPr>
        <w:t>）</w:t>
      </w:r>
      <w:r>
        <w:rPr>
          <w:rFonts w:hint="default" w:ascii="Times New Roman" w:hAnsi="Times New Roman" w:eastAsia="仿宋" w:cs="Times New Roman"/>
        </w:rPr>
        <w:t>3个多功能运动场；（5</w:t>
      </w:r>
      <w:r>
        <w:rPr>
          <w:rFonts w:hint="eastAsia" w:ascii="Times New Roman" w:hAnsi="Times New Roman" w:eastAsia="仿宋" w:cs="Times New Roman"/>
          <w:lang w:eastAsia="zh-CN"/>
        </w:rPr>
        <w:t>）</w:t>
      </w:r>
      <w:r>
        <w:rPr>
          <w:rFonts w:hint="default" w:ascii="Times New Roman" w:hAnsi="Times New Roman" w:eastAsia="仿宋" w:cs="Times New Roman"/>
        </w:rPr>
        <w:t>1块7人制足球场；实际完成10条健身路径、1块5人制足球场、</w:t>
      </w:r>
      <w:r>
        <w:rPr>
          <w:rFonts w:hint="eastAsia" w:ascii="Times New Roman" w:hAnsi="Times New Roman" w:eastAsia="仿宋" w:cs="Times New Roman"/>
          <w:lang w:val="en-US" w:eastAsia="zh-CN"/>
        </w:rPr>
        <w:t>5</w:t>
      </w:r>
      <w:r>
        <w:rPr>
          <w:rFonts w:hint="default" w:ascii="Times New Roman" w:hAnsi="Times New Roman" w:eastAsia="仿宋" w:cs="Times New Roman"/>
        </w:rPr>
        <w:t>个口袋健身公园健身设施、3个多功能运动场、1块7人制足球场。</w:t>
      </w:r>
    </w:p>
    <w:p>
      <w:pPr>
        <w:ind w:firstLine="560" w:firstLineChars="200"/>
        <w:rPr>
          <w:rFonts w:hint="default" w:ascii="Times New Roman" w:hAnsi="Times New Roman" w:eastAsia="仿宋" w:cs="Times New Roman"/>
        </w:rPr>
      </w:pPr>
      <w:r>
        <w:rPr>
          <w:rFonts w:hint="default" w:ascii="Times New Roman" w:hAnsi="Times New Roman" w:eastAsia="仿宋" w:cs="Times New Roman"/>
        </w:rPr>
        <w:t>质量上，</w:t>
      </w:r>
      <w:r>
        <w:rPr>
          <w:rFonts w:hint="default" w:ascii="Times New Roman" w:hAnsi="Times New Roman" w:eastAsia="仿宋" w:cs="Times New Roman"/>
          <w:color w:val="333333"/>
          <w:shd w:val="clear" w:color="auto" w:fill="FFFFFF"/>
        </w:rPr>
        <w:t>根据各年项目验收报告得知，2021-2022年共实施体育基础设施建设项目20个，验收意见均为合格，建成体育基础设施项目共计20处，验收合格率为100%。</w:t>
      </w:r>
    </w:p>
    <w:p>
      <w:pPr>
        <w:ind w:firstLine="560" w:firstLineChars="200"/>
        <w:rPr>
          <w:rFonts w:hint="default" w:ascii="Times New Roman" w:hAnsi="Times New Roman" w:eastAsia="仿宋" w:cs="Times New Roman"/>
        </w:rPr>
      </w:pPr>
      <w:r>
        <w:rPr>
          <w:rFonts w:hint="default" w:ascii="Times New Roman" w:hAnsi="Times New Roman" w:eastAsia="仿宋" w:cs="Times New Roman"/>
        </w:rPr>
        <w:t>时效上，评价小组通过查阅项目完工验收报告了解到，2021及2022年建设体育基础设施项目按年度计划按时完成。</w:t>
      </w:r>
    </w:p>
    <w:p>
      <w:pPr>
        <w:ind w:firstLine="560" w:firstLineChars="200"/>
        <w:rPr>
          <w:rFonts w:hint="default" w:ascii="Times New Roman" w:hAnsi="Times New Roman" w:eastAsia="仿宋" w:cs="Times New Roman"/>
        </w:rPr>
      </w:pPr>
      <w:r>
        <w:rPr>
          <w:rFonts w:hint="default" w:ascii="Times New Roman" w:hAnsi="Times New Roman" w:eastAsia="仿宋" w:cs="Times New Roman"/>
        </w:rPr>
        <w:t>成本上，根据各年项目批复文件等材料，项目未随意扩大建设规模情况，未随意提高建设标准情况。但存在健身器材实际成本大于计划成本的问题，这主要是由于采购单价波动较大导致的。例如，</w:t>
      </w:r>
      <w:r>
        <w:rPr>
          <w:rFonts w:hint="default" w:ascii="Times New Roman" w:hAnsi="Times New Roman" w:eastAsia="仿宋" w:cs="Times New Roman"/>
          <w:szCs w:val="28"/>
        </w:rPr>
        <w:t>根据惠安县文旅局提供的采购明细，智能健身车在2022年5月采购单价为19620元，同年12月采购单价为23440元，单件商品存在3820元的价格波动，形成较大的成本差异，</w:t>
      </w:r>
      <w:r>
        <w:rPr>
          <w:rFonts w:hint="default" w:ascii="Times New Roman" w:hAnsi="Times New Roman" w:eastAsia="仿宋" w:cs="Times New Roman"/>
        </w:rPr>
        <w:t>故此项扣3分</w:t>
      </w:r>
      <w:r>
        <w:rPr>
          <w:rFonts w:hint="default" w:ascii="Times New Roman" w:hAnsi="Times New Roman" w:eastAsia="仿宋" w:cs="Times New Roman"/>
          <w:szCs w:val="28"/>
        </w:rPr>
        <w:t>。</w:t>
      </w:r>
    </w:p>
    <w:p>
      <w:pPr>
        <w:autoSpaceDE w:val="0"/>
        <w:ind w:firstLine="562"/>
        <w:outlineLvl w:val="2"/>
        <w:rPr>
          <w:rFonts w:hint="default" w:ascii="Times New Roman" w:hAnsi="Times New Roman" w:eastAsia="仿宋" w:cs="Times New Roman"/>
          <w:b/>
          <w:bCs/>
          <w:szCs w:val="28"/>
        </w:rPr>
      </w:pPr>
      <w:bookmarkStart w:id="181" w:name="_Toc2425"/>
      <w:bookmarkStart w:id="182" w:name="_Toc3728"/>
      <w:bookmarkStart w:id="183" w:name="_Toc119967331"/>
      <w:bookmarkStart w:id="184" w:name="_Toc1813"/>
      <w:bookmarkStart w:id="185" w:name="_Toc29267"/>
      <w:r>
        <w:rPr>
          <w:rFonts w:hint="default" w:ascii="Times New Roman" w:hAnsi="Times New Roman" w:eastAsia="仿宋" w:cs="Times New Roman"/>
          <w:b/>
          <w:bCs/>
        </w:rPr>
        <w:t>（四</w:t>
      </w:r>
      <w:r>
        <w:rPr>
          <w:rFonts w:hint="eastAsia" w:ascii="Times New Roman" w:hAnsi="Times New Roman" w:eastAsia="仿宋" w:cs="Times New Roman"/>
          <w:b/>
          <w:bCs/>
          <w:lang w:eastAsia="zh-CN"/>
        </w:rPr>
        <w:t>）</w:t>
      </w:r>
      <w:r>
        <w:rPr>
          <w:rFonts w:hint="default" w:ascii="Times New Roman" w:hAnsi="Times New Roman" w:eastAsia="仿宋" w:cs="Times New Roman"/>
          <w:b/>
          <w:bCs/>
        </w:rPr>
        <w:t>项目效益情况</w:t>
      </w:r>
      <w:bookmarkEnd w:id="181"/>
      <w:bookmarkEnd w:id="182"/>
      <w:bookmarkEnd w:id="183"/>
      <w:bookmarkEnd w:id="184"/>
      <w:bookmarkEnd w:id="185"/>
    </w:p>
    <w:p>
      <w:pPr>
        <w:ind w:firstLine="560" w:firstLineChars="200"/>
        <w:rPr>
          <w:rFonts w:hint="default" w:ascii="Times New Roman" w:hAnsi="Times New Roman" w:eastAsia="仿宋" w:cs="Times New Roman"/>
        </w:rPr>
      </w:pPr>
      <w:r>
        <w:rPr>
          <w:rFonts w:hint="default" w:ascii="Times New Roman" w:hAnsi="Times New Roman" w:eastAsia="仿宋" w:cs="Times New Roman"/>
        </w:rPr>
        <w:t>项目效益维度的评价主要从项目社会效益、可持续效益和满意度三个方面展开。</w:t>
      </w:r>
      <w:r>
        <w:rPr>
          <w:rFonts w:hint="default" w:ascii="Times New Roman" w:hAnsi="Times New Roman" w:eastAsia="仿宋" w:cs="Times New Roman"/>
          <w:color w:val="333333"/>
          <w:shd w:val="clear" w:color="auto" w:fill="FFFFFF"/>
        </w:rPr>
        <w:t>项目效益显著，受益群众满意程度较高，但项目后期管护质量有待提高。本部分总分20分，得分17.5分，扣分2.5分。</w:t>
      </w:r>
    </w:p>
    <w:p>
      <w:pPr>
        <w:ind w:firstLine="560" w:firstLineChars="200"/>
        <w:rPr>
          <w:rFonts w:hint="default" w:ascii="Times New Roman" w:hAnsi="Times New Roman" w:eastAsia="仿宋" w:cs="Times New Roman"/>
        </w:rPr>
      </w:pPr>
      <w:r>
        <w:rPr>
          <w:rFonts w:hint="default" w:ascii="Times New Roman" w:hAnsi="Times New Roman" w:eastAsia="仿宋" w:cs="Times New Roman"/>
        </w:rPr>
        <w:t>社会效益上，通过查阅项目完工验收材料、实地核查的数据，了解到项目建设增加了多功能的体育建设器材与运动设施设备等，全面改善了城区内健身环境，城市公共服务水平提高程度为</w:t>
      </w:r>
      <w:r>
        <w:rPr>
          <w:rFonts w:hint="eastAsia" w:ascii="Times New Roman" w:hAnsi="Times New Roman" w:eastAsia="仿宋" w:cs="Times New Roman"/>
          <w:lang w:eastAsia="zh-CN"/>
        </w:rPr>
        <w:t>“</w:t>
      </w:r>
      <w:r>
        <w:rPr>
          <w:rFonts w:hint="default" w:ascii="Times New Roman" w:hAnsi="Times New Roman" w:eastAsia="仿宋" w:cs="Times New Roman"/>
        </w:rPr>
        <w:t>较显著</w:t>
      </w:r>
      <w:r>
        <w:rPr>
          <w:rFonts w:hint="eastAsia" w:ascii="Times New Roman" w:hAnsi="Times New Roman" w:eastAsia="仿宋" w:cs="Times New Roman"/>
          <w:lang w:eastAsia="zh-CN"/>
        </w:rPr>
        <w:t>”</w:t>
      </w:r>
      <w:r>
        <w:rPr>
          <w:rFonts w:hint="default" w:ascii="Times New Roman" w:hAnsi="Times New Roman" w:eastAsia="仿宋" w:cs="Times New Roman"/>
        </w:rPr>
        <w:t>，因此该项得3分，扣2分。</w:t>
      </w:r>
    </w:p>
    <w:p>
      <w:pPr>
        <w:ind w:firstLine="560" w:firstLineChars="200"/>
        <w:rPr>
          <w:rFonts w:hint="default" w:ascii="Times New Roman" w:hAnsi="Times New Roman" w:eastAsia="仿宋" w:cs="Times New Roman"/>
        </w:rPr>
      </w:pPr>
      <w:r>
        <w:rPr>
          <w:rFonts w:hint="default" w:ascii="Times New Roman" w:hAnsi="Times New Roman" w:eastAsia="仿宋" w:cs="Times New Roman"/>
        </w:rPr>
        <w:t>可持续效益上，</w:t>
      </w:r>
      <w:r>
        <w:rPr>
          <w:rFonts w:hint="default" w:ascii="Times New Roman" w:hAnsi="Times New Roman" w:eastAsia="仿宋" w:cs="Times New Roman"/>
          <w:color w:val="333333"/>
          <w:shd w:val="clear" w:color="auto" w:fill="FFFFFF"/>
        </w:rPr>
        <w:t>经核查，惠安县参照泉州市体育局印发的《泉州市全民健身场地设施运营和维护管理细则》（泉体</w:t>
      </w:r>
      <w:r>
        <w:rPr>
          <w:rFonts w:hint="eastAsia" w:ascii="Times New Roman" w:hAnsi="Times New Roman" w:eastAsia="仿宋" w:cs="Times New Roman"/>
          <w:color w:val="333333"/>
          <w:shd w:val="clear" w:color="auto" w:fill="FFFFFF"/>
          <w:lang w:eastAsia="zh-CN"/>
        </w:rPr>
        <w:t>〔</w:t>
      </w:r>
      <w:r>
        <w:rPr>
          <w:rFonts w:hint="default" w:ascii="Times New Roman" w:hAnsi="Times New Roman" w:eastAsia="仿宋" w:cs="Times New Roman"/>
          <w:color w:val="333333"/>
          <w:shd w:val="clear" w:color="auto" w:fill="FFFFFF"/>
        </w:rPr>
        <w:t>2021</w:t>
      </w:r>
      <w:r>
        <w:rPr>
          <w:rFonts w:hint="eastAsia" w:ascii="Times New Roman" w:hAnsi="Times New Roman" w:eastAsia="仿宋" w:cs="Times New Roman"/>
          <w:color w:val="333333"/>
          <w:shd w:val="clear" w:color="auto" w:fill="FFFFFF"/>
          <w:lang w:eastAsia="zh-CN"/>
        </w:rPr>
        <w:t>〕</w:t>
      </w:r>
      <w:r>
        <w:rPr>
          <w:rFonts w:hint="default" w:ascii="Times New Roman" w:hAnsi="Times New Roman" w:eastAsia="仿宋" w:cs="Times New Roman"/>
          <w:color w:val="333333"/>
          <w:shd w:val="clear" w:color="auto" w:fill="FFFFFF"/>
        </w:rPr>
        <w:t>53号</w:t>
      </w:r>
      <w:r>
        <w:rPr>
          <w:rFonts w:hint="eastAsia" w:ascii="Times New Roman" w:hAnsi="Times New Roman" w:eastAsia="仿宋" w:cs="Times New Roman"/>
          <w:color w:val="333333"/>
          <w:shd w:val="clear" w:color="auto" w:fill="FFFFFF"/>
          <w:lang w:eastAsia="zh-CN"/>
        </w:rPr>
        <w:t>）</w:t>
      </w:r>
      <w:r>
        <w:rPr>
          <w:rFonts w:hint="default" w:ascii="Times New Roman" w:hAnsi="Times New Roman" w:eastAsia="仿宋" w:cs="Times New Roman"/>
          <w:color w:val="333333"/>
          <w:shd w:val="clear" w:color="auto" w:fill="FFFFFF"/>
        </w:rPr>
        <w:t>执行项目期后管护，明确了管护界限范围、管护主体及管护责任，落实了管护要求。但项目管护效果仍有待进一步提升，部分项目验收时存在破损、毁坏情况，因此此项扣1.25分。</w:t>
      </w:r>
    </w:p>
    <w:p>
      <w:pPr>
        <w:ind w:firstLine="560" w:firstLineChars="200"/>
        <w:rPr>
          <w:rFonts w:hint="default" w:ascii="Times New Roman" w:hAnsi="Times New Roman" w:eastAsia="仿宋" w:cs="Times New Roman"/>
        </w:rPr>
      </w:pPr>
      <w:r>
        <w:rPr>
          <w:rFonts w:hint="default" w:ascii="Times New Roman" w:hAnsi="Times New Roman" w:eastAsia="仿宋" w:cs="Times New Roman"/>
        </w:rPr>
        <w:t>满意度上，通过整理项目绩效评价材料以</w:t>
      </w:r>
      <w:r>
        <w:rPr>
          <w:rFonts w:hint="default" w:ascii="Times New Roman" w:hAnsi="Times New Roman" w:eastAsia="仿宋" w:cs="Times New Roman"/>
          <w:color w:val="333333"/>
          <w:shd w:val="clear" w:color="auto" w:fill="FFFFFF"/>
        </w:rPr>
        <w:t>及现场调研结果</w:t>
      </w:r>
      <w:r>
        <w:rPr>
          <w:rFonts w:hint="default" w:ascii="Times New Roman" w:hAnsi="Times New Roman" w:eastAsia="仿宋" w:cs="Times New Roman"/>
        </w:rPr>
        <w:t>得2022年度建设体育基础设施服务对象满意度达90%，该项扣0.5分。</w:t>
      </w:r>
    </w:p>
    <w:p>
      <w:pPr>
        <w:widowControl/>
        <w:spacing w:line="240" w:lineRule="auto"/>
        <w:jc w:val="left"/>
        <w:rPr>
          <w:rFonts w:hint="default" w:ascii="Times New Roman" w:hAnsi="Times New Roman" w:eastAsia="仿宋" w:cs="Times New Roman"/>
        </w:rPr>
      </w:pPr>
      <w:r>
        <w:rPr>
          <w:rFonts w:hint="default" w:ascii="Times New Roman" w:hAnsi="Times New Roman" w:eastAsia="仿宋" w:cs="Times New Roman"/>
        </w:rPr>
        <w:br w:type="page"/>
      </w:r>
    </w:p>
    <w:p>
      <w:pPr>
        <w:ind w:firstLine="560"/>
        <w:rPr>
          <w:rFonts w:hint="default" w:ascii="Times New Roman" w:hAnsi="Times New Roman" w:eastAsia="仿宋" w:cs="Times New Roman"/>
          <w:szCs w:val="28"/>
        </w:rPr>
      </w:pPr>
      <w:bookmarkStart w:id="186" w:name="_Hlk125147484"/>
    </w:p>
    <w:p>
      <w:pPr>
        <w:numPr>
          <w:ilvl w:val="0"/>
          <w:numId w:val="1"/>
        </w:numPr>
        <w:ind w:firstLine="723" w:firstLineChars="200"/>
        <w:jc w:val="center"/>
        <w:outlineLvl w:val="0"/>
        <w:rPr>
          <w:rFonts w:hint="default" w:ascii="Times New Roman" w:hAnsi="Times New Roman" w:eastAsia="仿宋" w:cs="Times New Roman"/>
          <w:b/>
          <w:bCs/>
          <w:sz w:val="36"/>
          <w:szCs w:val="36"/>
        </w:rPr>
      </w:pPr>
      <w:bookmarkStart w:id="187" w:name="_Toc119967332"/>
      <w:bookmarkStart w:id="188" w:name="_Toc25778"/>
      <w:bookmarkStart w:id="189" w:name="_Toc9319"/>
      <w:bookmarkStart w:id="190" w:name="_Toc22261"/>
      <w:bookmarkStart w:id="191" w:name="_Toc13193"/>
      <w:r>
        <w:rPr>
          <w:rFonts w:hint="default" w:ascii="Times New Roman" w:hAnsi="Times New Roman" w:eastAsia="仿宋" w:cs="Times New Roman"/>
          <w:b/>
          <w:bCs/>
          <w:sz w:val="36"/>
          <w:szCs w:val="36"/>
        </w:rPr>
        <w:t>存在主要问题</w:t>
      </w:r>
      <w:bookmarkEnd w:id="187"/>
      <w:bookmarkEnd w:id="188"/>
      <w:bookmarkEnd w:id="189"/>
      <w:bookmarkEnd w:id="190"/>
      <w:bookmarkEnd w:id="191"/>
    </w:p>
    <w:p>
      <w:pPr>
        <w:rPr>
          <w:rFonts w:hint="default" w:ascii="Times New Roman" w:hAnsi="Times New Roman" w:eastAsia="仿宋" w:cs="Times New Roman"/>
        </w:rPr>
      </w:pPr>
    </w:p>
    <w:p>
      <w:pPr>
        <w:spacing w:before="156" w:beforeLines="50" w:after="156" w:afterLines="50"/>
        <w:ind w:firstLine="643" w:firstLineChars="200"/>
        <w:outlineLvl w:val="1"/>
        <w:rPr>
          <w:rFonts w:hint="default" w:ascii="Times New Roman" w:hAnsi="Times New Roman" w:eastAsia="仿宋" w:cs="Times New Roman"/>
          <w:b/>
          <w:bCs/>
          <w:sz w:val="32"/>
          <w:szCs w:val="32"/>
        </w:rPr>
      </w:pPr>
      <w:bookmarkStart w:id="192" w:name="_Toc15771"/>
      <w:bookmarkStart w:id="193" w:name="_Toc29439"/>
      <w:bookmarkStart w:id="194" w:name="_Toc9989"/>
      <w:bookmarkStart w:id="195" w:name="_Toc19789"/>
      <w:r>
        <w:rPr>
          <w:rFonts w:hint="default" w:ascii="Times New Roman" w:hAnsi="Times New Roman" w:eastAsia="仿宋" w:cs="Times New Roman"/>
          <w:b/>
          <w:bCs/>
          <w:sz w:val="32"/>
          <w:szCs w:val="32"/>
        </w:rPr>
        <w:t>一、绩效</w:t>
      </w:r>
      <w:r>
        <w:rPr>
          <w:rFonts w:hint="eastAsia" w:ascii="Times New Roman" w:hAnsi="Times New Roman" w:eastAsia="仿宋" w:cs="Times New Roman"/>
          <w:b/>
          <w:bCs/>
          <w:sz w:val="32"/>
          <w:szCs w:val="32"/>
          <w:lang w:val="en-US" w:eastAsia="zh-CN"/>
        </w:rPr>
        <w:t>自评</w:t>
      </w:r>
      <w:r>
        <w:rPr>
          <w:rFonts w:hint="default" w:ascii="Times New Roman" w:hAnsi="Times New Roman" w:eastAsia="仿宋" w:cs="Times New Roman"/>
          <w:b/>
          <w:bCs/>
          <w:sz w:val="32"/>
          <w:szCs w:val="32"/>
        </w:rPr>
        <w:t>工作有待提高</w:t>
      </w:r>
      <w:bookmarkEnd w:id="192"/>
      <w:bookmarkEnd w:id="193"/>
      <w:bookmarkEnd w:id="194"/>
      <w:bookmarkEnd w:id="195"/>
    </w:p>
    <w:p>
      <w:pPr>
        <w:pStyle w:val="2"/>
        <w:ind w:firstLine="560" w:firstLineChars="200"/>
        <w:rPr>
          <w:rFonts w:hint="default" w:ascii="仿宋" w:hAnsi="仿宋" w:eastAsia="仿宋" w:cs="仿宋"/>
          <w:sz w:val="28"/>
          <w:szCs w:val="28"/>
          <w:lang w:val="en-US" w:eastAsia="zh-CN"/>
        </w:rPr>
      </w:pPr>
      <w:r>
        <w:rPr>
          <w:rFonts w:hint="eastAsia" w:ascii="仿宋" w:hAnsi="仿宋" w:eastAsia="仿宋" w:cs="仿宋"/>
          <w:color w:val="333333"/>
          <w:sz w:val="28"/>
          <w:szCs w:val="28"/>
          <w:shd w:val="clear" w:color="auto" w:fill="FFFFFF"/>
          <w:lang w:val="en-US" w:eastAsia="zh-CN"/>
        </w:rPr>
        <w:t>根据</w:t>
      </w:r>
      <w:r>
        <w:rPr>
          <w:rFonts w:hint="eastAsia" w:ascii="仿宋" w:hAnsi="仿宋" w:eastAsia="仿宋" w:cs="仿宋"/>
          <w:color w:val="333333"/>
          <w:sz w:val="28"/>
          <w:szCs w:val="28"/>
          <w:shd w:val="clear" w:color="auto" w:fill="FFFFFF"/>
        </w:rPr>
        <w:t>惠安县文旅局2022年</w:t>
      </w:r>
      <w:r>
        <w:rPr>
          <w:rFonts w:hint="eastAsia" w:ascii="仿宋" w:hAnsi="仿宋" w:eastAsia="仿宋" w:cs="仿宋"/>
          <w:color w:val="333333"/>
          <w:sz w:val="28"/>
          <w:szCs w:val="28"/>
          <w:shd w:val="clear" w:color="auto" w:fill="FFFFFF"/>
          <w:lang w:val="en-US" w:eastAsia="zh-CN"/>
        </w:rPr>
        <w:t>绩效自评材料，建设体育基础设施</w:t>
      </w:r>
      <w:bookmarkEnd w:id="186"/>
      <w:r>
        <w:rPr>
          <w:rFonts w:hint="eastAsia" w:ascii="仿宋" w:hAnsi="仿宋" w:eastAsia="仿宋" w:cs="仿宋"/>
          <w:color w:val="333333"/>
          <w:sz w:val="28"/>
          <w:szCs w:val="28"/>
          <w:shd w:val="clear" w:color="auto" w:fill="FFFFFF"/>
          <w:lang w:val="en-US" w:eastAsia="zh-CN"/>
        </w:rPr>
        <w:t>项目绩效目标细化不足，绩效指标相对单一，效益类指标考核不足。首先，缺少经济效益指标、可持续性效益指标，如项目配套基础设施建成后是否能够被充分利用、设施使用率是否得到有效保障，配套基础设施是否能够得到持续的检查与维修、有效管理与维护等。其次，项目效益指标量化不足，缺少总体效果的数据化呈现或总结，如社会效益指标“促进我县体育事业发展”缺乏衡量标准，难以进行明确考察。因此，项目单位应进一步完善绩效指标体系设置，全方位充分考察项目产出效益效果。此外，个别部门管理人员对绩效评价工作认识不到位，不利于部门绩效管理工作的有效开展。</w:t>
      </w:r>
    </w:p>
    <w:p>
      <w:pPr>
        <w:spacing w:before="156" w:beforeLines="50" w:after="156" w:afterLines="50"/>
        <w:ind w:firstLine="643" w:firstLineChars="200"/>
        <w:outlineLvl w:val="1"/>
        <w:rPr>
          <w:rFonts w:hint="default" w:ascii="Times New Roman" w:hAnsi="Times New Roman" w:eastAsia="仿宋" w:cs="Times New Roman"/>
          <w:b/>
          <w:bCs/>
          <w:sz w:val="32"/>
          <w:szCs w:val="32"/>
        </w:rPr>
      </w:pPr>
      <w:bookmarkStart w:id="196" w:name="_Toc310"/>
      <w:bookmarkStart w:id="197" w:name="_Toc1213"/>
      <w:bookmarkStart w:id="198" w:name="_Toc3720"/>
      <w:bookmarkStart w:id="199" w:name="_Toc4249"/>
      <w:r>
        <w:rPr>
          <w:rFonts w:hint="default" w:ascii="Times New Roman" w:hAnsi="Times New Roman" w:eastAsia="仿宋" w:cs="Times New Roman"/>
          <w:b/>
          <w:bCs/>
          <w:sz w:val="32"/>
          <w:szCs w:val="32"/>
        </w:rPr>
        <w:t>二、项目信息化管理有待加强</w:t>
      </w:r>
      <w:bookmarkEnd w:id="196"/>
      <w:bookmarkEnd w:id="197"/>
      <w:bookmarkEnd w:id="198"/>
      <w:bookmarkEnd w:id="199"/>
    </w:p>
    <w:p>
      <w:pPr>
        <w:ind w:firstLine="560" w:firstLineChars="200"/>
        <w:rPr>
          <w:rFonts w:hint="default" w:ascii="Times New Roman" w:hAnsi="Times New Roman" w:eastAsia="仿宋" w:cs="Times New Roman"/>
          <w:color w:val="333333"/>
          <w:shd w:val="clear" w:color="auto" w:fill="FFFFFF"/>
        </w:rPr>
      </w:pPr>
      <w:r>
        <w:rPr>
          <w:rFonts w:hint="default" w:ascii="Times New Roman" w:hAnsi="Times New Roman" w:eastAsia="仿宋" w:cs="Times New Roman"/>
          <w:shd w:val="clear" w:color="auto" w:fill="FFFFFF"/>
        </w:rPr>
        <w:t>工作组通过整理分析2021-</w:t>
      </w:r>
      <w:r>
        <w:rPr>
          <w:rFonts w:hint="default" w:ascii="Times New Roman" w:hAnsi="Times New Roman" w:eastAsia="仿宋" w:cs="Times New Roman"/>
          <w:color w:val="333333"/>
          <w:shd w:val="clear" w:color="auto" w:fill="FFFFFF"/>
        </w:rPr>
        <w:t>2022年建设体育基础设施项目</w:t>
      </w:r>
      <w:r>
        <w:rPr>
          <w:rFonts w:hint="default" w:ascii="Times New Roman" w:hAnsi="Times New Roman" w:eastAsia="仿宋" w:cs="Times New Roman"/>
          <w:shd w:val="clear" w:color="auto" w:fill="FFFFFF"/>
        </w:rPr>
        <w:t>验收材料，发现政府采购合同、竣工验收报告材料齐全，但仍存在部分项目建设过程资料不全的问题。如</w:t>
      </w:r>
      <w:r>
        <w:rPr>
          <w:rFonts w:hint="default" w:ascii="Times New Roman" w:hAnsi="Times New Roman" w:eastAsia="仿宋" w:cs="Times New Roman"/>
          <w:color w:val="333333"/>
          <w:shd w:val="clear" w:color="auto" w:fill="FFFFFF"/>
        </w:rPr>
        <w:t>项目立项、设计、施工、监理的前期、过程、验收、审计资料电子化归档工作不够到位，缺少详细完整的电子档案。项目</w:t>
      </w:r>
      <w:r>
        <w:rPr>
          <w:rFonts w:hint="default" w:ascii="Times New Roman" w:hAnsi="Times New Roman" w:eastAsia="仿宋" w:cs="Times New Roman"/>
          <w:kern w:val="0"/>
          <w:szCs w:val="28"/>
        </w:rPr>
        <w:t>资金申请、经费批复与实施的过程文件、项目实施方案、具体规划安排</w:t>
      </w:r>
      <w:r>
        <w:rPr>
          <w:rFonts w:hint="default" w:ascii="Times New Roman" w:hAnsi="Times New Roman" w:eastAsia="仿宋" w:cs="Times New Roman"/>
          <w:color w:val="333333"/>
          <w:shd w:val="clear" w:color="auto" w:fill="FFFFFF"/>
        </w:rPr>
        <w:t>等项目资料不仅纸质化归档不足，且</w:t>
      </w:r>
      <w:r>
        <w:rPr>
          <w:rFonts w:hint="default" w:ascii="Times New Roman" w:hAnsi="Times New Roman" w:eastAsia="仿宋" w:cs="Times New Roman"/>
        </w:rPr>
        <w:t>缺少完善的电子档案管理</w:t>
      </w:r>
      <w:r>
        <w:rPr>
          <w:rFonts w:hint="default" w:ascii="Times New Roman" w:hAnsi="Times New Roman" w:eastAsia="仿宋" w:cs="Times New Roman"/>
          <w:color w:val="333333"/>
          <w:shd w:val="clear" w:color="auto" w:fill="FFFFFF"/>
        </w:rPr>
        <w:t>。此外，部分货物类采购项目验收单未注明验收时间，项目材料管理有待进一步完整规范。</w:t>
      </w:r>
    </w:p>
    <w:p>
      <w:pPr>
        <w:widowControl/>
        <w:spacing w:line="240" w:lineRule="auto"/>
        <w:ind w:firstLine="643" w:firstLineChars="200"/>
        <w:jc w:val="left"/>
        <w:outlineLvl w:val="1"/>
        <w:rPr>
          <w:rFonts w:hint="default" w:ascii="Times New Roman" w:hAnsi="Times New Roman" w:eastAsia="仿宋" w:cs="Times New Roman"/>
          <w:b/>
          <w:bCs/>
          <w:sz w:val="32"/>
          <w:szCs w:val="32"/>
        </w:rPr>
      </w:pPr>
      <w:bookmarkStart w:id="200" w:name="_Toc5773"/>
      <w:bookmarkStart w:id="201" w:name="_Toc993"/>
      <w:bookmarkStart w:id="202" w:name="_Toc28719"/>
      <w:bookmarkStart w:id="203" w:name="_Toc2835"/>
      <w:r>
        <w:rPr>
          <w:rFonts w:hint="default" w:ascii="Times New Roman" w:hAnsi="Times New Roman" w:eastAsia="仿宋" w:cs="Times New Roman"/>
          <w:b/>
          <w:bCs/>
          <w:sz w:val="32"/>
          <w:szCs w:val="32"/>
        </w:rPr>
        <w:t>三、</w:t>
      </w:r>
      <w:bookmarkEnd w:id="200"/>
      <w:bookmarkEnd w:id="201"/>
      <w:bookmarkEnd w:id="202"/>
      <w:bookmarkStart w:id="204" w:name="_Toc30086"/>
      <w:bookmarkStart w:id="205" w:name="_Toc21659"/>
      <w:bookmarkStart w:id="206" w:name="_Toc8847"/>
      <w:r>
        <w:rPr>
          <w:rFonts w:hint="default" w:ascii="Times New Roman" w:hAnsi="Times New Roman" w:eastAsia="仿宋" w:cs="Times New Roman"/>
          <w:b/>
          <w:bCs/>
          <w:sz w:val="32"/>
          <w:szCs w:val="32"/>
        </w:rPr>
        <w:t>项目后期管护质量有待提高</w:t>
      </w:r>
      <w:bookmarkEnd w:id="203"/>
      <w:bookmarkEnd w:id="204"/>
      <w:bookmarkEnd w:id="205"/>
      <w:bookmarkEnd w:id="206"/>
    </w:p>
    <w:p>
      <w:pPr>
        <w:widowControl/>
        <w:ind w:firstLine="560" w:firstLineChars="200"/>
        <w:jc w:val="left"/>
        <w:rPr>
          <w:rFonts w:hint="default" w:ascii="Times New Roman" w:hAnsi="Times New Roman" w:eastAsia="仿宋" w:cs="Times New Roman"/>
          <w:szCs w:val="28"/>
        </w:rPr>
      </w:pPr>
      <w:r>
        <w:rPr>
          <w:rFonts w:hint="default" w:ascii="Times New Roman" w:hAnsi="Times New Roman" w:eastAsia="仿宋" w:cs="Times New Roman"/>
          <w:szCs w:val="28"/>
        </w:rPr>
        <w:t>从工作组现场核查结果来看，工作组发现部分工程后期管护质量还需要进一步提升。例如，健身器材养护不到位局部出现裂痕，存在安全隐患；部分口袋公园管理养护不到位，公园的绿化地出现草坪斑秃现象。</w:t>
      </w:r>
      <w:r>
        <w:rPr>
          <w:rFonts w:hint="eastAsia" w:ascii="Times New Roman" w:hAnsi="Times New Roman" w:eastAsia="仿宋" w:cs="Times New Roman"/>
          <w:szCs w:val="28"/>
          <w:lang w:val="en-US" w:eastAsia="zh-CN"/>
        </w:rPr>
        <w:t>根据项目单位提供的日常管理台账清单</w:t>
      </w:r>
      <w:r>
        <w:rPr>
          <w:rFonts w:hint="default" w:ascii="Times New Roman" w:hAnsi="Times New Roman" w:eastAsia="仿宋" w:cs="Times New Roman"/>
          <w:szCs w:val="28"/>
        </w:rPr>
        <w:t>，</w:t>
      </w:r>
      <w:r>
        <w:rPr>
          <w:rFonts w:hint="eastAsia" w:ascii="Times New Roman" w:hAnsi="Times New Roman" w:eastAsia="仿宋" w:cs="Times New Roman"/>
          <w:szCs w:val="28"/>
          <w:lang w:val="en-US" w:eastAsia="zh-CN"/>
        </w:rPr>
        <w:t>项目建设完工后，由业主使用单位进行日常检查维修，但部分</w:t>
      </w:r>
      <w:r>
        <w:rPr>
          <w:rFonts w:hint="default" w:ascii="Times New Roman" w:hAnsi="Times New Roman" w:eastAsia="仿宋" w:cs="Times New Roman"/>
          <w:szCs w:val="28"/>
        </w:rPr>
        <w:t>项目区内配套基础设施</w:t>
      </w:r>
      <w:r>
        <w:rPr>
          <w:rFonts w:hint="eastAsia" w:ascii="Times New Roman" w:hAnsi="Times New Roman" w:eastAsia="仿宋" w:cs="Times New Roman"/>
          <w:szCs w:val="28"/>
          <w:lang w:val="en-US" w:eastAsia="zh-CN"/>
        </w:rPr>
        <w:t>检查后维修情况未进行详细记录，还需进一步补充完善</w:t>
      </w:r>
      <w:r>
        <w:rPr>
          <w:rFonts w:hint="default" w:ascii="Times New Roman" w:hAnsi="Times New Roman" w:eastAsia="仿宋" w:cs="Times New Roman"/>
          <w:szCs w:val="28"/>
        </w:rPr>
        <w:t>。此外，由于体育基础设施建设的口袋公园、健身路径等设施一般处于户外，且分布较为分散，在缺少管理的情况下易发生损失，因此为满足项目后期管护的需求，项目管护主体还需提高后期</w:t>
      </w:r>
      <w:r>
        <w:rPr>
          <w:rFonts w:hint="default" w:ascii="Times New Roman" w:hAnsi="Times New Roman" w:eastAsia="仿宋" w:cs="Times New Roman"/>
          <w:szCs w:val="28"/>
          <w:lang w:val="en-US"/>
        </w:rPr>
        <w:t>管理质量</w:t>
      </w:r>
      <w:r>
        <w:rPr>
          <w:rFonts w:hint="default" w:ascii="Times New Roman" w:hAnsi="Times New Roman" w:eastAsia="仿宋" w:cs="Times New Roman"/>
          <w:szCs w:val="28"/>
        </w:rPr>
        <w:t>，</w:t>
      </w:r>
      <w:r>
        <w:rPr>
          <w:rFonts w:hint="eastAsia" w:ascii="Times New Roman" w:hAnsi="Times New Roman" w:eastAsia="仿宋" w:cs="Times New Roman"/>
          <w:szCs w:val="28"/>
          <w:lang w:val="en-US" w:eastAsia="zh-CN"/>
        </w:rPr>
        <w:t>及时对老化、破损等配套基础设施进行维修</w:t>
      </w:r>
      <w:r>
        <w:rPr>
          <w:rFonts w:hint="default" w:ascii="Times New Roman" w:hAnsi="Times New Roman" w:eastAsia="仿宋" w:cs="Times New Roman"/>
          <w:szCs w:val="28"/>
        </w:rPr>
        <w:t>维护</w:t>
      </w:r>
      <w:r>
        <w:rPr>
          <w:rFonts w:hint="eastAsia" w:ascii="Times New Roman" w:hAnsi="Times New Roman" w:eastAsia="仿宋" w:cs="Times New Roman"/>
          <w:szCs w:val="28"/>
          <w:lang w:eastAsia="zh-CN"/>
        </w:rPr>
        <w:t>，</w:t>
      </w:r>
      <w:r>
        <w:rPr>
          <w:rFonts w:hint="eastAsia" w:ascii="Times New Roman" w:hAnsi="Times New Roman" w:eastAsia="仿宋" w:cs="Times New Roman"/>
          <w:szCs w:val="28"/>
          <w:lang w:val="en-US" w:eastAsia="zh-CN"/>
        </w:rPr>
        <w:t>确保其正常安全使用</w:t>
      </w:r>
      <w:r>
        <w:rPr>
          <w:rFonts w:hint="default" w:ascii="Times New Roman" w:hAnsi="Times New Roman" w:eastAsia="仿宋" w:cs="Times New Roman"/>
          <w:szCs w:val="28"/>
        </w:rPr>
        <w:t>。</w:t>
      </w:r>
    </w:p>
    <w:p>
      <w:pPr>
        <w:widowControl/>
        <w:spacing w:line="240" w:lineRule="auto"/>
        <w:jc w:val="left"/>
        <w:rPr>
          <w:rFonts w:hint="default" w:ascii="Times New Roman" w:hAnsi="Times New Roman" w:eastAsia="仿宋" w:cs="Times New Roman"/>
          <w:szCs w:val="28"/>
        </w:rPr>
      </w:pPr>
      <w:r>
        <w:rPr>
          <w:rFonts w:hint="default" w:ascii="Times New Roman" w:hAnsi="Times New Roman" w:eastAsia="仿宋" w:cs="Times New Roman"/>
          <w:szCs w:val="28"/>
        </w:rPr>
        <w:br w:type="page"/>
      </w:r>
      <w:bookmarkStart w:id="207" w:name="_Toc119967340"/>
    </w:p>
    <w:p>
      <w:pPr>
        <w:widowControl/>
        <w:spacing w:line="240" w:lineRule="auto"/>
        <w:jc w:val="left"/>
        <w:rPr>
          <w:rFonts w:hint="default" w:ascii="Times New Roman" w:hAnsi="Times New Roman" w:eastAsia="仿宋" w:cs="Times New Roman"/>
          <w:szCs w:val="28"/>
        </w:rPr>
      </w:pPr>
      <w:bookmarkStart w:id="208" w:name="_Hlk125147498"/>
    </w:p>
    <w:p>
      <w:pPr>
        <w:numPr>
          <w:ilvl w:val="0"/>
          <w:numId w:val="1"/>
        </w:numPr>
        <w:ind w:firstLine="723" w:firstLineChars="200"/>
        <w:jc w:val="center"/>
        <w:outlineLvl w:val="0"/>
        <w:rPr>
          <w:rFonts w:hint="default" w:ascii="Times New Roman" w:hAnsi="Times New Roman" w:eastAsia="仿宋" w:cs="Times New Roman"/>
          <w:b/>
          <w:bCs/>
          <w:sz w:val="36"/>
          <w:szCs w:val="36"/>
        </w:rPr>
      </w:pPr>
      <w:bookmarkStart w:id="209" w:name="_Toc14144"/>
      <w:bookmarkStart w:id="210" w:name="_Toc23417"/>
      <w:bookmarkStart w:id="211" w:name="_Toc1702"/>
      <w:bookmarkStart w:id="212" w:name="_Toc7023"/>
      <w:bookmarkStart w:id="213" w:name="_Hlk125539877"/>
      <w:r>
        <w:rPr>
          <w:rFonts w:hint="default" w:ascii="Times New Roman" w:hAnsi="Times New Roman" w:eastAsia="仿宋" w:cs="Times New Roman"/>
          <w:b/>
          <w:bCs/>
          <w:sz w:val="36"/>
          <w:szCs w:val="36"/>
        </w:rPr>
        <w:t>改进措施与管理建议</w:t>
      </w:r>
      <w:bookmarkEnd w:id="207"/>
      <w:bookmarkEnd w:id="209"/>
      <w:bookmarkEnd w:id="210"/>
      <w:bookmarkEnd w:id="211"/>
      <w:bookmarkEnd w:id="212"/>
    </w:p>
    <w:p>
      <w:pPr>
        <w:ind w:firstLine="560"/>
        <w:rPr>
          <w:rFonts w:hint="default" w:ascii="Times New Roman" w:hAnsi="Times New Roman" w:eastAsia="仿宋" w:cs="Times New Roman"/>
          <w:szCs w:val="28"/>
        </w:rPr>
      </w:pPr>
    </w:p>
    <w:p>
      <w:pPr>
        <w:spacing w:before="156" w:beforeLines="50" w:after="156" w:afterLines="50"/>
        <w:ind w:firstLine="643" w:firstLineChars="200"/>
        <w:outlineLvl w:val="1"/>
        <w:rPr>
          <w:rFonts w:hint="default" w:ascii="Times New Roman" w:hAnsi="Times New Roman" w:eastAsia="仿宋" w:cs="Times New Roman"/>
          <w:b/>
          <w:bCs/>
          <w:sz w:val="32"/>
          <w:szCs w:val="32"/>
        </w:rPr>
      </w:pPr>
      <w:bookmarkStart w:id="214" w:name="_Toc125299045"/>
      <w:bookmarkStart w:id="215" w:name="_Toc13258"/>
      <w:bookmarkStart w:id="216" w:name="_Toc129372693"/>
      <w:bookmarkStart w:id="217" w:name="_Toc7341"/>
      <w:bookmarkStart w:id="218" w:name="_Toc17400"/>
      <w:bookmarkStart w:id="219" w:name="_Toc10600"/>
      <w:r>
        <w:rPr>
          <w:rFonts w:hint="default" w:ascii="Times New Roman" w:hAnsi="Times New Roman" w:eastAsia="仿宋" w:cs="Times New Roman"/>
          <w:b/>
          <w:bCs/>
          <w:sz w:val="32"/>
          <w:szCs w:val="32"/>
        </w:rPr>
        <w:t>一、</w:t>
      </w:r>
      <w:r>
        <w:rPr>
          <w:rFonts w:hint="eastAsia" w:ascii="Times New Roman" w:hAnsi="Times New Roman" w:eastAsia="仿宋" w:cs="Times New Roman"/>
          <w:b/>
          <w:bCs/>
          <w:sz w:val="32"/>
          <w:szCs w:val="32"/>
          <w:lang w:val="en-US" w:eastAsia="zh-CN"/>
        </w:rPr>
        <w:t>科学设置绩效指标</w:t>
      </w:r>
      <w:r>
        <w:rPr>
          <w:rFonts w:hint="default" w:ascii="Times New Roman" w:hAnsi="Times New Roman" w:eastAsia="仿宋" w:cs="Times New Roman"/>
          <w:b/>
          <w:bCs/>
          <w:sz w:val="32"/>
          <w:szCs w:val="32"/>
        </w:rPr>
        <w:t>，</w:t>
      </w:r>
      <w:bookmarkEnd w:id="214"/>
      <w:r>
        <w:rPr>
          <w:rFonts w:hint="default" w:ascii="Times New Roman" w:hAnsi="Times New Roman" w:eastAsia="仿宋" w:cs="Times New Roman"/>
          <w:b/>
          <w:bCs/>
          <w:sz w:val="32"/>
          <w:szCs w:val="32"/>
        </w:rPr>
        <w:t>强化绩效自评工作</w:t>
      </w:r>
      <w:bookmarkEnd w:id="215"/>
      <w:bookmarkEnd w:id="216"/>
      <w:bookmarkEnd w:id="217"/>
      <w:bookmarkEnd w:id="218"/>
      <w:bookmarkEnd w:id="219"/>
    </w:p>
    <w:p>
      <w:pPr>
        <w:ind w:firstLine="560" w:firstLineChars="200"/>
        <w:rPr>
          <w:rFonts w:hint="eastAsia" w:ascii="Times New Roman" w:hAnsi="Times New Roman" w:eastAsia="仿宋" w:cs="Times New Roman"/>
          <w:color w:val="333333"/>
          <w:shd w:val="clear" w:color="auto" w:fill="FFFFFF"/>
          <w:lang w:val="en-US" w:eastAsia="zh-CN"/>
        </w:rPr>
      </w:pPr>
      <w:r>
        <w:rPr>
          <w:rFonts w:hint="eastAsia" w:ascii="Times New Roman" w:hAnsi="Times New Roman" w:eastAsia="仿宋" w:cs="Times New Roman"/>
          <w:color w:val="333333"/>
          <w:shd w:val="clear" w:color="auto" w:fill="FFFFFF"/>
          <w:lang w:val="en-US" w:eastAsia="zh-CN"/>
        </w:rPr>
        <w:t>首先，</w:t>
      </w:r>
      <w:r>
        <w:rPr>
          <w:rFonts w:hint="default" w:ascii="Times New Roman" w:hAnsi="Times New Roman" w:eastAsia="仿宋" w:cs="Times New Roman"/>
          <w:color w:val="333333"/>
          <w:shd w:val="clear" w:color="auto" w:fill="FFFFFF"/>
        </w:rPr>
        <w:t>绩效</w:t>
      </w:r>
      <w:r>
        <w:rPr>
          <w:rFonts w:hint="eastAsia" w:ascii="Times New Roman" w:hAnsi="Times New Roman" w:eastAsia="仿宋" w:cs="Times New Roman"/>
          <w:strike w:val="0"/>
          <w:color w:val="333333"/>
          <w:highlight w:val="none"/>
          <w:shd w:val="clear" w:color="auto" w:fill="FFFFFF"/>
          <w:lang w:val="en-US" w:eastAsia="zh-CN"/>
        </w:rPr>
        <w:t>指标</w:t>
      </w:r>
      <w:r>
        <w:rPr>
          <w:rFonts w:hint="default" w:ascii="Times New Roman" w:hAnsi="Times New Roman" w:eastAsia="仿宋" w:cs="Times New Roman"/>
          <w:color w:val="333333"/>
          <w:highlight w:val="none"/>
          <w:shd w:val="clear" w:color="auto" w:fill="FFFFFF"/>
        </w:rPr>
        <w:t>是</w:t>
      </w:r>
      <w:r>
        <w:rPr>
          <w:rFonts w:hint="eastAsia" w:ascii="Times New Roman" w:hAnsi="Times New Roman" w:eastAsia="仿宋" w:cs="Times New Roman"/>
          <w:color w:val="333333"/>
          <w:highlight w:val="none"/>
          <w:shd w:val="clear" w:color="auto" w:fill="FFFFFF"/>
          <w:lang w:val="en-US" w:eastAsia="zh-CN"/>
        </w:rPr>
        <w:t>开展</w:t>
      </w:r>
      <w:r>
        <w:rPr>
          <w:rFonts w:hint="default" w:ascii="Times New Roman" w:hAnsi="Times New Roman" w:eastAsia="仿宋" w:cs="Times New Roman"/>
          <w:color w:val="333333"/>
          <w:highlight w:val="none"/>
          <w:shd w:val="clear" w:color="auto" w:fill="FFFFFF"/>
        </w:rPr>
        <w:t>预算绩效管理</w:t>
      </w:r>
      <w:r>
        <w:rPr>
          <w:rFonts w:hint="eastAsia" w:ascii="Times New Roman" w:hAnsi="Times New Roman" w:eastAsia="仿宋" w:cs="Times New Roman"/>
          <w:color w:val="333333"/>
          <w:highlight w:val="none"/>
          <w:shd w:val="clear" w:color="auto" w:fill="FFFFFF"/>
          <w:lang w:val="en-US" w:eastAsia="zh-CN"/>
        </w:rPr>
        <w:t>工作</w:t>
      </w:r>
      <w:r>
        <w:rPr>
          <w:rFonts w:hint="default" w:ascii="Times New Roman" w:hAnsi="Times New Roman" w:eastAsia="仿宋" w:cs="Times New Roman"/>
          <w:color w:val="333333"/>
          <w:highlight w:val="none"/>
          <w:shd w:val="clear" w:color="auto" w:fill="FFFFFF"/>
        </w:rPr>
        <w:t>的基础，相关部门应严格按照财政部门有关绩效评价管理的规定，结合部门实际合理分解量化绩效</w:t>
      </w:r>
      <w:r>
        <w:rPr>
          <w:rFonts w:hint="eastAsia" w:ascii="Times New Roman" w:hAnsi="Times New Roman" w:eastAsia="仿宋" w:cs="Times New Roman"/>
          <w:color w:val="333333"/>
          <w:highlight w:val="none"/>
          <w:shd w:val="clear" w:color="auto" w:fill="FFFFFF"/>
          <w:lang w:val="en-US" w:eastAsia="zh-CN"/>
        </w:rPr>
        <w:t>目标，</w:t>
      </w:r>
      <w:r>
        <w:rPr>
          <w:rFonts w:hint="default" w:ascii="Times New Roman" w:hAnsi="Times New Roman" w:eastAsia="仿宋" w:cs="Times New Roman"/>
          <w:color w:val="333333"/>
          <w:highlight w:val="none"/>
          <w:shd w:val="clear" w:color="auto" w:fill="FFFFFF"/>
        </w:rPr>
        <w:t>进一步优化绩效指标体系</w:t>
      </w:r>
      <w:r>
        <w:rPr>
          <w:rFonts w:hint="eastAsia" w:ascii="Times New Roman" w:hAnsi="Times New Roman" w:eastAsia="仿宋" w:cs="Times New Roman"/>
          <w:color w:val="333333"/>
          <w:highlight w:val="none"/>
          <w:shd w:val="clear" w:color="auto" w:fill="FFFFFF"/>
          <w:lang w:eastAsia="zh-CN"/>
        </w:rPr>
        <w:t>。</w:t>
      </w:r>
      <w:r>
        <w:rPr>
          <w:rFonts w:hint="default" w:ascii="Times New Roman" w:hAnsi="Times New Roman" w:eastAsia="仿宋" w:cs="Times New Roman"/>
          <w:color w:val="333333"/>
          <w:highlight w:val="none"/>
          <w:shd w:val="clear" w:color="auto" w:fill="FFFFFF"/>
        </w:rPr>
        <w:t>根据专项资金支出范围、方向等，</w:t>
      </w:r>
      <w:r>
        <w:rPr>
          <w:rFonts w:hint="eastAsia" w:ascii="Times New Roman" w:hAnsi="Times New Roman" w:eastAsia="仿宋" w:cs="Times New Roman"/>
          <w:color w:val="333333"/>
          <w:highlight w:val="none"/>
          <w:shd w:val="clear" w:color="auto" w:fill="FFFFFF"/>
          <w:lang w:val="en-US" w:eastAsia="zh-CN"/>
        </w:rPr>
        <w:t>在项目产出方面进一步</w:t>
      </w:r>
      <w:r>
        <w:rPr>
          <w:rFonts w:hint="default" w:ascii="Times New Roman" w:hAnsi="Times New Roman" w:eastAsia="仿宋" w:cs="Times New Roman"/>
          <w:color w:val="333333"/>
          <w:highlight w:val="none"/>
          <w:shd w:val="clear" w:color="auto" w:fill="FFFFFF"/>
        </w:rPr>
        <w:t>从数量、质量、成本和时效等方面进行细化、量化，</w:t>
      </w:r>
      <w:r>
        <w:rPr>
          <w:rFonts w:hint="eastAsia" w:ascii="Times New Roman" w:hAnsi="Times New Roman" w:eastAsia="仿宋" w:cs="Times New Roman"/>
          <w:color w:val="333333"/>
          <w:highlight w:val="none"/>
          <w:shd w:val="clear" w:color="auto" w:fill="FFFFFF"/>
          <w:lang w:val="en-US" w:eastAsia="zh-CN"/>
        </w:rPr>
        <w:t>在项目效益方面从项目经济效益、社会效益、可持续效益等多方面科学</w:t>
      </w:r>
      <w:r>
        <w:rPr>
          <w:rFonts w:hint="default" w:ascii="Times New Roman" w:hAnsi="Times New Roman" w:eastAsia="仿宋" w:cs="Times New Roman"/>
          <w:color w:val="333333"/>
          <w:highlight w:val="none"/>
          <w:shd w:val="clear" w:color="auto" w:fill="FFFFFF"/>
        </w:rPr>
        <w:t>制定</w:t>
      </w:r>
      <w:r>
        <w:rPr>
          <w:rFonts w:hint="eastAsia" w:ascii="Times New Roman" w:hAnsi="Times New Roman" w:eastAsia="仿宋" w:cs="Times New Roman"/>
          <w:color w:val="333333"/>
          <w:highlight w:val="none"/>
          <w:shd w:val="clear" w:color="auto" w:fill="FFFFFF"/>
          <w:lang w:val="en-US" w:eastAsia="zh-CN"/>
        </w:rPr>
        <w:t>清晰、可衡量的</w:t>
      </w:r>
      <w:r>
        <w:rPr>
          <w:rFonts w:hint="default" w:ascii="Times New Roman" w:hAnsi="Times New Roman" w:eastAsia="仿宋" w:cs="Times New Roman"/>
          <w:color w:val="333333"/>
          <w:highlight w:val="none"/>
          <w:shd w:val="clear" w:color="auto" w:fill="FFFFFF"/>
        </w:rPr>
        <w:t>绩效</w:t>
      </w:r>
      <w:r>
        <w:rPr>
          <w:rFonts w:hint="eastAsia" w:ascii="Times New Roman" w:hAnsi="Times New Roman" w:eastAsia="仿宋" w:cs="Times New Roman"/>
          <w:color w:val="333333"/>
          <w:highlight w:val="none"/>
          <w:shd w:val="clear" w:color="auto" w:fill="FFFFFF"/>
          <w:lang w:val="en-US" w:eastAsia="zh-CN"/>
        </w:rPr>
        <w:t>评价指标体系</w:t>
      </w:r>
      <w:r>
        <w:rPr>
          <w:rFonts w:hint="eastAsia" w:ascii="Times New Roman" w:hAnsi="Times New Roman" w:eastAsia="仿宋" w:cs="Times New Roman"/>
          <w:color w:val="333333"/>
          <w:highlight w:val="none"/>
          <w:shd w:val="clear" w:color="auto" w:fill="FFFFFF"/>
          <w:lang w:eastAsia="zh-CN"/>
        </w:rPr>
        <w:t>，</w:t>
      </w:r>
      <w:r>
        <w:rPr>
          <w:rFonts w:hint="default" w:ascii="Times New Roman" w:hAnsi="Times New Roman" w:eastAsia="仿宋" w:cs="Times New Roman"/>
          <w:color w:val="333333"/>
          <w:shd w:val="clear" w:color="auto" w:fill="FFFFFF"/>
        </w:rPr>
        <w:t>对评价程序、评价内容、评价方法等做出具体要求，提高绩效自评质量。</w:t>
      </w:r>
      <w:bookmarkStart w:id="220" w:name="_Toc129372697"/>
      <w:r>
        <w:rPr>
          <w:rFonts w:hint="eastAsia" w:ascii="Times New Roman" w:hAnsi="Times New Roman" w:eastAsia="仿宋" w:cs="Times New Roman"/>
          <w:color w:val="333333"/>
          <w:shd w:val="clear" w:color="auto" w:fill="FFFFFF"/>
          <w:lang w:val="en-US" w:eastAsia="zh-CN"/>
        </w:rPr>
        <w:t>其次，在单位内部做好预算绩效管理的宣传和培训，提高相关部门管理人员对绩效评价工作的认识，重视绩效评价工作的有效开展</w:t>
      </w:r>
      <w:r>
        <w:rPr>
          <w:rFonts w:hint="eastAsia" w:ascii="Times New Roman" w:hAnsi="Times New Roman" w:eastAsia="仿宋" w:cs="Times New Roman"/>
          <w:color w:val="333333"/>
          <w:shd w:val="clear" w:color="auto" w:fill="FFFFFF"/>
          <w:lang w:eastAsia="zh-CN"/>
        </w:rPr>
        <w:t>。</w:t>
      </w:r>
      <w:r>
        <w:rPr>
          <w:rFonts w:hint="eastAsia" w:ascii="Times New Roman" w:hAnsi="Times New Roman" w:eastAsia="仿宋" w:cs="Times New Roman"/>
          <w:color w:val="333333"/>
          <w:shd w:val="clear" w:color="auto" w:fill="FFFFFF"/>
          <w:lang w:val="en-US" w:eastAsia="zh-CN"/>
        </w:rPr>
        <w:t>最后</w:t>
      </w:r>
      <w:r>
        <w:rPr>
          <w:rFonts w:hint="eastAsia" w:ascii="Times New Roman" w:hAnsi="Times New Roman" w:eastAsia="仿宋" w:cs="Times New Roman"/>
          <w:color w:val="333333"/>
          <w:shd w:val="clear" w:color="auto" w:fill="FFFFFF"/>
          <w:lang w:eastAsia="zh-CN"/>
        </w:rPr>
        <w:t>，</w:t>
      </w:r>
      <w:r>
        <w:rPr>
          <w:rFonts w:hint="eastAsia" w:ascii="Times New Roman" w:hAnsi="Times New Roman" w:eastAsia="仿宋" w:cs="Times New Roman"/>
          <w:color w:val="333333"/>
          <w:shd w:val="clear" w:color="auto" w:fill="FFFFFF"/>
          <w:lang w:val="en-US" w:eastAsia="zh-CN"/>
        </w:rPr>
        <w:t>评价主体应当</w:t>
      </w:r>
      <w:r>
        <w:rPr>
          <w:rFonts w:hint="eastAsia" w:ascii="Times New Roman" w:hAnsi="Times New Roman" w:eastAsia="仿宋" w:cs="Times New Roman"/>
          <w:color w:val="333333"/>
          <w:shd w:val="clear" w:color="auto" w:fill="FFFFFF"/>
          <w:lang w:eastAsia="zh-CN"/>
        </w:rPr>
        <w:t>积极推动项目绩效自评结果应用，把绩效评价结果作为下年度安排部门预算、考核业务和改进管理的重要依据，将评价结果与干部评优评先等方面充分结合，进一步发挥激励约束作用。</w:t>
      </w:r>
    </w:p>
    <w:p>
      <w:pPr>
        <w:spacing w:before="156" w:beforeLines="50" w:after="156" w:afterLines="50"/>
        <w:ind w:firstLine="643" w:firstLineChars="200"/>
        <w:outlineLvl w:val="1"/>
        <w:rPr>
          <w:rFonts w:hint="default" w:ascii="Times New Roman" w:hAnsi="Times New Roman" w:eastAsia="仿宋" w:cs="Times New Roman"/>
          <w:b/>
          <w:bCs/>
          <w:sz w:val="32"/>
          <w:szCs w:val="32"/>
        </w:rPr>
      </w:pPr>
      <w:bookmarkStart w:id="221" w:name="_Toc29142"/>
      <w:bookmarkStart w:id="222" w:name="_Toc26580"/>
      <w:bookmarkStart w:id="223" w:name="_Toc5165"/>
      <w:bookmarkStart w:id="224" w:name="_Toc19360"/>
      <w:r>
        <w:rPr>
          <w:rFonts w:hint="default" w:ascii="Times New Roman" w:hAnsi="Times New Roman" w:eastAsia="仿宋" w:cs="Times New Roman"/>
          <w:b/>
          <w:bCs/>
          <w:sz w:val="32"/>
          <w:szCs w:val="32"/>
        </w:rPr>
        <w:t>二、注重信息化建设，加强电子档案管理</w:t>
      </w:r>
      <w:bookmarkEnd w:id="220"/>
      <w:bookmarkEnd w:id="221"/>
      <w:bookmarkEnd w:id="222"/>
      <w:bookmarkEnd w:id="223"/>
      <w:bookmarkEnd w:id="224"/>
    </w:p>
    <w:p>
      <w:pPr>
        <w:spacing w:before="156" w:beforeLines="50" w:after="156" w:afterLines="50"/>
        <w:ind w:firstLine="560" w:firstLineChars="200"/>
        <w:rPr>
          <w:rFonts w:hint="default" w:ascii="Times New Roman" w:hAnsi="Times New Roman" w:eastAsia="仿宋" w:cs="Times New Roman"/>
          <w:color w:val="333333"/>
          <w:shd w:val="clear" w:color="auto" w:fill="FFFFFF"/>
        </w:rPr>
      </w:pPr>
      <w:r>
        <w:rPr>
          <w:rFonts w:hint="default" w:ascii="Times New Roman" w:hAnsi="Times New Roman" w:eastAsia="仿宋" w:cs="Times New Roman"/>
          <w:color w:val="333333"/>
          <w:shd w:val="clear" w:color="auto" w:fill="FFFFFF"/>
        </w:rPr>
        <w:t>一方面，对于项目立项依据、项目资金申请和经费批复等文件，建议将其电子化归档并妥善保存，以确保信息的完整性和可检索性。建立统一的电子文档命名和目录结构规范，方便归档文件的管理和检索。同时，强化工程监理部门的责任，监督施工单位按照规定提供相关的电子化档案，并对档案的完整性进行审核。另一方面，建立定期检查和维护电子档案的机制，确保系统运行正常，并定期进行数据备份和安全性检查。此外，提高项目管理和相关人员对电子化档案管理的认识和操作技能，加强组织内部的宣传和意识提升，让工作人员了解电子档案管理的重要性和好处，积极配合和支持电子化档案工作的推进。</w:t>
      </w:r>
    </w:p>
    <w:p>
      <w:pPr>
        <w:spacing w:before="156" w:beforeLines="50" w:after="156" w:afterLines="50"/>
        <w:ind w:firstLine="643" w:firstLineChars="200"/>
        <w:outlineLvl w:val="1"/>
        <w:rPr>
          <w:rFonts w:hint="default" w:ascii="Times New Roman" w:hAnsi="Times New Roman" w:eastAsia="仿宋" w:cs="Times New Roman"/>
          <w:b/>
          <w:bCs/>
          <w:color w:val="333333"/>
          <w:shd w:val="clear" w:color="auto" w:fill="FFFFFF"/>
        </w:rPr>
      </w:pPr>
      <w:bookmarkStart w:id="225" w:name="_Toc5345"/>
      <w:bookmarkStart w:id="226" w:name="_Toc26288"/>
      <w:bookmarkStart w:id="227" w:name="_Toc991"/>
      <w:bookmarkStart w:id="228" w:name="_Toc32060"/>
      <w:r>
        <w:rPr>
          <w:rFonts w:hint="default" w:ascii="Times New Roman" w:hAnsi="Times New Roman" w:eastAsia="仿宋" w:cs="Times New Roman"/>
          <w:b/>
          <w:bCs/>
          <w:sz w:val="32"/>
          <w:szCs w:val="32"/>
        </w:rPr>
        <w:t>三、规范健身器材成本标准，合理控制工程成本</w:t>
      </w:r>
      <w:bookmarkEnd w:id="225"/>
      <w:bookmarkEnd w:id="226"/>
      <w:bookmarkEnd w:id="227"/>
      <w:bookmarkEnd w:id="228"/>
    </w:p>
    <w:p>
      <w:pPr>
        <w:ind w:firstLine="560" w:firstLineChars="200"/>
        <w:rPr>
          <w:rFonts w:hint="default" w:ascii="Times New Roman" w:hAnsi="Times New Roman" w:eastAsia="仿宋" w:cs="Times New Roman"/>
        </w:rPr>
      </w:pPr>
      <w:r>
        <w:rPr>
          <w:rFonts w:hint="eastAsia" w:ascii="Times New Roman" w:hAnsi="Times New Roman" w:eastAsia="仿宋" w:cs="Times New Roman"/>
          <w:lang w:val="en-US" w:eastAsia="zh-CN"/>
        </w:rPr>
        <w:t>建议</w:t>
      </w:r>
      <w:r>
        <w:rPr>
          <w:rFonts w:hint="default" w:ascii="Times New Roman" w:hAnsi="Times New Roman" w:eastAsia="仿宋" w:cs="Times New Roman"/>
        </w:rPr>
        <w:t>相关部门明确规范健身器材成本标准，主管单位应当严格按照成本标准进行集中采购，控制价格波动的范围，合理把控工程成本。尤其是针对智能健身路径这类</w:t>
      </w:r>
      <w:r>
        <w:rPr>
          <w:rFonts w:hint="eastAsia" w:ascii="Times New Roman" w:hAnsi="Times New Roman" w:eastAsia="仿宋" w:cs="Times New Roman"/>
          <w:lang w:eastAsia="zh-CN"/>
        </w:rPr>
        <w:t>“</w:t>
      </w:r>
      <w:r>
        <w:rPr>
          <w:rFonts w:hint="default" w:ascii="Times New Roman" w:hAnsi="Times New Roman" w:eastAsia="仿宋" w:cs="Times New Roman"/>
        </w:rPr>
        <w:t>小而精</w:t>
      </w:r>
      <w:r>
        <w:rPr>
          <w:rFonts w:hint="eastAsia" w:ascii="Times New Roman" w:hAnsi="Times New Roman" w:eastAsia="仿宋" w:cs="Times New Roman"/>
          <w:lang w:eastAsia="zh-CN"/>
        </w:rPr>
        <w:t>”</w:t>
      </w:r>
      <w:r>
        <w:rPr>
          <w:rFonts w:hint="default" w:ascii="Times New Roman" w:hAnsi="Times New Roman" w:eastAsia="仿宋" w:cs="Times New Roman"/>
        </w:rPr>
        <w:t>的工程进行成本把控，摸清建设规模，拟定健身器材成本标准，依规做好成本控制。建议参照市级标准，结合各地实际适当拟定建设体育基础设施项目的建设标准和健身器材集中采购成本标准，以确保建设体育基础设施工程质量。</w:t>
      </w:r>
      <w:bookmarkEnd w:id="208"/>
      <w:bookmarkEnd w:id="213"/>
    </w:p>
    <w:p>
      <w:pPr>
        <w:spacing w:before="156" w:beforeLines="50" w:after="156" w:afterLines="50"/>
        <w:ind w:firstLine="643" w:firstLineChars="200"/>
        <w:outlineLvl w:val="1"/>
        <w:rPr>
          <w:rFonts w:hint="default" w:ascii="Times New Roman" w:hAnsi="Times New Roman" w:eastAsia="仿宋" w:cs="Times New Roman"/>
          <w:b/>
          <w:bCs/>
          <w:sz w:val="32"/>
          <w:szCs w:val="32"/>
        </w:rPr>
      </w:pPr>
      <w:bookmarkStart w:id="229" w:name="_Toc28143"/>
      <w:bookmarkStart w:id="230" w:name="_Toc15808"/>
      <w:bookmarkStart w:id="231" w:name="_Toc845"/>
      <w:bookmarkStart w:id="232" w:name="_Toc29461"/>
      <w:r>
        <w:rPr>
          <w:rFonts w:hint="default" w:ascii="Times New Roman" w:hAnsi="Times New Roman" w:eastAsia="仿宋" w:cs="Times New Roman"/>
          <w:b/>
          <w:bCs/>
          <w:sz w:val="32"/>
          <w:szCs w:val="32"/>
        </w:rPr>
        <w:t>四、</w:t>
      </w:r>
      <w:r>
        <w:rPr>
          <w:rFonts w:hint="eastAsia" w:ascii="Times New Roman" w:hAnsi="Times New Roman" w:eastAsia="仿宋" w:cs="Times New Roman"/>
          <w:b/>
          <w:bCs/>
          <w:sz w:val="32"/>
          <w:szCs w:val="32"/>
          <w:lang w:val="en-US" w:eastAsia="zh-CN"/>
        </w:rPr>
        <w:t>提高</w:t>
      </w:r>
      <w:r>
        <w:rPr>
          <w:rFonts w:hint="default" w:ascii="Times New Roman" w:hAnsi="Times New Roman" w:eastAsia="仿宋" w:cs="Times New Roman"/>
          <w:b/>
          <w:bCs/>
          <w:sz w:val="32"/>
          <w:szCs w:val="32"/>
        </w:rPr>
        <w:t>后期管护</w:t>
      </w:r>
      <w:r>
        <w:rPr>
          <w:rFonts w:hint="eastAsia" w:ascii="Times New Roman" w:hAnsi="Times New Roman" w:eastAsia="仿宋" w:cs="Times New Roman"/>
          <w:b/>
          <w:bCs/>
          <w:sz w:val="32"/>
          <w:szCs w:val="32"/>
          <w:lang w:val="en-US" w:eastAsia="zh-CN"/>
        </w:rPr>
        <w:t>质量</w:t>
      </w:r>
      <w:r>
        <w:rPr>
          <w:rFonts w:hint="default" w:ascii="Times New Roman" w:hAnsi="Times New Roman" w:eastAsia="仿宋" w:cs="Times New Roman"/>
          <w:b/>
          <w:bCs/>
          <w:sz w:val="32"/>
          <w:szCs w:val="32"/>
        </w:rPr>
        <w:t>，发挥可持续效益</w:t>
      </w:r>
      <w:bookmarkEnd w:id="229"/>
      <w:bookmarkEnd w:id="230"/>
      <w:bookmarkEnd w:id="231"/>
      <w:bookmarkEnd w:id="232"/>
    </w:p>
    <w:p>
      <w:pPr>
        <w:pStyle w:val="2"/>
        <w:ind w:firstLine="560" w:firstLineChars="200"/>
        <w:rPr>
          <w:rFonts w:hint="default" w:ascii="Times New Roman" w:hAnsi="Times New Roman" w:eastAsia="仿宋" w:cs="Times New Roman"/>
          <w:sz w:val="28"/>
          <w:szCs w:val="24"/>
        </w:rPr>
      </w:pPr>
      <w:r>
        <w:rPr>
          <w:rFonts w:hint="default" w:ascii="Times New Roman" w:hAnsi="Times New Roman" w:eastAsia="仿宋" w:cs="Times New Roman"/>
          <w:sz w:val="28"/>
          <w:szCs w:val="24"/>
        </w:rPr>
        <w:t>项目后期管护是体育基础设施建设最后的关键环节，是工程设施持续发挥作用的重要保障，后续管护质量的高低直接决定了项目整个项目实施效果持续周期。首先，明确管护主体，灵活利用承包、租赁、业主责任制等市场手段，形成以群众管护为主，乡镇政府定期督查的局面。其次，保障管护经费，考虑将项目结余资金、运动场地收入等作为后期管护的开支渠道；最后，可以探索绩效评价结合管护激励的模式，调动管护积极性，加强对基础设施和器材的</w:t>
      </w:r>
      <w:r>
        <w:rPr>
          <w:rFonts w:hint="eastAsia" w:ascii="Times New Roman" w:hAnsi="Times New Roman" w:eastAsia="仿宋" w:cs="Times New Roman"/>
          <w:sz w:val="28"/>
          <w:szCs w:val="24"/>
          <w:lang w:val="en-US" w:eastAsia="zh-CN"/>
        </w:rPr>
        <w:t>检查维修力度</w:t>
      </w:r>
      <w:r>
        <w:rPr>
          <w:rFonts w:hint="default" w:ascii="Times New Roman" w:hAnsi="Times New Roman" w:eastAsia="仿宋" w:cs="Times New Roman"/>
          <w:sz w:val="28"/>
          <w:szCs w:val="24"/>
        </w:rPr>
        <w:t>，持续发挥体育基础设施的社会效益和可持续效益。</w:t>
      </w:r>
    </w:p>
    <w:p>
      <w:pPr>
        <w:rPr>
          <w:rFonts w:hint="default" w:ascii="Times New Roman" w:hAnsi="Times New Roman" w:eastAsia="仿宋" w:cs="Times New Roman"/>
        </w:rPr>
      </w:pPr>
      <w:r>
        <w:rPr>
          <w:rFonts w:hint="default" w:ascii="Times New Roman" w:hAnsi="Times New Roman" w:eastAsia="仿宋" w:cs="Times New Roman"/>
        </w:rPr>
        <w:br w:type="page"/>
      </w:r>
    </w:p>
    <w:p>
      <w:pPr>
        <w:spacing w:line="240" w:lineRule="auto"/>
        <w:ind w:firstLine="560"/>
        <w:outlineLvl w:val="0"/>
        <w:rPr>
          <w:rFonts w:hint="default" w:ascii="Times New Roman" w:hAnsi="Times New Roman" w:eastAsia="仿宋" w:cs="Times New Roman"/>
          <w:b/>
          <w:bCs/>
          <w:szCs w:val="36"/>
        </w:rPr>
      </w:pPr>
      <w:bookmarkStart w:id="233" w:name="_Toc3006"/>
      <w:bookmarkStart w:id="234" w:name="_Toc26162"/>
      <w:bookmarkStart w:id="235" w:name="_Toc70354055"/>
      <w:bookmarkStart w:id="236" w:name="_Toc24642"/>
      <w:bookmarkStart w:id="237" w:name="_Toc119967348"/>
      <w:bookmarkStart w:id="238" w:name="_Toc117458371"/>
      <w:bookmarkStart w:id="239" w:name="_Toc25928"/>
      <w:bookmarkStart w:id="240" w:name="_Toc1362"/>
      <w:bookmarkStart w:id="241" w:name="_Hlk125147651"/>
      <w:r>
        <w:rPr>
          <w:rFonts w:hint="default" w:ascii="Times New Roman" w:hAnsi="Times New Roman" w:eastAsia="仿宋" w:cs="Times New Roman"/>
          <w:b/>
          <w:bCs/>
          <w:szCs w:val="36"/>
        </w:rPr>
        <w:t>附件：</w:t>
      </w:r>
      <w:bookmarkEnd w:id="233"/>
      <w:bookmarkEnd w:id="234"/>
      <w:bookmarkEnd w:id="235"/>
      <w:bookmarkEnd w:id="236"/>
      <w:bookmarkEnd w:id="237"/>
      <w:bookmarkEnd w:id="238"/>
      <w:bookmarkEnd w:id="239"/>
      <w:bookmarkEnd w:id="240"/>
    </w:p>
    <w:p>
      <w:pPr>
        <w:spacing w:before="156" w:beforeLines="50" w:after="156" w:afterLines="50" w:line="240" w:lineRule="auto"/>
        <w:rPr>
          <w:rFonts w:hint="default" w:ascii="Times New Roman" w:hAnsi="Times New Roman" w:eastAsia="仿宋" w:cs="Times New Roman"/>
          <w:b/>
          <w:sz w:val="32"/>
          <w:szCs w:val="32"/>
        </w:rPr>
      </w:pPr>
      <w:r>
        <w:rPr>
          <w:rFonts w:hint="default" w:ascii="Times New Roman" w:hAnsi="Times New Roman" w:eastAsia="仿宋" w:cs="Times New Roman"/>
          <w:b/>
          <w:sz w:val="32"/>
          <w:szCs w:val="32"/>
        </w:rPr>
        <w:t>惠安县2021-2022年建设体育基础设施专项资金绩效评价表</w:t>
      </w:r>
    </w:p>
    <w:bookmarkEnd w:id="241"/>
    <w:tbl>
      <w:tblPr>
        <w:tblStyle w:val="11"/>
        <w:tblW w:w="8851" w:type="dxa"/>
        <w:tblInd w:w="0" w:type="dxa"/>
        <w:tblLayout w:type="fixed"/>
        <w:tblCellMar>
          <w:top w:w="0" w:type="dxa"/>
          <w:left w:w="108" w:type="dxa"/>
          <w:bottom w:w="0" w:type="dxa"/>
          <w:right w:w="108" w:type="dxa"/>
        </w:tblCellMar>
      </w:tblPr>
      <w:tblGrid>
        <w:gridCol w:w="609"/>
        <w:gridCol w:w="912"/>
        <w:gridCol w:w="1613"/>
        <w:gridCol w:w="4232"/>
        <w:gridCol w:w="709"/>
        <w:gridCol w:w="776"/>
      </w:tblGrid>
      <w:tr>
        <w:tblPrEx>
          <w:tblCellMar>
            <w:top w:w="0" w:type="dxa"/>
            <w:left w:w="108" w:type="dxa"/>
            <w:bottom w:w="0" w:type="dxa"/>
            <w:right w:w="108" w:type="dxa"/>
          </w:tblCellMar>
        </w:tblPrEx>
        <w:trPr>
          <w:trHeight w:val="289" w:hRule="atLeast"/>
          <w:tblHeader/>
        </w:trPr>
        <w:tc>
          <w:tcPr>
            <w:tcW w:w="609" w:type="dxa"/>
            <w:tcBorders>
              <w:top w:val="single" w:color="auto" w:sz="4" w:space="0"/>
              <w:left w:val="single" w:color="auto" w:sz="4" w:space="0"/>
              <w:bottom w:val="single" w:color="auto" w:sz="4" w:space="0"/>
              <w:right w:val="single" w:color="auto" w:sz="4" w:space="0"/>
            </w:tcBorders>
            <w:shd w:val="clear" w:color="auto" w:fill="D0CECE" w:themeFill="background2" w:themeFillShade="E6"/>
            <w:vAlign w:val="center"/>
          </w:tcPr>
          <w:p>
            <w:pPr>
              <w:widowControl/>
              <w:spacing w:line="240" w:lineRule="auto"/>
              <w:jc w:val="center"/>
              <w:rPr>
                <w:rFonts w:hint="default" w:ascii="Times New Roman" w:hAnsi="Times New Roman" w:eastAsia="仿宋" w:cs="Times New Roman"/>
                <w:b/>
                <w:bCs/>
                <w:color w:val="000000"/>
                <w:kern w:val="0"/>
                <w:sz w:val="18"/>
                <w:szCs w:val="18"/>
              </w:rPr>
            </w:pPr>
            <w:r>
              <w:rPr>
                <w:rFonts w:hint="default" w:ascii="Times New Roman" w:hAnsi="Times New Roman" w:eastAsia="仿宋" w:cs="Times New Roman"/>
                <w:b/>
                <w:bCs/>
                <w:color w:val="000000"/>
                <w:kern w:val="0"/>
                <w:sz w:val="18"/>
                <w:szCs w:val="18"/>
              </w:rPr>
              <w:t>一级指标</w:t>
            </w:r>
          </w:p>
        </w:tc>
        <w:tc>
          <w:tcPr>
            <w:tcW w:w="912" w:type="dxa"/>
            <w:tcBorders>
              <w:top w:val="single" w:color="auto" w:sz="4" w:space="0"/>
              <w:left w:val="nil"/>
              <w:bottom w:val="single" w:color="auto" w:sz="4" w:space="0"/>
              <w:right w:val="single" w:color="auto" w:sz="4" w:space="0"/>
            </w:tcBorders>
            <w:shd w:val="clear" w:color="auto" w:fill="D0CECE" w:themeFill="background2" w:themeFillShade="E6"/>
            <w:vAlign w:val="center"/>
          </w:tcPr>
          <w:p>
            <w:pPr>
              <w:widowControl/>
              <w:spacing w:line="240" w:lineRule="auto"/>
              <w:jc w:val="center"/>
              <w:rPr>
                <w:rFonts w:hint="default" w:ascii="Times New Roman" w:hAnsi="Times New Roman" w:eastAsia="仿宋" w:cs="Times New Roman"/>
                <w:b/>
                <w:bCs/>
                <w:color w:val="000000"/>
                <w:kern w:val="0"/>
                <w:sz w:val="18"/>
                <w:szCs w:val="18"/>
              </w:rPr>
            </w:pPr>
            <w:r>
              <w:rPr>
                <w:rFonts w:hint="default" w:ascii="Times New Roman" w:hAnsi="Times New Roman" w:eastAsia="仿宋" w:cs="Times New Roman"/>
                <w:b/>
                <w:bCs/>
                <w:color w:val="000000"/>
                <w:kern w:val="0"/>
                <w:sz w:val="18"/>
                <w:szCs w:val="18"/>
              </w:rPr>
              <w:t>二级指标</w:t>
            </w:r>
          </w:p>
        </w:tc>
        <w:tc>
          <w:tcPr>
            <w:tcW w:w="1613" w:type="dxa"/>
            <w:tcBorders>
              <w:top w:val="single" w:color="auto" w:sz="4" w:space="0"/>
              <w:left w:val="nil"/>
              <w:bottom w:val="single" w:color="auto" w:sz="4" w:space="0"/>
              <w:right w:val="single" w:color="auto" w:sz="4" w:space="0"/>
            </w:tcBorders>
            <w:shd w:val="clear" w:color="auto" w:fill="D0CECE" w:themeFill="background2" w:themeFillShade="E6"/>
            <w:vAlign w:val="center"/>
          </w:tcPr>
          <w:p>
            <w:pPr>
              <w:widowControl/>
              <w:spacing w:line="240" w:lineRule="auto"/>
              <w:jc w:val="center"/>
              <w:rPr>
                <w:rFonts w:hint="default" w:ascii="Times New Roman" w:hAnsi="Times New Roman" w:eastAsia="仿宋" w:cs="Times New Roman"/>
                <w:b/>
                <w:bCs/>
                <w:color w:val="000000"/>
                <w:kern w:val="0"/>
                <w:sz w:val="18"/>
                <w:szCs w:val="18"/>
              </w:rPr>
            </w:pPr>
            <w:r>
              <w:rPr>
                <w:rFonts w:hint="default" w:ascii="Times New Roman" w:hAnsi="Times New Roman" w:eastAsia="仿宋" w:cs="Times New Roman"/>
                <w:b/>
                <w:bCs/>
                <w:color w:val="000000"/>
                <w:kern w:val="0"/>
                <w:sz w:val="18"/>
                <w:szCs w:val="18"/>
              </w:rPr>
              <w:t>三级指标</w:t>
            </w:r>
          </w:p>
        </w:tc>
        <w:tc>
          <w:tcPr>
            <w:tcW w:w="4232" w:type="dxa"/>
            <w:tcBorders>
              <w:top w:val="single" w:color="auto" w:sz="4" w:space="0"/>
              <w:left w:val="nil"/>
              <w:bottom w:val="single" w:color="auto" w:sz="4" w:space="0"/>
              <w:right w:val="single" w:color="auto" w:sz="4" w:space="0"/>
            </w:tcBorders>
            <w:shd w:val="clear" w:color="auto" w:fill="D0CECE" w:themeFill="background2" w:themeFillShade="E6"/>
            <w:vAlign w:val="center"/>
          </w:tcPr>
          <w:p>
            <w:pPr>
              <w:widowControl/>
              <w:spacing w:line="240" w:lineRule="auto"/>
              <w:jc w:val="center"/>
              <w:rPr>
                <w:rFonts w:hint="default" w:ascii="Times New Roman" w:hAnsi="Times New Roman" w:eastAsia="仿宋" w:cs="Times New Roman"/>
                <w:b/>
                <w:bCs/>
                <w:color w:val="000000"/>
                <w:kern w:val="0"/>
                <w:sz w:val="18"/>
                <w:szCs w:val="18"/>
              </w:rPr>
            </w:pPr>
            <w:r>
              <w:rPr>
                <w:rFonts w:hint="default" w:ascii="Times New Roman" w:hAnsi="Times New Roman" w:eastAsia="仿宋" w:cs="Times New Roman"/>
                <w:b/>
                <w:bCs/>
                <w:color w:val="000000"/>
                <w:kern w:val="0"/>
                <w:sz w:val="18"/>
                <w:szCs w:val="18"/>
              </w:rPr>
              <w:t>评分规则</w:t>
            </w:r>
          </w:p>
        </w:tc>
        <w:tc>
          <w:tcPr>
            <w:tcW w:w="709" w:type="dxa"/>
            <w:tcBorders>
              <w:top w:val="single" w:color="auto" w:sz="4" w:space="0"/>
              <w:left w:val="nil"/>
              <w:bottom w:val="single" w:color="auto" w:sz="4" w:space="0"/>
              <w:right w:val="single" w:color="auto" w:sz="4" w:space="0"/>
            </w:tcBorders>
            <w:shd w:val="clear" w:color="auto" w:fill="D0CECE" w:themeFill="background2" w:themeFillShade="E6"/>
            <w:vAlign w:val="center"/>
          </w:tcPr>
          <w:p>
            <w:pPr>
              <w:widowControl/>
              <w:spacing w:line="240" w:lineRule="auto"/>
              <w:jc w:val="center"/>
              <w:rPr>
                <w:rFonts w:hint="default" w:ascii="Times New Roman" w:hAnsi="Times New Roman" w:eastAsia="仿宋" w:cs="Times New Roman"/>
                <w:b/>
                <w:bCs/>
                <w:color w:val="000000"/>
                <w:kern w:val="0"/>
                <w:sz w:val="18"/>
                <w:szCs w:val="18"/>
              </w:rPr>
            </w:pPr>
            <w:r>
              <w:rPr>
                <w:rFonts w:hint="default" w:ascii="Times New Roman" w:hAnsi="Times New Roman" w:eastAsia="仿宋" w:cs="Times New Roman"/>
                <w:b/>
                <w:bCs/>
                <w:color w:val="000000"/>
                <w:kern w:val="0"/>
                <w:sz w:val="18"/>
                <w:szCs w:val="18"/>
              </w:rPr>
              <w:t>评分</w:t>
            </w:r>
          </w:p>
        </w:tc>
        <w:tc>
          <w:tcPr>
            <w:tcW w:w="776" w:type="dxa"/>
            <w:tcBorders>
              <w:top w:val="single" w:color="auto" w:sz="4" w:space="0"/>
              <w:left w:val="nil"/>
              <w:bottom w:val="single" w:color="auto" w:sz="4" w:space="0"/>
              <w:right w:val="single" w:color="auto" w:sz="4" w:space="0"/>
            </w:tcBorders>
            <w:shd w:val="clear" w:color="auto" w:fill="D0CECE" w:themeFill="background2" w:themeFillShade="E6"/>
            <w:vAlign w:val="center"/>
          </w:tcPr>
          <w:p>
            <w:pPr>
              <w:widowControl/>
              <w:spacing w:line="240" w:lineRule="auto"/>
              <w:jc w:val="center"/>
              <w:rPr>
                <w:rFonts w:hint="default" w:ascii="Times New Roman" w:hAnsi="Times New Roman" w:eastAsia="仿宋" w:cs="Times New Roman"/>
                <w:b/>
                <w:bCs/>
                <w:color w:val="000000"/>
                <w:kern w:val="0"/>
                <w:sz w:val="18"/>
                <w:szCs w:val="18"/>
              </w:rPr>
            </w:pPr>
            <w:r>
              <w:rPr>
                <w:rFonts w:hint="default" w:ascii="Times New Roman" w:hAnsi="Times New Roman" w:eastAsia="仿宋" w:cs="Times New Roman"/>
                <w:b/>
                <w:bCs/>
                <w:color w:val="000000"/>
                <w:kern w:val="0"/>
                <w:sz w:val="18"/>
                <w:szCs w:val="18"/>
              </w:rPr>
              <w:t>扣分原因</w:t>
            </w:r>
          </w:p>
        </w:tc>
      </w:tr>
      <w:tr>
        <w:tblPrEx>
          <w:tblCellMar>
            <w:top w:w="0" w:type="dxa"/>
            <w:left w:w="108" w:type="dxa"/>
            <w:bottom w:w="0" w:type="dxa"/>
            <w:right w:w="108" w:type="dxa"/>
          </w:tblCellMar>
        </w:tblPrEx>
        <w:trPr>
          <w:trHeight w:val="289" w:hRule="atLeast"/>
        </w:trPr>
        <w:tc>
          <w:tcPr>
            <w:tcW w:w="6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hint="eastAsia" w:ascii="Times New Roman" w:hAnsi="Times New Roman" w:eastAsia="仿宋" w:cs="Times New Roman"/>
                <w:b/>
                <w:bCs/>
                <w:color w:val="000000"/>
                <w:kern w:val="0"/>
                <w:sz w:val="18"/>
                <w:szCs w:val="18"/>
                <w:lang w:eastAsia="zh-CN"/>
              </w:rPr>
            </w:pPr>
            <w:r>
              <w:rPr>
                <w:rFonts w:hint="default" w:ascii="Times New Roman" w:hAnsi="Times New Roman" w:eastAsia="仿宋" w:cs="Times New Roman"/>
                <w:b/>
                <w:bCs/>
                <w:color w:val="000000"/>
                <w:kern w:val="0"/>
                <w:sz w:val="18"/>
                <w:szCs w:val="18"/>
              </w:rPr>
              <w:t>决策指标（20分</w:t>
            </w:r>
            <w:r>
              <w:rPr>
                <w:rFonts w:hint="eastAsia" w:ascii="Times New Roman" w:hAnsi="Times New Roman" w:eastAsia="仿宋" w:cs="Times New Roman"/>
                <w:b/>
                <w:bCs/>
                <w:color w:val="000000"/>
                <w:kern w:val="0"/>
                <w:sz w:val="18"/>
                <w:szCs w:val="18"/>
                <w:lang w:eastAsia="zh-CN"/>
              </w:rPr>
              <w:t>）</w:t>
            </w:r>
          </w:p>
        </w:tc>
        <w:tc>
          <w:tcPr>
            <w:tcW w:w="912"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hint="eastAsia" w:ascii="Times New Roman" w:hAnsi="Times New Roman" w:eastAsia="仿宋" w:cs="Times New Roman"/>
                <w:color w:val="000000"/>
                <w:kern w:val="0"/>
                <w:sz w:val="18"/>
                <w:szCs w:val="18"/>
                <w:lang w:eastAsia="zh-CN"/>
              </w:rPr>
            </w:pPr>
            <w:r>
              <w:rPr>
                <w:rFonts w:hint="default" w:ascii="Times New Roman" w:hAnsi="Times New Roman" w:eastAsia="仿宋" w:cs="Times New Roman"/>
                <w:color w:val="000000"/>
                <w:kern w:val="0"/>
                <w:sz w:val="18"/>
                <w:szCs w:val="18"/>
              </w:rPr>
              <w:t>项目立项（8分</w:t>
            </w:r>
            <w:r>
              <w:rPr>
                <w:rFonts w:hint="eastAsia" w:ascii="Times New Roman" w:hAnsi="Times New Roman" w:eastAsia="仿宋" w:cs="Times New Roman"/>
                <w:color w:val="000000"/>
                <w:kern w:val="0"/>
                <w:sz w:val="18"/>
                <w:szCs w:val="18"/>
                <w:lang w:eastAsia="zh-CN"/>
              </w:rPr>
              <w:t>）</w:t>
            </w:r>
          </w:p>
        </w:tc>
        <w:tc>
          <w:tcPr>
            <w:tcW w:w="1613"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hint="eastAsia" w:ascii="Times New Roman" w:hAnsi="Times New Roman" w:eastAsia="仿宋" w:cs="Times New Roman"/>
                <w:color w:val="000000"/>
                <w:kern w:val="0"/>
                <w:sz w:val="18"/>
                <w:szCs w:val="18"/>
                <w:lang w:eastAsia="zh-CN"/>
              </w:rPr>
            </w:pPr>
            <w:r>
              <w:rPr>
                <w:rFonts w:hint="default" w:ascii="Times New Roman" w:hAnsi="Times New Roman" w:eastAsia="仿宋" w:cs="Times New Roman"/>
                <w:color w:val="000000"/>
                <w:kern w:val="0"/>
                <w:sz w:val="18"/>
                <w:szCs w:val="18"/>
              </w:rPr>
              <w:t>立项依据充分性（4分</w:t>
            </w:r>
            <w:r>
              <w:rPr>
                <w:rFonts w:hint="eastAsia" w:ascii="Times New Roman" w:hAnsi="Times New Roman" w:eastAsia="仿宋" w:cs="Times New Roman"/>
                <w:color w:val="000000"/>
                <w:kern w:val="0"/>
                <w:sz w:val="18"/>
                <w:szCs w:val="18"/>
                <w:lang w:eastAsia="zh-CN"/>
              </w:rPr>
              <w:t>）</w:t>
            </w:r>
          </w:p>
        </w:tc>
        <w:tc>
          <w:tcPr>
            <w:tcW w:w="423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int="default" w:ascii="Times New Roman" w:hAnsi="Times New Roman" w:eastAsia="仿宋" w:cs="Times New Roman"/>
                <w:kern w:val="0"/>
                <w:sz w:val="18"/>
                <w:szCs w:val="18"/>
              </w:rPr>
            </w:pPr>
            <w:r>
              <w:rPr>
                <w:rFonts w:hint="default" w:ascii="Times New Roman" w:hAnsi="Times New Roman" w:eastAsia="仿宋" w:cs="Times New Roman"/>
                <w:kern w:val="0"/>
                <w:sz w:val="18"/>
                <w:szCs w:val="18"/>
              </w:rPr>
              <w:t>1.项目立项是否符合法律、法规、规章或者省委省政府规范性文件情况；2.项目立项是否与部门职责范围相符，属于部门履职所需；3.项目是否属于公共财政支持范围，是否符合中央、地方事权支出责任划分原则；4.项目是否与相关部门同类项目或部门内部相关项目重复。一项不符合扣1分。</w:t>
            </w:r>
          </w:p>
        </w:tc>
        <w:tc>
          <w:tcPr>
            <w:tcW w:w="709"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hint="default" w:ascii="Times New Roman" w:hAnsi="Times New Roman" w:eastAsia="仿宋" w:cs="Times New Roman"/>
                <w:color w:val="000000"/>
                <w:kern w:val="0"/>
                <w:sz w:val="18"/>
                <w:szCs w:val="18"/>
              </w:rPr>
            </w:pPr>
            <w:r>
              <w:rPr>
                <w:rFonts w:hint="default" w:ascii="Times New Roman" w:hAnsi="Times New Roman" w:eastAsia="仿宋" w:cs="Times New Roman"/>
                <w:color w:val="000000"/>
                <w:kern w:val="0"/>
                <w:sz w:val="18"/>
                <w:szCs w:val="18"/>
              </w:rPr>
              <w:t>4.00</w:t>
            </w:r>
          </w:p>
        </w:tc>
        <w:tc>
          <w:tcPr>
            <w:tcW w:w="776" w:type="dxa"/>
            <w:tcBorders>
              <w:top w:val="nil"/>
              <w:left w:val="nil"/>
              <w:bottom w:val="single" w:color="auto" w:sz="4" w:space="0"/>
              <w:right w:val="single" w:color="auto" w:sz="4" w:space="0"/>
            </w:tcBorders>
            <w:shd w:val="clear" w:color="auto" w:fill="auto"/>
            <w:noWrap/>
            <w:vAlign w:val="center"/>
          </w:tcPr>
          <w:p>
            <w:pPr>
              <w:widowControl/>
              <w:spacing w:line="240" w:lineRule="auto"/>
              <w:jc w:val="left"/>
              <w:rPr>
                <w:rFonts w:hint="default" w:ascii="Times New Roman" w:hAnsi="Times New Roman" w:eastAsia="仿宋" w:cs="Times New Roman"/>
                <w:color w:val="000000"/>
                <w:kern w:val="0"/>
                <w:sz w:val="18"/>
                <w:szCs w:val="18"/>
              </w:rPr>
            </w:pPr>
            <w:r>
              <w:rPr>
                <w:rFonts w:hint="default" w:ascii="Times New Roman" w:hAnsi="Times New Roman" w:eastAsia="仿宋" w:cs="Times New Roman"/>
                <w:color w:val="000000"/>
                <w:kern w:val="0"/>
                <w:sz w:val="18"/>
                <w:szCs w:val="18"/>
              </w:rPr>
              <w:t>　</w:t>
            </w:r>
          </w:p>
        </w:tc>
      </w:tr>
      <w:tr>
        <w:tblPrEx>
          <w:tblCellMar>
            <w:top w:w="0" w:type="dxa"/>
            <w:left w:w="108" w:type="dxa"/>
            <w:bottom w:w="0" w:type="dxa"/>
            <w:right w:w="108" w:type="dxa"/>
          </w:tblCellMar>
        </w:tblPrEx>
        <w:trPr>
          <w:trHeight w:val="289" w:hRule="atLeast"/>
        </w:trPr>
        <w:tc>
          <w:tcPr>
            <w:tcW w:w="609" w:type="dxa"/>
            <w:vMerge w:val="continue"/>
            <w:tcBorders>
              <w:top w:val="nil"/>
              <w:left w:val="single" w:color="auto" w:sz="4" w:space="0"/>
              <w:bottom w:val="single" w:color="auto" w:sz="4" w:space="0"/>
              <w:right w:val="single" w:color="auto" w:sz="4" w:space="0"/>
            </w:tcBorders>
            <w:vAlign w:val="center"/>
          </w:tcPr>
          <w:p>
            <w:pPr>
              <w:widowControl/>
              <w:spacing w:line="240" w:lineRule="auto"/>
              <w:jc w:val="left"/>
              <w:rPr>
                <w:rFonts w:hint="default" w:ascii="Times New Roman" w:hAnsi="Times New Roman" w:eastAsia="仿宋" w:cs="Times New Roman"/>
                <w:b/>
                <w:bCs/>
                <w:color w:val="000000"/>
                <w:kern w:val="0"/>
                <w:sz w:val="18"/>
                <w:szCs w:val="18"/>
              </w:rPr>
            </w:pPr>
          </w:p>
        </w:tc>
        <w:tc>
          <w:tcPr>
            <w:tcW w:w="912" w:type="dxa"/>
            <w:vMerge w:val="continue"/>
            <w:tcBorders>
              <w:top w:val="nil"/>
              <w:left w:val="single" w:color="auto" w:sz="4" w:space="0"/>
              <w:bottom w:val="single" w:color="auto" w:sz="4" w:space="0"/>
              <w:right w:val="single" w:color="auto" w:sz="4" w:space="0"/>
            </w:tcBorders>
            <w:vAlign w:val="center"/>
          </w:tcPr>
          <w:p>
            <w:pPr>
              <w:widowControl/>
              <w:spacing w:line="240" w:lineRule="auto"/>
              <w:jc w:val="left"/>
              <w:rPr>
                <w:rFonts w:hint="default" w:ascii="Times New Roman" w:hAnsi="Times New Roman" w:eastAsia="仿宋" w:cs="Times New Roman"/>
                <w:color w:val="000000"/>
                <w:kern w:val="0"/>
                <w:sz w:val="18"/>
                <w:szCs w:val="18"/>
              </w:rPr>
            </w:pPr>
          </w:p>
        </w:tc>
        <w:tc>
          <w:tcPr>
            <w:tcW w:w="1613"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hint="eastAsia" w:ascii="Times New Roman" w:hAnsi="Times New Roman" w:eastAsia="仿宋" w:cs="Times New Roman"/>
                <w:color w:val="000000"/>
                <w:kern w:val="0"/>
                <w:sz w:val="18"/>
                <w:szCs w:val="18"/>
                <w:lang w:eastAsia="zh-CN"/>
              </w:rPr>
            </w:pPr>
            <w:r>
              <w:rPr>
                <w:rFonts w:hint="default" w:ascii="Times New Roman" w:hAnsi="Times New Roman" w:eastAsia="仿宋" w:cs="Times New Roman"/>
                <w:color w:val="000000"/>
                <w:kern w:val="0"/>
                <w:sz w:val="18"/>
                <w:szCs w:val="18"/>
              </w:rPr>
              <w:t>立项程序规范性（4分</w:t>
            </w:r>
            <w:r>
              <w:rPr>
                <w:rFonts w:hint="eastAsia" w:ascii="Times New Roman" w:hAnsi="Times New Roman" w:eastAsia="仿宋" w:cs="Times New Roman"/>
                <w:color w:val="000000"/>
                <w:kern w:val="0"/>
                <w:sz w:val="18"/>
                <w:szCs w:val="18"/>
                <w:lang w:eastAsia="zh-CN"/>
              </w:rPr>
              <w:t>）</w:t>
            </w:r>
          </w:p>
        </w:tc>
        <w:tc>
          <w:tcPr>
            <w:tcW w:w="423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int="default" w:ascii="Times New Roman" w:hAnsi="Times New Roman" w:eastAsia="仿宋" w:cs="Times New Roman"/>
                <w:kern w:val="0"/>
                <w:sz w:val="18"/>
                <w:szCs w:val="18"/>
              </w:rPr>
            </w:pPr>
            <w:r>
              <w:rPr>
                <w:rFonts w:hint="default" w:ascii="Times New Roman" w:hAnsi="Times New Roman" w:eastAsia="仿宋" w:cs="Times New Roman"/>
                <w:kern w:val="0"/>
                <w:sz w:val="18"/>
                <w:szCs w:val="18"/>
              </w:rPr>
              <w:t>1.项目是否按照规定的程序申请设立；2.审批文件、材料是否符合相关要求。一项不符合扣2分。</w:t>
            </w:r>
          </w:p>
        </w:tc>
        <w:tc>
          <w:tcPr>
            <w:tcW w:w="709"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hint="default" w:ascii="Times New Roman" w:hAnsi="Times New Roman" w:eastAsia="仿宋" w:cs="Times New Roman"/>
                <w:color w:val="000000"/>
                <w:kern w:val="0"/>
                <w:sz w:val="18"/>
                <w:szCs w:val="18"/>
              </w:rPr>
            </w:pPr>
            <w:r>
              <w:rPr>
                <w:rFonts w:hint="default" w:ascii="Times New Roman" w:hAnsi="Times New Roman" w:eastAsia="仿宋" w:cs="Times New Roman"/>
                <w:color w:val="000000"/>
                <w:kern w:val="0"/>
                <w:sz w:val="18"/>
                <w:szCs w:val="18"/>
              </w:rPr>
              <w:t>4.00</w:t>
            </w:r>
          </w:p>
        </w:tc>
        <w:tc>
          <w:tcPr>
            <w:tcW w:w="776" w:type="dxa"/>
            <w:tcBorders>
              <w:top w:val="nil"/>
              <w:left w:val="nil"/>
              <w:bottom w:val="single" w:color="auto" w:sz="4" w:space="0"/>
              <w:right w:val="single" w:color="auto" w:sz="4" w:space="0"/>
            </w:tcBorders>
            <w:shd w:val="clear" w:color="auto" w:fill="auto"/>
            <w:noWrap/>
            <w:vAlign w:val="center"/>
          </w:tcPr>
          <w:p>
            <w:pPr>
              <w:widowControl/>
              <w:spacing w:line="240" w:lineRule="auto"/>
              <w:jc w:val="left"/>
              <w:rPr>
                <w:rFonts w:hint="default" w:ascii="Times New Roman" w:hAnsi="Times New Roman" w:eastAsia="仿宋" w:cs="Times New Roman"/>
                <w:color w:val="000000"/>
                <w:kern w:val="0"/>
                <w:sz w:val="18"/>
                <w:szCs w:val="18"/>
              </w:rPr>
            </w:pPr>
            <w:r>
              <w:rPr>
                <w:rFonts w:hint="default" w:ascii="Times New Roman" w:hAnsi="Times New Roman" w:eastAsia="仿宋" w:cs="Times New Roman"/>
                <w:color w:val="000000"/>
                <w:kern w:val="0"/>
                <w:sz w:val="18"/>
                <w:szCs w:val="18"/>
              </w:rPr>
              <w:t>　</w:t>
            </w:r>
          </w:p>
        </w:tc>
      </w:tr>
      <w:tr>
        <w:tblPrEx>
          <w:tblCellMar>
            <w:top w:w="0" w:type="dxa"/>
            <w:left w:w="108" w:type="dxa"/>
            <w:bottom w:w="0" w:type="dxa"/>
            <w:right w:w="108" w:type="dxa"/>
          </w:tblCellMar>
        </w:tblPrEx>
        <w:trPr>
          <w:trHeight w:val="289" w:hRule="atLeast"/>
        </w:trPr>
        <w:tc>
          <w:tcPr>
            <w:tcW w:w="609" w:type="dxa"/>
            <w:vMerge w:val="continue"/>
            <w:tcBorders>
              <w:top w:val="nil"/>
              <w:left w:val="single" w:color="auto" w:sz="4" w:space="0"/>
              <w:bottom w:val="single" w:color="auto" w:sz="4" w:space="0"/>
              <w:right w:val="single" w:color="auto" w:sz="4" w:space="0"/>
            </w:tcBorders>
            <w:vAlign w:val="center"/>
          </w:tcPr>
          <w:p>
            <w:pPr>
              <w:widowControl/>
              <w:spacing w:line="240" w:lineRule="auto"/>
              <w:jc w:val="left"/>
              <w:rPr>
                <w:rFonts w:hint="default" w:ascii="Times New Roman" w:hAnsi="Times New Roman" w:eastAsia="仿宋" w:cs="Times New Roman"/>
                <w:b/>
                <w:bCs/>
                <w:color w:val="000000"/>
                <w:kern w:val="0"/>
                <w:sz w:val="18"/>
                <w:szCs w:val="18"/>
              </w:rPr>
            </w:pPr>
          </w:p>
        </w:tc>
        <w:tc>
          <w:tcPr>
            <w:tcW w:w="912"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hint="eastAsia" w:ascii="Times New Roman" w:hAnsi="Times New Roman" w:eastAsia="仿宋" w:cs="Times New Roman"/>
                <w:color w:val="000000"/>
                <w:kern w:val="0"/>
                <w:sz w:val="18"/>
                <w:szCs w:val="18"/>
                <w:lang w:eastAsia="zh-CN"/>
              </w:rPr>
            </w:pPr>
            <w:r>
              <w:rPr>
                <w:rFonts w:hint="default" w:ascii="Times New Roman" w:hAnsi="Times New Roman" w:eastAsia="仿宋" w:cs="Times New Roman"/>
                <w:color w:val="000000"/>
                <w:kern w:val="0"/>
                <w:sz w:val="18"/>
                <w:szCs w:val="18"/>
              </w:rPr>
              <w:t>绩效目标（8分</w:t>
            </w:r>
            <w:r>
              <w:rPr>
                <w:rFonts w:hint="eastAsia" w:ascii="Times New Roman" w:hAnsi="Times New Roman" w:eastAsia="仿宋" w:cs="Times New Roman"/>
                <w:color w:val="000000"/>
                <w:kern w:val="0"/>
                <w:sz w:val="18"/>
                <w:szCs w:val="18"/>
                <w:lang w:eastAsia="zh-CN"/>
              </w:rPr>
              <w:t>）</w:t>
            </w:r>
          </w:p>
        </w:tc>
        <w:tc>
          <w:tcPr>
            <w:tcW w:w="1613"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hint="eastAsia" w:ascii="Times New Roman" w:hAnsi="Times New Roman" w:eastAsia="仿宋" w:cs="Times New Roman"/>
                <w:color w:val="000000"/>
                <w:kern w:val="0"/>
                <w:sz w:val="18"/>
                <w:szCs w:val="18"/>
                <w:lang w:eastAsia="zh-CN"/>
              </w:rPr>
            </w:pPr>
            <w:r>
              <w:rPr>
                <w:rFonts w:hint="default" w:ascii="Times New Roman" w:hAnsi="Times New Roman" w:eastAsia="仿宋" w:cs="Times New Roman"/>
                <w:color w:val="000000"/>
                <w:kern w:val="0"/>
                <w:sz w:val="18"/>
                <w:szCs w:val="18"/>
              </w:rPr>
              <w:t>绩效目标合理性（4分</w:t>
            </w:r>
            <w:r>
              <w:rPr>
                <w:rFonts w:hint="eastAsia" w:ascii="Times New Roman" w:hAnsi="Times New Roman" w:eastAsia="仿宋" w:cs="Times New Roman"/>
                <w:color w:val="000000"/>
                <w:kern w:val="0"/>
                <w:sz w:val="18"/>
                <w:szCs w:val="18"/>
                <w:lang w:eastAsia="zh-CN"/>
              </w:rPr>
              <w:t>）</w:t>
            </w:r>
          </w:p>
        </w:tc>
        <w:tc>
          <w:tcPr>
            <w:tcW w:w="423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int="default" w:ascii="Times New Roman" w:hAnsi="Times New Roman" w:eastAsia="仿宋" w:cs="Times New Roman"/>
                <w:kern w:val="0"/>
                <w:sz w:val="18"/>
                <w:szCs w:val="18"/>
              </w:rPr>
            </w:pPr>
            <w:r>
              <w:rPr>
                <w:rFonts w:hint="default" w:ascii="Times New Roman" w:hAnsi="Times New Roman" w:eastAsia="仿宋" w:cs="Times New Roman"/>
                <w:kern w:val="0"/>
                <w:sz w:val="18"/>
                <w:szCs w:val="18"/>
              </w:rPr>
              <w:t>1.目标设置应细化、量化、可考核；2.目标内容与预算申请匹配性；3.目标内容与预算申请相关性；4.目标实现可能性。一项不符合扣1分。</w:t>
            </w:r>
          </w:p>
        </w:tc>
        <w:tc>
          <w:tcPr>
            <w:tcW w:w="709"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hint="default" w:ascii="Times New Roman" w:hAnsi="Times New Roman" w:eastAsia="仿宋" w:cs="Times New Roman"/>
                <w:color w:val="000000"/>
                <w:kern w:val="0"/>
                <w:sz w:val="18"/>
                <w:szCs w:val="18"/>
              </w:rPr>
            </w:pPr>
            <w:r>
              <w:rPr>
                <w:rFonts w:hint="eastAsia" w:ascii="Times New Roman" w:hAnsi="Times New Roman" w:eastAsia="仿宋" w:cs="Times New Roman"/>
                <w:color w:val="000000"/>
                <w:kern w:val="0"/>
                <w:sz w:val="18"/>
                <w:szCs w:val="18"/>
                <w:lang w:val="en-US" w:eastAsia="zh-CN"/>
              </w:rPr>
              <w:t>2</w:t>
            </w:r>
            <w:r>
              <w:rPr>
                <w:rFonts w:hint="default" w:ascii="Times New Roman" w:hAnsi="Times New Roman" w:eastAsia="仿宋" w:cs="Times New Roman"/>
                <w:color w:val="000000"/>
                <w:kern w:val="0"/>
                <w:sz w:val="18"/>
                <w:szCs w:val="18"/>
              </w:rPr>
              <w:t>.00</w:t>
            </w:r>
          </w:p>
        </w:tc>
        <w:tc>
          <w:tcPr>
            <w:tcW w:w="776" w:type="dxa"/>
            <w:tcBorders>
              <w:top w:val="nil"/>
              <w:left w:val="nil"/>
              <w:bottom w:val="single" w:color="auto" w:sz="4" w:space="0"/>
              <w:right w:val="single" w:color="auto" w:sz="4" w:space="0"/>
            </w:tcBorders>
            <w:shd w:val="clear" w:color="auto" w:fill="auto"/>
            <w:noWrap/>
            <w:vAlign w:val="center"/>
          </w:tcPr>
          <w:p>
            <w:pPr>
              <w:widowControl/>
              <w:spacing w:line="240" w:lineRule="auto"/>
              <w:jc w:val="left"/>
              <w:rPr>
                <w:rFonts w:hint="default" w:ascii="Times New Roman" w:hAnsi="Times New Roman" w:eastAsia="仿宋" w:cs="Times New Roman"/>
                <w:color w:val="000000"/>
                <w:kern w:val="0"/>
                <w:sz w:val="18"/>
                <w:szCs w:val="18"/>
              </w:rPr>
            </w:pPr>
            <w:r>
              <w:rPr>
                <w:rFonts w:hint="default" w:ascii="Times New Roman" w:hAnsi="Times New Roman" w:eastAsia="仿宋" w:cs="Times New Roman"/>
                <w:color w:val="000000"/>
                <w:kern w:val="0"/>
                <w:sz w:val="18"/>
                <w:szCs w:val="18"/>
              </w:rPr>
              <w:t>项目单位未能提供预算申请材料</w:t>
            </w:r>
          </w:p>
        </w:tc>
      </w:tr>
      <w:tr>
        <w:tblPrEx>
          <w:tblCellMar>
            <w:top w:w="0" w:type="dxa"/>
            <w:left w:w="108" w:type="dxa"/>
            <w:bottom w:w="0" w:type="dxa"/>
            <w:right w:w="108" w:type="dxa"/>
          </w:tblCellMar>
        </w:tblPrEx>
        <w:trPr>
          <w:trHeight w:val="289" w:hRule="atLeast"/>
        </w:trPr>
        <w:tc>
          <w:tcPr>
            <w:tcW w:w="609" w:type="dxa"/>
            <w:vMerge w:val="continue"/>
            <w:tcBorders>
              <w:top w:val="nil"/>
              <w:left w:val="single" w:color="auto" w:sz="4" w:space="0"/>
              <w:bottom w:val="single" w:color="auto" w:sz="4" w:space="0"/>
              <w:right w:val="single" w:color="auto" w:sz="4" w:space="0"/>
            </w:tcBorders>
            <w:vAlign w:val="center"/>
          </w:tcPr>
          <w:p>
            <w:pPr>
              <w:widowControl/>
              <w:spacing w:line="240" w:lineRule="auto"/>
              <w:jc w:val="left"/>
              <w:rPr>
                <w:rFonts w:hint="default" w:ascii="Times New Roman" w:hAnsi="Times New Roman" w:eastAsia="仿宋" w:cs="Times New Roman"/>
                <w:b/>
                <w:bCs/>
                <w:color w:val="000000"/>
                <w:kern w:val="0"/>
                <w:sz w:val="18"/>
                <w:szCs w:val="18"/>
              </w:rPr>
            </w:pPr>
          </w:p>
        </w:tc>
        <w:tc>
          <w:tcPr>
            <w:tcW w:w="912" w:type="dxa"/>
            <w:vMerge w:val="continue"/>
            <w:tcBorders>
              <w:top w:val="nil"/>
              <w:left w:val="single" w:color="auto" w:sz="4" w:space="0"/>
              <w:bottom w:val="single" w:color="auto" w:sz="4" w:space="0"/>
              <w:right w:val="single" w:color="auto" w:sz="4" w:space="0"/>
            </w:tcBorders>
            <w:vAlign w:val="center"/>
          </w:tcPr>
          <w:p>
            <w:pPr>
              <w:widowControl/>
              <w:spacing w:line="240" w:lineRule="auto"/>
              <w:jc w:val="left"/>
              <w:rPr>
                <w:rFonts w:hint="default" w:ascii="Times New Roman" w:hAnsi="Times New Roman" w:eastAsia="仿宋" w:cs="Times New Roman"/>
                <w:color w:val="000000"/>
                <w:kern w:val="0"/>
                <w:sz w:val="18"/>
                <w:szCs w:val="18"/>
              </w:rPr>
            </w:pPr>
          </w:p>
        </w:tc>
        <w:tc>
          <w:tcPr>
            <w:tcW w:w="1613"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hint="eastAsia" w:ascii="Times New Roman" w:hAnsi="Times New Roman" w:eastAsia="仿宋" w:cs="Times New Roman"/>
                <w:color w:val="000000"/>
                <w:kern w:val="0"/>
                <w:sz w:val="18"/>
                <w:szCs w:val="18"/>
                <w:lang w:eastAsia="zh-CN"/>
              </w:rPr>
            </w:pPr>
            <w:r>
              <w:rPr>
                <w:rFonts w:hint="default" w:ascii="Times New Roman" w:hAnsi="Times New Roman" w:eastAsia="仿宋" w:cs="Times New Roman"/>
                <w:color w:val="000000"/>
                <w:kern w:val="0"/>
                <w:sz w:val="18"/>
                <w:szCs w:val="18"/>
              </w:rPr>
              <w:t>绩效指标明确性（4分</w:t>
            </w:r>
            <w:r>
              <w:rPr>
                <w:rFonts w:hint="eastAsia" w:ascii="Times New Roman" w:hAnsi="Times New Roman" w:eastAsia="仿宋" w:cs="Times New Roman"/>
                <w:color w:val="000000"/>
                <w:kern w:val="0"/>
                <w:sz w:val="18"/>
                <w:szCs w:val="18"/>
                <w:lang w:eastAsia="zh-CN"/>
              </w:rPr>
              <w:t>）</w:t>
            </w:r>
          </w:p>
        </w:tc>
        <w:tc>
          <w:tcPr>
            <w:tcW w:w="423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int="default" w:ascii="Times New Roman" w:hAnsi="Times New Roman" w:eastAsia="仿宋" w:cs="Times New Roman"/>
                <w:kern w:val="0"/>
                <w:sz w:val="18"/>
                <w:szCs w:val="18"/>
              </w:rPr>
            </w:pPr>
            <w:r>
              <w:rPr>
                <w:rFonts w:hint="default" w:ascii="Times New Roman" w:hAnsi="Times New Roman" w:eastAsia="仿宋" w:cs="Times New Roman"/>
                <w:kern w:val="0"/>
                <w:sz w:val="18"/>
                <w:szCs w:val="18"/>
              </w:rPr>
              <w:t>1.将项目绩效目标细化分解为具体的绩效指标；2.通过清晰、可衡量的指标值予以体现，与项目目标任务数或计划数相对应。一项不符合扣</w:t>
            </w:r>
            <w:r>
              <w:rPr>
                <w:rFonts w:hint="eastAsia" w:ascii="Times New Roman" w:hAnsi="Times New Roman" w:eastAsia="仿宋" w:cs="Times New Roman"/>
                <w:kern w:val="0"/>
                <w:sz w:val="18"/>
                <w:szCs w:val="18"/>
                <w:lang w:val="en-US" w:eastAsia="zh-CN"/>
              </w:rPr>
              <w:t>2</w:t>
            </w:r>
            <w:r>
              <w:rPr>
                <w:rFonts w:hint="default" w:ascii="Times New Roman" w:hAnsi="Times New Roman" w:eastAsia="仿宋" w:cs="Times New Roman"/>
                <w:kern w:val="0"/>
                <w:sz w:val="18"/>
                <w:szCs w:val="18"/>
              </w:rPr>
              <w:t>分。</w:t>
            </w:r>
          </w:p>
        </w:tc>
        <w:tc>
          <w:tcPr>
            <w:tcW w:w="709"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hint="default" w:ascii="Times New Roman" w:hAnsi="Times New Roman" w:eastAsia="仿宋" w:cs="Times New Roman"/>
                <w:color w:val="000000"/>
                <w:kern w:val="0"/>
                <w:sz w:val="18"/>
                <w:szCs w:val="18"/>
              </w:rPr>
            </w:pPr>
            <w:r>
              <w:rPr>
                <w:rFonts w:hint="default" w:ascii="Times New Roman" w:hAnsi="Times New Roman" w:eastAsia="仿宋" w:cs="Times New Roman"/>
                <w:color w:val="000000"/>
                <w:kern w:val="0"/>
                <w:sz w:val="18"/>
                <w:szCs w:val="18"/>
              </w:rPr>
              <w:t>0.00</w:t>
            </w:r>
          </w:p>
        </w:tc>
        <w:tc>
          <w:tcPr>
            <w:tcW w:w="776" w:type="dxa"/>
            <w:tcBorders>
              <w:top w:val="nil"/>
              <w:left w:val="nil"/>
              <w:bottom w:val="single" w:color="auto" w:sz="4" w:space="0"/>
              <w:right w:val="single" w:color="auto" w:sz="4" w:space="0"/>
            </w:tcBorders>
            <w:shd w:val="clear" w:color="auto" w:fill="auto"/>
            <w:noWrap/>
            <w:vAlign w:val="center"/>
          </w:tcPr>
          <w:p>
            <w:pPr>
              <w:widowControl/>
              <w:spacing w:line="240" w:lineRule="auto"/>
              <w:jc w:val="left"/>
              <w:rPr>
                <w:rFonts w:hint="default" w:ascii="Times New Roman" w:hAnsi="Times New Roman" w:eastAsia="仿宋" w:cs="Times New Roman"/>
                <w:color w:val="000000"/>
                <w:kern w:val="0"/>
                <w:sz w:val="18"/>
                <w:szCs w:val="18"/>
              </w:rPr>
            </w:pPr>
            <w:r>
              <w:rPr>
                <w:rFonts w:hint="default" w:ascii="Times New Roman" w:hAnsi="Times New Roman" w:eastAsia="仿宋" w:cs="Times New Roman"/>
                <w:color w:val="000000"/>
                <w:kern w:val="0"/>
                <w:sz w:val="18"/>
                <w:szCs w:val="18"/>
              </w:rPr>
              <w:t>绩效指标细化不足</w:t>
            </w:r>
          </w:p>
        </w:tc>
      </w:tr>
      <w:tr>
        <w:tblPrEx>
          <w:tblCellMar>
            <w:top w:w="0" w:type="dxa"/>
            <w:left w:w="108" w:type="dxa"/>
            <w:bottom w:w="0" w:type="dxa"/>
            <w:right w:w="108" w:type="dxa"/>
          </w:tblCellMar>
        </w:tblPrEx>
        <w:trPr>
          <w:trHeight w:val="289" w:hRule="atLeast"/>
        </w:trPr>
        <w:tc>
          <w:tcPr>
            <w:tcW w:w="609" w:type="dxa"/>
            <w:vMerge w:val="continue"/>
            <w:tcBorders>
              <w:top w:val="nil"/>
              <w:left w:val="single" w:color="auto" w:sz="4" w:space="0"/>
              <w:bottom w:val="single" w:color="auto" w:sz="4" w:space="0"/>
              <w:right w:val="single" w:color="auto" w:sz="4" w:space="0"/>
            </w:tcBorders>
            <w:vAlign w:val="center"/>
          </w:tcPr>
          <w:p>
            <w:pPr>
              <w:widowControl/>
              <w:spacing w:line="240" w:lineRule="auto"/>
              <w:jc w:val="left"/>
              <w:rPr>
                <w:rFonts w:hint="default" w:ascii="Times New Roman" w:hAnsi="Times New Roman" w:eastAsia="仿宋" w:cs="Times New Roman"/>
                <w:b/>
                <w:bCs/>
                <w:color w:val="000000"/>
                <w:kern w:val="0"/>
                <w:sz w:val="18"/>
                <w:szCs w:val="18"/>
              </w:rPr>
            </w:pPr>
          </w:p>
        </w:tc>
        <w:tc>
          <w:tcPr>
            <w:tcW w:w="912"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hint="eastAsia" w:ascii="Times New Roman" w:hAnsi="Times New Roman" w:eastAsia="仿宋" w:cs="Times New Roman"/>
                <w:color w:val="000000"/>
                <w:kern w:val="0"/>
                <w:sz w:val="18"/>
                <w:szCs w:val="18"/>
                <w:lang w:eastAsia="zh-CN"/>
              </w:rPr>
            </w:pPr>
            <w:r>
              <w:rPr>
                <w:rFonts w:hint="default" w:ascii="Times New Roman" w:hAnsi="Times New Roman" w:eastAsia="仿宋" w:cs="Times New Roman"/>
                <w:color w:val="000000"/>
                <w:kern w:val="0"/>
                <w:sz w:val="18"/>
                <w:szCs w:val="18"/>
              </w:rPr>
              <w:t>资金投入（4分</w:t>
            </w:r>
            <w:r>
              <w:rPr>
                <w:rFonts w:hint="eastAsia" w:ascii="Times New Roman" w:hAnsi="Times New Roman" w:eastAsia="仿宋" w:cs="Times New Roman"/>
                <w:color w:val="000000"/>
                <w:kern w:val="0"/>
                <w:sz w:val="18"/>
                <w:szCs w:val="18"/>
                <w:lang w:eastAsia="zh-CN"/>
              </w:rPr>
              <w:t>）</w:t>
            </w:r>
          </w:p>
        </w:tc>
        <w:tc>
          <w:tcPr>
            <w:tcW w:w="1613"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hint="eastAsia" w:ascii="Times New Roman" w:hAnsi="Times New Roman" w:eastAsia="仿宋" w:cs="Times New Roman"/>
                <w:color w:val="000000"/>
                <w:kern w:val="0"/>
                <w:sz w:val="18"/>
                <w:szCs w:val="18"/>
                <w:lang w:eastAsia="zh-CN"/>
              </w:rPr>
            </w:pPr>
            <w:r>
              <w:rPr>
                <w:rFonts w:hint="default" w:ascii="Times New Roman" w:hAnsi="Times New Roman" w:eastAsia="仿宋" w:cs="Times New Roman"/>
                <w:color w:val="000000"/>
                <w:kern w:val="0"/>
                <w:sz w:val="18"/>
                <w:szCs w:val="18"/>
              </w:rPr>
              <w:t>预算编制科学性（4分</w:t>
            </w:r>
            <w:r>
              <w:rPr>
                <w:rFonts w:hint="eastAsia" w:ascii="Times New Roman" w:hAnsi="Times New Roman" w:eastAsia="仿宋" w:cs="Times New Roman"/>
                <w:color w:val="000000"/>
                <w:kern w:val="0"/>
                <w:sz w:val="18"/>
                <w:szCs w:val="18"/>
                <w:lang w:eastAsia="zh-CN"/>
              </w:rPr>
              <w:t>）</w:t>
            </w:r>
          </w:p>
        </w:tc>
        <w:tc>
          <w:tcPr>
            <w:tcW w:w="423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int="default" w:ascii="Times New Roman" w:hAnsi="Times New Roman" w:eastAsia="仿宋" w:cs="Times New Roman"/>
                <w:kern w:val="0"/>
                <w:sz w:val="18"/>
                <w:szCs w:val="18"/>
              </w:rPr>
            </w:pPr>
            <w:r>
              <w:rPr>
                <w:rFonts w:hint="default" w:ascii="Times New Roman" w:hAnsi="Times New Roman" w:eastAsia="仿宋" w:cs="Times New Roman"/>
                <w:kern w:val="0"/>
                <w:sz w:val="18"/>
                <w:szCs w:val="18"/>
              </w:rPr>
              <w:t>1.预算编制是否经过科学论证；2.预算内容与项目内容是否匹配；3.预算额度测算依据是否充分，是否按照标准编制；4.预算确定的项目投资额或资金量是否与工作任务相匹配。 一项不符合扣1分。</w:t>
            </w:r>
          </w:p>
        </w:tc>
        <w:tc>
          <w:tcPr>
            <w:tcW w:w="709"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hint="default" w:ascii="Times New Roman" w:hAnsi="Times New Roman" w:eastAsia="仿宋" w:cs="Times New Roman"/>
                <w:color w:val="000000"/>
                <w:kern w:val="0"/>
                <w:sz w:val="18"/>
                <w:szCs w:val="18"/>
              </w:rPr>
            </w:pPr>
            <w:r>
              <w:rPr>
                <w:rFonts w:hint="default" w:ascii="Times New Roman" w:hAnsi="Times New Roman" w:eastAsia="仿宋" w:cs="Times New Roman"/>
                <w:color w:val="000000"/>
                <w:kern w:val="0"/>
                <w:sz w:val="18"/>
                <w:szCs w:val="18"/>
              </w:rPr>
              <w:t>4.00</w:t>
            </w:r>
          </w:p>
        </w:tc>
        <w:tc>
          <w:tcPr>
            <w:tcW w:w="776" w:type="dxa"/>
            <w:tcBorders>
              <w:top w:val="nil"/>
              <w:left w:val="nil"/>
              <w:bottom w:val="single" w:color="auto" w:sz="4" w:space="0"/>
              <w:right w:val="single" w:color="auto" w:sz="4" w:space="0"/>
            </w:tcBorders>
            <w:shd w:val="clear" w:color="auto" w:fill="auto"/>
            <w:noWrap/>
            <w:vAlign w:val="center"/>
          </w:tcPr>
          <w:p>
            <w:pPr>
              <w:widowControl/>
              <w:spacing w:line="240" w:lineRule="auto"/>
              <w:jc w:val="left"/>
              <w:rPr>
                <w:rFonts w:hint="default" w:ascii="Times New Roman" w:hAnsi="Times New Roman" w:eastAsia="仿宋" w:cs="Times New Roman"/>
                <w:color w:val="000000"/>
                <w:kern w:val="0"/>
                <w:sz w:val="18"/>
                <w:szCs w:val="18"/>
              </w:rPr>
            </w:pPr>
            <w:r>
              <w:rPr>
                <w:rFonts w:hint="default" w:ascii="Times New Roman" w:hAnsi="Times New Roman" w:eastAsia="仿宋" w:cs="Times New Roman"/>
                <w:color w:val="000000"/>
                <w:kern w:val="0"/>
                <w:sz w:val="18"/>
                <w:szCs w:val="18"/>
              </w:rPr>
              <w:t>　</w:t>
            </w:r>
          </w:p>
        </w:tc>
      </w:tr>
      <w:tr>
        <w:tblPrEx>
          <w:tblCellMar>
            <w:top w:w="0" w:type="dxa"/>
            <w:left w:w="108" w:type="dxa"/>
            <w:bottom w:w="0" w:type="dxa"/>
            <w:right w:w="108" w:type="dxa"/>
          </w:tblCellMar>
        </w:tblPrEx>
        <w:trPr>
          <w:trHeight w:val="1262" w:hRule="atLeast"/>
        </w:trPr>
        <w:tc>
          <w:tcPr>
            <w:tcW w:w="6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hint="eastAsia" w:ascii="Times New Roman" w:hAnsi="Times New Roman" w:eastAsia="仿宋" w:cs="Times New Roman"/>
                <w:b/>
                <w:bCs/>
                <w:color w:val="000000"/>
                <w:kern w:val="0"/>
                <w:sz w:val="18"/>
                <w:szCs w:val="18"/>
                <w:lang w:eastAsia="zh-CN"/>
              </w:rPr>
            </w:pPr>
            <w:r>
              <w:rPr>
                <w:rFonts w:hint="default" w:ascii="Times New Roman" w:hAnsi="Times New Roman" w:eastAsia="仿宋" w:cs="Times New Roman"/>
                <w:b/>
                <w:bCs/>
                <w:color w:val="000000"/>
                <w:kern w:val="0"/>
                <w:sz w:val="18"/>
                <w:szCs w:val="18"/>
              </w:rPr>
              <w:t>过程指标（20分</w:t>
            </w:r>
            <w:r>
              <w:rPr>
                <w:rFonts w:hint="eastAsia" w:ascii="Times New Roman" w:hAnsi="Times New Roman" w:eastAsia="仿宋" w:cs="Times New Roman"/>
                <w:b/>
                <w:bCs/>
                <w:color w:val="000000"/>
                <w:kern w:val="0"/>
                <w:sz w:val="18"/>
                <w:szCs w:val="18"/>
                <w:lang w:eastAsia="zh-CN"/>
              </w:rPr>
              <w:t>）</w:t>
            </w:r>
          </w:p>
        </w:tc>
        <w:tc>
          <w:tcPr>
            <w:tcW w:w="912"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hint="eastAsia" w:ascii="Times New Roman" w:hAnsi="Times New Roman" w:eastAsia="仿宋" w:cs="Times New Roman"/>
                <w:color w:val="000000"/>
                <w:kern w:val="0"/>
                <w:sz w:val="18"/>
                <w:szCs w:val="18"/>
                <w:lang w:eastAsia="zh-CN"/>
              </w:rPr>
            </w:pPr>
            <w:r>
              <w:rPr>
                <w:rFonts w:hint="default" w:ascii="Times New Roman" w:hAnsi="Times New Roman" w:eastAsia="仿宋" w:cs="Times New Roman"/>
                <w:color w:val="000000"/>
                <w:kern w:val="0"/>
                <w:sz w:val="18"/>
                <w:szCs w:val="18"/>
              </w:rPr>
              <w:t>资金管理（10分</w:t>
            </w:r>
            <w:r>
              <w:rPr>
                <w:rFonts w:hint="eastAsia" w:ascii="Times New Roman" w:hAnsi="Times New Roman" w:eastAsia="仿宋" w:cs="Times New Roman"/>
                <w:color w:val="000000"/>
                <w:kern w:val="0"/>
                <w:sz w:val="18"/>
                <w:szCs w:val="18"/>
                <w:lang w:eastAsia="zh-CN"/>
              </w:rPr>
              <w:t>）</w:t>
            </w:r>
          </w:p>
        </w:tc>
        <w:tc>
          <w:tcPr>
            <w:tcW w:w="1613"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hint="eastAsia" w:ascii="Times New Roman" w:hAnsi="Times New Roman" w:eastAsia="仿宋" w:cs="Times New Roman"/>
                <w:color w:val="000000"/>
                <w:kern w:val="0"/>
                <w:sz w:val="18"/>
                <w:szCs w:val="18"/>
                <w:lang w:eastAsia="zh-CN"/>
              </w:rPr>
            </w:pPr>
            <w:r>
              <w:rPr>
                <w:rFonts w:hint="default" w:ascii="Times New Roman" w:hAnsi="Times New Roman" w:eastAsia="仿宋" w:cs="Times New Roman"/>
                <w:color w:val="000000"/>
                <w:kern w:val="0"/>
                <w:sz w:val="18"/>
                <w:szCs w:val="18"/>
              </w:rPr>
              <w:t>预算执行率（5分</w:t>
            </w:r>
            <w:r>
              <w:rPr>
                <w:rFonts w:hint="eastAsia" w:ascii="Times New Roman" w:hAnsi="Times New Roman" w:eastAsia="仿宋" w:cs="Times New Roman"/>
                <w:color w:val="000000"/>
                <w:kern w:val="0"/>
                <w:sz w:val="18"/>
                <w:szCs w:val="18"/>
                <w:lang w:eastAsia="zh-CN"/>
              </w:rPr>
              <w:t>）</w:t>
            </w:r>
          </w:p>
        </w:tc>
        <w:tc>
          <w:tcPr>
            <w:tcW w:w="423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int="default" w:ascii="Times New Roman" w:hAnsi="Times New Roman" w:eastAsia="仿宋" w:cs="Times New Roman"/>
                <w:kern w:val="0"/>
                <w:sz w:val="18"/>
                <w:szCs w:val="18"/>
              </w:rPr>
            </w:pPr>
            <w:r>
              <w:rPr>
                <w:rFonts w:hint="default" w:ascii="Times New Roman" w:hAnsi="Times New Roman" w:eastAsia="仿宋" w:cs="Times New Roman"/>
                <w:kern w:val="0"/>
                <w:sz w:val="18"/>
                <w:szCs w:val="18"/>
              </w:rPr>
              <w:t>（实际支出资金/实际到位资金</w:t>
            </w:r>
            <w:r>
              <w:rPr>
                <w:rFonts w:hint="eastAsia" w:ascii="Times New Roman" w:hAnsi="Times New Roman" w:eastAsia="仿宋" w:cs="Times New Roman"/>
                <w:kern w:val="0"/>
                <w:sz w:val="18"/>
                <w:szCs w:val="18"/>
                <w:lang w:eastAsia="zh-CN"/>
              </w:rPr>
              <w:t>）</w:t>
            </w:r>
            <w:r>
              <w:rPr>
                <w:rFonts w:hint="default" w:ascii="Times New Roman" w:hAnsi="Times New Roman" w:eastAsia="仿宋" w:cs="Times New Roman"/>
                <w:kern w:val="0"/>
                <w:sz w:val="18"/>
                <w:szCs w:val="18"/>
              </w:rPr>
              <w:t>*100%*满分</w:t>
            </w:r>
          </w:p>
        </w:tc>
        <w:tc>
          <w:tcPr>
            <w:tcW w:w="709"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hint="default" w:ascii="Times New Roman" w:hAnsi="Times New Roman" w:eastAsia="仿宋" w:cs="Times New Roman"/>
                <w:color w:val="000000"/>
                <w:kern w:val="0"/>
                <w:sz w:val="18"/>
                <w:szCs w:val="18"/>
              </w:rPr>
            </w:pPr>
            <w:r>
              <w:rPr>
                <w:rFonts w:hint="eastAsia" w:ascii="Times New Roman" w:hAnsi="Times New Roman" w:eastAsia="仿宋" w:cs="Times New Roman"/>
                <w:color w:val="000000"/>
                <w:kern w:val="0"/>
                <w:sz w:val="18"/>
                <w:szCs w:val="18"/>
                <w:lang w:val="en-US" w:eastAsia="zh-CN"/>
              </w:rPr>
              <w:t>4</w:t>
            </w:r>
            <w:r>
              <w:rPr>
                <w:rFonts w:hint="default" w:ascii="Times New Roman" w:hAnsi="Times New Roman" w:eastAsia="仿宋" w:cs="Times New Roman"/>
                <w:color w:val="000000"/>
                <w:kern w:val="0"/>
                <w:sz w:val="18"/>
                <w:szCs w:val="18"/>
              </w:rPr>
              <w:t>.00</w:t>
            </w:r>
          </w:p>
        </w:tc>
        <w:tc>
          <w:tcPr>
            <w:tcW w:w="776" w:type="dxa"/>
            <w:tcBorders>
              <w:top w:val="nil"/>
              <w:left w:val="nil"/>
              <w:bottom w:val="single" w:color="auto" w:sz="4" w:space="0"/>
              <w:right w:val="single" w:color="auto" w:sz="4" w:space="0"/>
            </w:tcBorders>
            <w:shd w:val="clear" w:color="auto" w:fill="auto"/>
            <w:noWrap/>
            <w:vAlign w:val="center"/>
          </w:tcPr>
          <w:p>
            <w:pPr>
              <w:widowControl/>
              <w:spacing w:line="240" w:lineRule="auto"/>
              <w:jc w:val="left"/>
              <w:rPr>
                <w:rFonts w:hint="default" w:ascii="Times New Roman" w:hAnsi="Times New Roman" w:eastAsia="仿宋" w:cs="Times New Roman"/>
                <w:color w:val="000000"/>
                <w:kern w:val="0"/>
                <w:sz w:val="18"/>
                <w:szCs w:val="18"/>
              </w:rPr>
            </w:pPr>
            <w:r>
              <w:rPr>
                <w:rFonts w:hint="default" w:ascii="Times New Roman" w:hAnsi="Times New Roman" w:eastAsia="仿宋" w:cs="Times New Roman"/>
                <w:color w:val="000000"/>
                <w:kern w:val="0"/>
                <w:sz w:val="18"/>
                <w:szCs w:val="18"/>
              </w:rPr>
              <w:t>=(484.7558/606)*5</w:t>
            </w:r>
          </w:p>
        </w:tc>
      </w:tr>
      <w:tr>
        <w:tblPrEx>
          <w:tblCellMar>
            <w:top w:w="0" w:type="dxa"/>
            <w:left w:w="108" w:type="dxa"/>
            <w:bottom w:w="0" w:type="dxa"/>
            <w:right w:w="108" w:type="dxa"/>
          </w:tblCellMar>
        </w:tblPrEx>
        <w:trPr>
          <w:trHeight w:val="289" w:hRule="atLeast"/>
        </w:trPr>
        <w:tc>
          <w:tcPr>
            <w:tcW w:w="609" w:type="dxa"/>
            <w:vMerge w:val="continue"/>
            <w:tcBorders>
              <w:top w:val="nil"/>
              <w:left w:val="single" w:color="auto" w:sz="4" w:space="0"/>
              <w:bottom w:val="single" w:color="auto" w:sz="4" w:space="0"/>
              <w:right w:val="single" w:color="auto" w:sz="4" w:space="0"/>
            </w:tcBorders>
            <w:vAlign w:val="center"/>
          </w:tcPr>
          <w:p>
            <w:pPr>
              <w:widowControl/>
              <w:spacing w:line="240" w:lineRule="auto"/>
              <w:jc w:val="left"/>
              <w:rPr>
                <w:rFonts w:hint="default" w:ascii="Times New Roman" w:hAnsi="Times New Roman" w:eastAsia="仿宋" w:cs="Times New Roman"/>
                <w:b/>
                <w:bCs/>
                <w:color w:val="000000"/>
                <w:kern w:val="0"/>
                <w:sz w:val="18"/>
                <w:szCs w:val="18"/>
              </w:rPr>
            </w:pPr>
          </w:p>
        </w:tc>
        <w:tc>
          <w:tcPr>
            <w:tcW w:w="912" w:type="dxa"/>
            <w:vMerge w:val="continue"/>
            <w:tcBorders>
              <w:top w:val="nil"/>
              <w:left w:val="single" w:color="auto" w:sz="4" w:space="0"/>
              <w:bottom w:val="single" w:color="auto" w:sz="4" w:space="0"/>
              <w:right w:val="single" w:color="auto" w:sz="4" w:space="0"/>
            </w:tcBorders>
            <w:vAlign w:val="center"/>
          </w:tcPr>
          <w:p>
            <w:pPr>
              <w:widowControl/>
              <w:spacing w:line="240" w:lineRule="auto"/>
              <w:jc w:val="left"/>
              <w:rPr>
                <w:rFonts w:hint="default" w:ascii="Times New Roman" w:hAnsi="Times New Roman" w:eastAsia="仿宋" w:cs="Times New Roman"/>
                <w:color w:val="000000"/>
                <w:kern w:val="0"/>
                <w:sz w:val="18"/>
                <w:szCs w:val="18"/>
              </w:rPr>
            </w:pPr>
          </w:p>
        </w:tc>
        <w:tc>
          <w:tcPr>
            <w:tcW w:w="1613"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hint="eastAsia" w:ascii="Times New Roman" w:hAnsi="Times New Roman" w:eastAsia="仿宋" w:cs="Times New Roman"/>
                <w:color w:val="000000"/>
                <w:kern w:val="0"/>
                <w:sz w:val="18"/>
                <w:szCs w:val="18"/>
                <w:lang w:eastAsia="zh-CN"/>
              </w:rPr>
            </w:pPr>
            <w:r>
              <w:rPr>
                <w:rFonts w:hint="default" w:ascii="Times New Roman" w:hAnsi="Times New Roman" w:eastAsia="仿宋" w:cs="Times New Roman"/>
                <w:color w:val="000000"/>
                <w:kern w:val="0"/>
                <w:sz w:val="18"/>
                <w:szCs w:val="18"/>
              </w:rPr>
              <w:t>资金使用合规性（5分</w:t>
            </w:r>
            <w:r>
              <w:rPr>
                <w:rFonts w:hint="eastAsia" w:ascii="Times New Roman" w:hAnsi="Times New Roman" w:eastAsia="仿宋" w:cs="Times New Roman"/>
                <w:color w:val="000000"/>
                <w:kern w:val="0"/>
                <w:sz w:val="18"/>
                <w:szCs w:val="18"/>
                <w:lang w:eastAsia="zh-CN"/>
              </w:rPr>
              <w:t>）</w:t>
            </w:r>
          </w:p>
        </w:tc>
        <w:tc>
          <w:tcPr>
            <w:tcW w:w="423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int="default" w:ascii="Times New Roman" w:hAnsi="Times New Roman" w:eastAsia="仿宋" w:cs="Times New Roman"/>
                <w:kern w:val="0"/>
                <w:sz w:val="18"/>
                <w:szCs w:val="18"/>
              </w:rPr>
            </w:pPr>
            <w:r>
              <w:rPr>
                <w:rFonts w:hint="default" w:ascii="Times New Roman" w:hAnsi="Times New Roman" w:eastAsia="仿宋" w:cs="Times New Roman"/>
                <w:kern w:val="0"/>
                <w:sz w:val="18"/>
                <w:szCs w:val="18"/>
              </w:rPr>
              <w:t>1.是否符合国家财经法规和财务管理制度以及有关专项资金管理办法的规定；2.资金的拨付是否有完整的审批程序和手续；3.符合项目预算批复或合同规定的用途；4.是否存在截留、挤占、挪用、虚列支出、资金沉淀等情况。发现存在一项不符合扣1.25分。</w:t>
            </w:r>
          </w:p>
        </w:tc>
        <w:tc>
          <w:tcPr>
            <w:tcW w:w="709"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hint="default" w:ascii="Times New Roman" w:hAnsi="Times New Roman" w:eastAsia="仿宋" w:cs="Times New Roman"/>
                <w:color w:val="000000"/>
                <w:kern w:val="0"/>
                <w:sz w:val="18"/>
                <w:szCs w:val="18"/>
              </w:rPr>
            </w:pPr>
            <w:r>
              <w:rPr>
                <w:rFonts w:hint="default" w:ascii="Times New Roman" w:hAnsi="Times New Roman" w:eastAsia="仿宋" w:cs="Times New Roman"/>
                <w:color w:val="000000"/>
                <w:kern w:val="0"/>
                <w:sz w:val="18"/>
                <w:szCs w:val="18"/>
              </w:rPr>
              <w:t>3.75</w:t>
            </w:r>
          </w:p>
        </w:tc>
        <w:tc>
          <w:tcPr>
            <w:tcW w:w="776" w:type="dxa"/>
            <w:tcBorders>
              <w:top w:val="nil"/>
              <w:left w:val="nil"/>
              <w:bottom w:val="single" w:color="auto" w:sz="4" w:space="0"/>
              <w:right w:val="single" w:color="auto" w:sz="4" w:space="0"/>
            </w:tcBorders>
            <w:shd w:val="clear" w:color="auto" w:fill="auto"/>
            <w:noWrap/>
            <w:vAlign w:val="center"/>
          </w:tcPr>
          <w:p>
            <w:pPr>
              <w:widowControl/>
              <w:spacing w:line="240" w:lineRule="auto"/>
              <w:jc w:val="left"/>
              <w:rPr>
                <w:rFonts w:hint="default" w:ascii="Times New Roman" w:hAnsi="Times New Roman" w:eastAsia="仿宋" w:cs="Times New Roman"/>
                <w:color w:val="000000"/>
                <w:kern w:val="0"/>
                <w:sz w:val="18"/>
                <w:szCs w:val="18"/>
              </w:rPr>
            </w:pPr>
            <w:r>
              <w:rPr>
                <w:rFonts w:hint="default" w:ascii="Times New Roman" w:hAnsi="Times New Roman" w:eastAsia="仿宋" w:cs="Times New Roman"/>
                <w:color w:val="000000"/>
                <w:kern w:val="0"/>
                <w:sz w:val="18"/>
                <w:szCs w:val="18"/>
              </w:rPr>
              <w:t>缺乏第二项材料</w:t>
            </w:r>
          </w:p>
        </w:tc>
      </w:tr>
      <w:tr>
        <w:tblPrEx>
          <w:tblCellMar>
            <w:top w:w="0" w:type="dxa"/>
            <w:left w:w="108" w:type="dxa"/>
            <w:bottom w:w="0" w:type="dxa"/>
            <w:right w:w="108" w:type="dxa"/>
          </w:tblCellMar>
        </w:tblPrEx>
        <w:trPr>
          <w:trHeight w:val="289" w:hRule="atLeast"/>
        </w:trPr>
        <w:tc>
          <w:tcPr>
            <w:tcW w:w="609" w:type="dxa"/>
            <w:vMerge w:val="continue"/>
            <w:tcBorders>
              <w:top w:val="nil"/>
              <w:left w:val="single" w:color="auto" w:sz="4" w:space="0"/>
              <w:bottom w:val="single" w:color="auto" w:sz="4" w:space="0"/>
              <w:right w:val="single" w:color="auto" w:sz="4" w:space="0"/>
            </w:tcBorders>
            <w:vAlign w:val="center"/>
          </w:tcPr>
          <w:p>
            <w:pPr>
              <w:widowControl/>
              <w:spacing w:line="240" w:lineRule="auto"/>
              <w:jc w:val="left"/>
              <w:rPr>
                <w:rFonts w:hint="default" w:ascii="Times New Roman" w:hAnsi="Times New Roman" w:eastAsia="仿宋" w:cs="Times New Roman"/>
                <w:b/>
                <w:bCs/>
                <w:color w:val="000000"/>
                <w:kern w:val="0"/>
                <w:sz w:val="18"/>
                <w:szCs w:val="18"/>
              </w:rPr>
            </w:pPr>
          </w:p>
        </w:tc>
        <w:tc>
          <w:tcPr>
            <w:tcW w:w="912"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hint="eastAsia" w:ascii="Times New Roman" w:hAnsi="Times New Roman" w:eastAsia="仿宋" w:cs="Times New Roman"/>
                <w:color w:val="000000"/>
                <w:kern w:val="0"/>
                <w:sz w:val="18"/>
                <w:szCs w:val="18"/>
                <w:lang w:eastAsia="zh-CN"/>
              </w:rPr>
            </w:pPr>
            <w:r>
              <w:rPr>
                <w:rFonts w:hint="default" w:ascii="Times New Roman" w:hAnsi="Times New Roman" w:eastAsia="仿宋" w:cs="Times New Roman"/>
                <w:color w:val="000000"/>
                <w:kern w:val="0"/>
                <w:sz w:val="18"/>
                <w:szCs w:val="18"/>
              </w:rPr>
              <w:t>组织实施（10分</w:t>
            </w:r>
            <w:r>
              <w:rPr>
                <w:rFonts w:hint="eastAsia" w:ascii="Times New Roman" w:hAnsi="Times New Roman" w:eastAsia="仿宋" w:cs="Times New Roman"/>
                <w:color w:val="000000"/>
                <w:kern w:val="0"/>
                <w:sz w:val="18"/>
                <w:szCs w:val="18"/>
                <w:lang w:eastAsia="zh-CN"/>
              </w:rPr>
              <w:t>）</w:t>
            </w:r>
          </w:p>
        </w:tc>
        <w:tc>
          <w:tcPr>
            <w:tcW w:w="1613"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hint="eastAsia" w:ascii="Times New Roman" w:hAnsi="Times New Roman" w:eastAsia="仿宋" w:cs="Times New Roman"/>
                <w:color w:val="000000"/>
                <w:kern w:val="0"/>
                <w:sz w:val="18"/>
                <w:szCs w:val="18"/>
                <w:lang w:eastAsia="zh-CN"/>
              </w:rPr>
            </w:pPr>
            <w:r>
              <w:rPr>
                <w:rFonts w:hint="default" w:ascii="Times New Roman" w:hAnsi="Times New Roman" w:eastAsia="仿宋" w:cs="Times New Roman"/>
                <w:color w:val="000000"/>
                <w:kern w:val="0"/>
                <w:sz w:val="18"/>
                <w:szCs w:val="18"/>
              </w:rPr>
              <w:t>管理制度健全性（5分</w:t>
            </w:r>
            <w:r>
              <w:rPr>
                <w:rFonts w:hint="eastAsia" w:ascii="Times New Roman" w:hAnsi="Times New Roman" w:eastAsia="仿宋" w:cs="Times New Roman"/>
                <w:color w:val="000000"/>
                <w:kern w:val="0"/>
                <w:sz w:val="18"/>
                <w:szCs w:val="18"/>
                <w:lang w:eastAsia="zh-CN"/>
              </w:rPr>
              <w:t>）</w:t>
            </w:r>
          </w:p>
        </w:tc>
        <w:tc>
          <w:tcPr>
            <w:tcW w:w="423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int="default" w:ascii="Times New Roman" w:hAnsi="Times New Roman" w:eastAsia="仿宋" w:cs="Times New Roman"/>
                <w:kern w:val="0"/>
                <w:sz w:val="18"/>
                <w:szCs w:val="18"/>
              </w:rPr>
            </w:pPr>
            <w:r>
              <w:rPr>
                <w:rFonts w:hint="default" w:ascii="Times New Roman" w:hAnsi="Times New Roman" w:eastAsia="仿宋" w:cs="Times New Roman"/>
                <w:kern w:val="0"/>
                <w:sz w:val="18"/>
                <w:szCs w:val="18"/>
              </w:rPr>
              <w:t>1.是否已制定或具有相应的管理办法、财务和业务管理制度；2.管理办法、财务和业务管理制度是否合法、合规、完善。一项不符合扣2.5分。</w:t>
            </w:r>
          </w:p>
        </w:tc>
        <w:tc>
          <w:tcPr>
            <w:tcW w:w="709"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hint="default" w:ascii="Times New Roman" w:hAnsi="Times New Roman" w:eastAsia="仿宋" w:cs="Times New Roman"/>
                <w:color w:val="000000"/>
                <w:kern w:val="0"/>
                <w:sz w:val="18"/>
                <w:szCs w:val="18"/>
              </w:rPr>
            </w:pPr>
            <w:r>
              <w:rPr>
                <w:rFonts w:hint="default" w:ascii="Times New Roman" w:hAnsi="Times New Roman" w:eastAsia="仿宋" w:cs="Times New Roman"/>
                <w:color w:val="000000"/>
                <w:kern w:val="0"/>
                <w:sz w:val="18"/>
                <w:szCs w:val="18"/>
              </w:rPr>
              <w:t>5.00</w:t>
            </w:r>
          </w:p>
        </w:tc>
        <w:tc>
          <w:tcPr>
            <w:tcW w:w="776"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hint="default" w:ascii="Times New Roman" w:hAnsi="Times New Roman" w:eastAsia="仿宋" w:cs="Times New Roman"/>
                <w:color w:val="000000"/>
                <w:kern w:val="0"/>
                <w:sz w:val="18"/>
                <w:szCs w:val="18"/>
              </w:rPr>
            </w:pPr>
          </w:p>
        </w:tc>
      </w:tr>
      <w:tr>
        <w:tblPrEx>
          <w:tblCellMar>
            <w:top w:w="0" w:type="dxa"/>
            <w:left w:w="108" w:type="dxa"/>
            <w:bottom w:w="0" w:type="dxa"/>
            <w:right w:w="108" w:type="dxa"/>
          </w:tblCellMar>
        </w:tblPrEx>
        <w:trPr>
          <w:trHeight w:val="289" w:hRule="atLeast"/>
        </w:trPr>
        <w:tc>
          <w:tcPr>
            <w:tcW w:w="609" w:type="dxa"/>
            <w:vMerge w:val="continue"/>
            <w:tcBorders>
              <w:top w:val="nil"/>
              <w:left w:val="single" w:color="auto" w:sz="4" w:space="0"/>
              <w:bottom w:val="single" w:color="auto" w:sz="4" w:space="0"/>
              <w:right w:val="single" w:color="auto" w:sz="4" w:space="0"/>
            </w:tcBorders>
            <w:vAlign w:val="center"/>
          </w:tcPr>
          <w:p>
            <w:pPr>
              <w:widowControl/>
              <w:spacing w:line="240" w:lineRule="auto"/>
              <w:jc w:val="left"/>
              <w:rPr>
                <w:rFonts w:hint="default" w:ascii="Times New Roman" w:hAnsi="Times New Roman" w:eastAsia="仿宋" w:cs="Times New Roman"/>
                <w:b/>
                <w:bCs/>
                <w:color w:val="000000"/>
                <w:kern w:val="0"/>
                <w:sz w:val="18"/>
                <w:szCs w:val="18"/>
              </w:rPr>
            </w:pPr>
          </w:p>
        </w:tc>
        <w:tc>
          <w:tcPr>
            <w:tcW w:w="912" w:type="dxa"/>
            <w:vMerge w:val="continue"/>
            <w:tcBorders>
              <w:top w:val="nil"/>
              <w:left w:val="single" w:color="auto" w:sz="4" w:space="0"/>
              <w:bottom w:val="single" w:color="auto" w:sz="4" w:space="0"/>
              <w:right w:val="single" w:color="auto" w:sz="4" w:space="0"/>
            </w:tcBorders>
            <w:vAlign w:val="center"/>
          </w:tcPr>
          <w:p>
            <w:pPr>
              <w:widowControl/>
              <w:spacing w:line="240" w:lineRule="auto"/>
              <w:jc w:val="left"/>
              <w:rPr>
                <w:rFonts w:hint="default" w:ascii="Times New Roman" w:hAnsi="Times New Roman" w:eastAsia="仿宋" w:cs="Times New Roman"/>
                <w:color w:val="000000"/>
                <w:kern w:val="0"/>
                <w:sz w:val="18"/>
                <w:szCs w:val="18"/>
              </w:rPr>
            </w:pPr>
          </w:p>
        </w:tc>
        <w:tc>
          <w:tcPr>
            <w:tcW w:w="1613"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hint="eastAsia" w:ascii="Times New Roman" w:hAnsi="Times New Roman" w:eastAsia="仿宋" w:cs="Times New Roman"/>
                <w:color w:val="000000"/>
                <w:kern w:val="0"/>
                <w:sz w:val="18"/>
                <w:szCs w:val="18"/>
                <w:lang w:eastAsia="zh-CN"/>
              </w:rPr>
            </w:pPr>
            <w:r>
              <w:rPr>
                <w:rFonts w:hint="default" w:ascii="Times New Roman" w:hAnsi="Times New Roman" w:eastAsia="仿宋" w:cs="Times New Roman"/>
                <w:color w:val="000000"/>
                <w:kern w:val="0"/>
                <w:sz w:val="18"/>
                <w:szCs w:val="18"/>
              </w:rPr>
              <w:t>制度执行有效性（5分</w:t>
            </w:r>
            <w:r>
              <w:rPr>
                <w:rFonts w:hint="eastAsia" w:ascii="Times New Roman" w:hAnsi="Times New Roman" w:eastAsia="仿宋" w:cs="Times New Roman"/>
                <w:color w:val="000000"/>
                <w:kern w:val="0"/>
                <w:sz w:val="18"/>
                <w:szCs w:val="18"/>
                <w:lang w:eastAsia="zh-CN"/>
              </w:rPr>
              <w:t>）</w:t>
            </w:r>
          </w:p>
        </w:tc>
        <w:tc>
          <w:tcPr>
            <w:tcW w:w="4232" w:type="dxa"/>
            <w:tcBorders>
              <w:top w:val="nil"/>
              <w:left w:val="nil"/>
              <w:bottom w:val="single" w:color="auto" w:sz="4" w:space="0"/>
              <w:right w:val="single" w:color="auto" w:sz="4" w:space="0"/>
            </w:tcBorders>
            <w:shd w:val="clear" w:color="auto" w:fill="auto"/>
          </w:tcPr>
          <w:p>
            <w:pPr>
              <w:widowControl/>
              <w:spacing w:line="240" w:lineRule="auto"/>
              <w:jc w:val="center"/>
              <w:rPr>
                <w:rFonts w:hint="default" w:ascii="Times New Roman" w:hAnsi="Times New Roman" w:eastAsia="仿宋" w:cs="Times New Roman"/>
                <w:kern w:val="0"/>
                <w:sz w:val="18"/>
                <w:szCs w:val="18"/>
              </w:rPr>
            </w:pPr>
            <w:r>
              <w:rPr>
                <w:rFonts w:hint="default" w:ascii="Times New Roman" w:hAnsi="Times New Roman" w:eastAsia="仿宋" w:cs="Times New Roman"/>
                <w:kern w:val="0"/>
                <w:sz w:val="18"/>
                <w:szCs w:val="18"/>
              </w:rPr>
              <w:t>1.是否遵循相关法律法规和业务管理规定；2.项目调整及支出调整手续是否完备；3.项目合同书、验收报告、技术鉴定等资料是否齐全并及时归档；4.项目实施的人员条件、场地设备、信息支撑等是否落实到位。一项不符合扣1.25分</w:t>
            </w:r>
          </w:p>
        </w:tc>
        <w:tc>
          <w:tcPr>
            <w:tcW w:w="709"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hint="default" w:ascii="Times New Roman" w:hAnsi="Times New Roman" w:eastAsia="仿宋" w:cs="Times New Roman"/>
                <w:color w:val="000000"/>
                <w:kern w:val="0"/>
                <w:sz w:val="18"/>
                <w:szCs w:val="18"/>
              </w:rPr>
            </w:pPr>
            <w:r>
              <w:rPr>
                <w:rFonts w:hint="default" w:ascii="Times New Roman" w:hAnsi="Times New Roman" w:eastAsia="仿宋" w:cs="Times New Roman"/>
                <w:color w:val="000000"/>
                <w:kern w:val="0"/>
                <w:sz w:val="18"/>
                <w:szCs w:val="18"/>
              </w:rPr>
              <w:t>3.75</w:t>
            </w:r>
          </w:p>
        </w:tc>
        <w:tc>
          <w:tcPr>
            <w:tcW w:w="776" w:type="dxa"/>
            <w:tcBorders>
              <w:top w:val="nil"/>
              <w:left w:val="nil"/>
              <w:bottom w:val="single" w:color="auto" w:sz="4" w:space="0"/>
              <w:right w:val="single" w:color="auto" w:sz="4" w:space="0"/>
            </w:tcBorders>
            <w:shd w:val="clear" w:color="auto" w:fill="auto"/>
            <w:noWrap/>
            <w:vAlign w:val="center"/>
          </w:tcPr>
          <w:p>
            <w:pPr>
              <w:widowControl/>
              <w:spacing w:line="240" w:lineRule="auto"/>
              <w:jc w:val="left"/>
              <w:rPr>
                <w:rFonts w:hint="default" w:ascii="Times New Roman" w:hAnsi="Times New Roman" w:eastAsia="仿宋" w:cs="Times New Roman"/>
                <w:color w:val="000000"/>
                <w:kern w:val="0"/>
                <w:sz w:val="18"/>
                <w:szCs w:val="18"/>
              </w:rPr>
            </w:pPr>
            <w:r>
              <w:rPr>
                <w:rFonts w:hint="default" w:ascii="Times New Roman" w:hAnsi="Times New Roman" w:eastAsia="仿宋" w:cs="Times New Roman"/>
                <w:color w:val="000000"/>
                <w:kern w:val="0"/>
                <w:sz w:val="18"/>
                <w:szCs w:val="18"/>
              </w:rPr>
              <w:t>电子档案有待完善</w:t>
            </w:r>
          </w:p>
        </w:tc>
      </w:tr>
      <w:tr>
        <w:tblPrEx>
          <w:tblCellMar>
            <w:top w:w="0" w:type="dxa"/>
            <w:left w:w="108" w:type="dxa"/>
            <w:bottom w:w="0" w:type="dxa"/>
            <w:right w:w="108" w:type="dxa"/>
          </w:tblCellMar>
        </w:tblPrEx>
        <w:trPr>
          <w:trHeight w:val="289" w:hRule="atLeast"/>
        </w:trPr>
        <w:tc>
          <w:tcPr>
            <w:tcW w:w="609"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int="eastAsia" w:ascii="Times New Roman" w:hAnsi="Times New Roman" w:eastAsia="仿宋" w:cs="Times New Roman"/>
                <w:b/>
                <w:bCs/>
                <w:color w:val="000000"/>
                <w:kern w:val="0"/>
                <w:sz w:val="18"/>
                <w:szCs w:val="18"/>
                <w:lang w:eastAsia="zh-CN"/>
              </w:rPr>
            </w:pPr>
            <w:r>
              <w:rPr>
                <w:rFonts w:hint="default" w:ascii="Times New Roman" w:hAnsi="Times New Roman" w:eastAsia="仿宋" w:cs="Times New Roman"/>
                <w:b/>
                <w:bCs/>
                <w:color w:val="000000"/>
                <w:kern w:val="0"/>
                <w:sz w:val="18"/>
                <w:szCs w:val="18"/>
              </w:rPr>
              <w:t>产出指标（40分</w:t>
            </w:r>
            <w:r>
              <w:rPr>
                <w:rFonts w:hint="eastAsia" w:ascii="Times New Roman" w:hAnsi="Times New Roman" w:eastAsia="仿宋" w:cs="Times New Roman"/>
                <w:b/>
                <w:bCs/>
                <w:color w:val="000000"/>
                <w:kern w:val="0"/>
                <w:sz w:val="18"/>
                <w:szCs w:val="18"/>
                <w:lang w:eastAsia="zh-CN"/>
              </w:rPr>
              <w:t>）</w:t>
            </w:r>
          </w:p>
        </w:tc>
        <w:tc>
          <w:tcPr>
            <w:tcW w:w="912" w:type="dxa"/>
            <w:vMerge w:val="restart"/>
            <w:tcBorders>
              <w:top w:val="nil"/>
              <w:left w:val="single" w:color="auto" w:sz="4" w:space="0"/>
              <w:right w:val="single" w:color="auto" w:sz="4" w:space="0"/>
            </w:tcBorders>
            <w:shd w:val="clear" w:color="auto" w:fill="auto"/>
            <w:vAlign w:val="center"/>
          </w:tcPr>
          <w:p>
            <w:pPr>
              <w:widowControl/>
              <w:spacing w:line="240" w:lineRule="auto"/>
              <w:jc w:val="center"/>
              <w:rPr>
                <w:rFonts w:hint="eastAsia" w:ascii="Times New Roman" w:hAnsi="Times New Roman" w:eastAsia="仿宋" w:cs="Times New Roman"/>
                <w:color w:val="000000"/>
                <w:kern w:val="0"/>
                <w:sz w:val="18"/>
                <w:szCs w:val="18"/>
                <w:lang w:eastAsia="zh-CN"/>
              </w:rPr>
            </w:pPr>
            <w:r>
              <w:rPr>
                <w:rFonts w:hint="default" w:ascii="Times New Roman" w:hAnsi="Times New Roman" w:eastAsia="仿宋" w:cs="Times New Roman"/>
                <w:color w:val="000000"/>
                <w:kern w:val="0"/>
                <w:sz w:val="18"/>
                <w:szCs w:val="18"/>
              </w:rPr>
              <w:t>数量指标（16分</w:t>
            </w:r>
            <w:r>
              <w:rPr>
                <w:rFonts w:hint="eastAsia" w:ascii="Times New Roman" w:hAnsi="Times New Roman" w:eastAsia="仿宋" w:cs="Times New Roman"/>
                <w:color w:val="000000"/>
                <w:kern w:val="0"/>
                <w:sz w:val="18"/>
                <w:szCs w:val="18"/>
                <w:lang w:eastAsia="zh-CN"/>
              </w:rPr>
              <w:t>）</w:t>
            </w:r>
          </w:p>
        </w:tc>
        <w:tc>
          <w:tcPr>
            <w:tcW w:w="1613"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hint="eastAsia" w:ascii="Times New Roman" w:hAnsi="Times New Roman" w:eastAsia="仿宋" w:cs="Times New Roman"/>
                <w:color w:val="000000"/>
                <w:kern w:val="0"/>
                <w:sz w:val="18"/>
                <w:szCs w:val="18"/>
                <w:lang w:eastAsia="zh-CN"/>
              </w:rPr>
            </w:pPr>
            <w:r>
              <w:rPr>
                <w:rFonts w:hint="default" w:ascii="Times New Roman" w:hAnsi="Times New Roman" w:eastAsia="仿宋" w:cs="Times New Roman"/>
                <w:color w:val="000000"/>
                <w:kern w:val="0"/>
                <w:sz w:val="18"/>
                <w:szCs w:val="18"/>
              </w:rPr>
              <w:t>健身路径（4分</w:t>
            </w:r>
            <w:r>
              <w:rPr>
                <w:rFonts w:hint="eastAsia" w:ascii="Times New Roman" w:hAnsi="Times New Roman" w:eastAsia="仿宋" w:cs="Times New Roman"/>
                <w:color w:val="000000"/>
                <w:kern w:val="0"/>
                <w:sz w:val="18"/>
                <w:szCs w:val="18"/>
                <w:lang w:eastAsia="zh-CN"/>
              </w:rPr>
              <w:t>）</w:t>
            </w:r>
          </w:p>
        </w:tc>
        <w:tc>
          <w:tcPr>
            <w:tcW w:w="4232"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hint="default" w:ascii="Times New Roman" w:hAnsi="Times New Roman" w:eastAsia="仿宋" w:cs="Times New Roman"/>
                <w:color w:val="000000"/>
                <w:kern w:val="0"/>
                <w:sz w:val="18"/>
                <w:szCs w:val="18"/>
              </w:rPr>
            </w:pPr>
            <w:r>
              <w:rPr>
                <w:rFonts w:hint="default" w:ascii="Times New Roman" w:hAnsi="Times New Roman" w:eastAsia="仿宋" w:cs="Times New Roman"/>
                <w:color w:val="000000"/>
                <w:kern w:val="0"/>
                <w:sz w:val="18"/>
                <w:szCs w:val="18"/>
              </w:rPr>
              <w:t>（实际建设健身路径数/目标值</w:t>
            </w:r>
            <w:r>
              <w:rPr>
                <w:rFonts w:hint="eastAsia" w:ascii="Times New Roman" w:hAnsi="Times New Roman" w:eastAsia="仿宋" w:cs="Times New Roman"/>
                <w:color w:val="000000"/>
                <w:kern w:val="0"/>
                <w:sz w:val="18"/>
                <w:szCs w:val="18"/>
                <w:lang w:eastAsia="zh-CN"/>
              </w:rPr>
              <w:t>）</w:t>
            </w:r>
            <w:r>
              <w:rPr>
                <w:rFonts w:hint="default" w:ascii="Times New Roman" w:hAnsi="Times New Roman" w:eastAsia="仿宋" w:cs="Times New Roman"/>
                <w:color w:val="000000"/>
                <w:kern w:val="0"/>
                <w:sz w:val="18"/>
                <w:szCs w:val="18"/>
              </w:rPr>
              <w:t>*100%*满分</w:t>
            </w:r>
          </w:p>
        </w:tc>
        <w:tc>
          <w:tcPr>
            <w:tcW w:w="709"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int="default" w:ascii="Times New Roman" w:hAnsi="Times New Roman" w:eastAsia="仿宋" w:cs="Times New Roman"/>
                <w:color w:val="000000"/>
                <w:kern w:val="0"/>
                <w:sz w:val="18"/>
                <w:szCs w:val="18"/>
              </w:rPr>
            </w:pPr>
            <w:r>
              <w:rPr>
                <w:rFonts w:hint="default" w:ascii="Times New Roman" w:hAnsi="Times New Roman" w:eastAsia="仿宋" w:cs="Times New Roman"/>
                <w:color w:val="000000"/>
                <w:kern w:val="0"/>
                <w:sz w:val="18"/>
                <w:szCs w:val="18"/>
              </w:rPr>
              <w:t>4.00</w:t>
            </w:r>
          </w:p>
        </w:tc>
        <w:tc>
          <w:tcPr>
            <w:tcW w:w="776" w:type="dxa"/>
            <w:tcBorders>
              <w:top w:val="nil"/>
              <w:left w:val="nil"/>
              <w:bottom w:val="single" w:color="auto" w:sz="4" w:space="0"/>
              <w:right w:val="single" w:color="auto" w:sz="4" w:space="0"/>
            </w:tcBorders>
            <w:shd w:val="clear" w:color="auto" w:fill="auto"/>
            <w:noWrap/>
            <w:vAlign w:val="center"/>
          </w:tcPr>
          <w:p>
            <w:pPr>
              <w:widowControl/>
              <w:spacing w:line="240" w:lineRule="auto"/>
              <w:jc w:val="left"/>
              <w:rPr>
                <w:rFonts w:hint="default" w:ascii="Times New Roman" w:hAnsi="Times New Roman" w:eastAsia="仿宋" w:cs="Times New Roman"/>
                <w:color w:val="000000"/>
                <w:kern w:val="0"/>
                <w:sz w:val="18"/>
                <w:szCs w:val="18"/>
              </w:rPr>
            </w:pPr>
            <w:r>
              <w:rPr>
                <w:rFonts w:hint="default" w:ascii="Times New Roman" w:hAnsi="Times New Roman" w:eastAsia="仿宋" w:cs="Times New Roman"/>
                <w:color w:val="000000"/>
                <w:kern w:val="0"/>
                <w:sz w:val="18"/>
                <w:szCs w:val="18"/>
              </w:rPr>
              <w:t>　</w:t>
            </w:r>
          </w:p>
        </w:tc>
      </w:tr>
      <w:tr>
        <w:tblPrEx>
          <w:tblCellMar>
            <w:top w:w="0" w:type="dxa"/>
            <w:left w:w="108" w:type="dxa"/>
            <w:bottom w:w="0" w:type="dxa"/>
            <w:right w:w="108" w:type="dxa"/>
          </w:tblCellMar>
        </w:tblPrEx>
        <w:trPr>
          <w:trHeight w:val="289" w:hRule="atLeast"/>
        </w:trPr>
        <w:tc>
          <w:tcPr>
            <w:tcW w:w="609" w:type="dxa"/>
            <w:vMerge w:val="continue"/>
            <w:tcBorders>
              <w:top w:val="nil"/>
              <w:left w:val="single" w:color="auto" w:sz="4" w:space="0"/>
              <w:bottom w:val="single" w:color="auto" w:sz="4" w:space="0"/>
              <w:right w:val="single" w:color="auto" w:sz="4" w:space="0"/>
            </w:tcBorders>
            <w:vAlign w:val="center"/>
          </w:tcPr>
          <w:p>
            <w:pPr>
              <w:widowControl/>
              <w:spacing w:line="240" w:lineRule="auto"/>
              <w:jc w:val="left"/>
              <w:rPr>
                <w:rFonts w:hint="default" w:ascii="Times New Roman" w:hAnsi="Times New Roman" w:eastAsia="仿宋" w:cs="Times New Roman"/>
                <w:b/>
                <w:bCs/>
                <w:color w:val="000000"/>
                <w:kern w:val="0"/>
                <w:sz w:val="18"/>
                <w:szCs w:val="18"/>
              </w:rPr>
            </w:pPr>
          </w:p>
        </w:tc>
        <w:tc>
          <w:tcPr>
            <w:tcW w:w="912" w:type="dxa"/>
            <w:vMerge w:val="continue"/>
            <w:tcBorders>
              <w:left w:val="single" w:color="auto" w:sz="4" w:space="0"/>
              <w:right w:val="single" w:color="auto" w:sz="4" w:space="0"/>
            </w:tcBorders>
            <w:vAlign w:val="center"/>
          </w:tcPr>
          <w:p>
            <w:pPr>
              <w:widowControl/>
              <w:spacing w:line="240" w:lineRule="auto"/>
              <w:jc w:val="left"/>
              <w:rPr>
                <w:rFonts w:hint="default" w:ascii="Times New Roman" w:hAnsi="Times New Roman" w:eastAsia="仿宋" w:cs="Times New Roman"/>
                <w:color w:val="000000"/>
                <w:kern w:val="0"/>
                <w:sz w:val="18"/>
                <w:szCs w:val="18"/>
              </w:rPr>
            </w:pPr>
          </w:p>
        </w:tc>
        <w:tc>
          <w:tcPr>
            <w:tcW w:w="1613"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int="eastAsia" w:ascii="Times New Roman" w:hAnsi="Times New Roman" w:eastAsia="仿宋" w:cs="Times New Roman"/>
                <w:color w:val="000000"/>
                <w:kern w:val="0"/>
                <w:sz w:val="18"/>
                <w:szCs w:val="18"/>
                <w:lang w:eastAsia="zh-CN"/>
              </w:rPr>
            </w:pPr>
            <w:r>
              <w:rPr>
                <w:rFonts w:hint="default" w:ascii="Times New Roman" w:hAnsi="Times New Roman" w:eastAsia="仿宋" w:cs="Times New Roman"/>
                <w:color w:val="000000"/>
                <w:kern w:val="0"/>
                <w:sz w:val="18"/>
                <w:szCs w:val="18"/>
              </w:rPr>
              <w:t>足球场（4分</w:t>
            </w:r>
            <w:r>
              <w:rPr>
                <w:rFonts w:hint="eastAsia" w:ascii="Times New Roman" w:hAnsi="Times New Roman" w:eastAsia="仿宋" w:cs="Times New Roman"/>
                <w:color w:val="000000"/>
                <w:kern w:val="0"/>
                <w:sz w:val="18"/>
                <w:szCs w:val="18"/>
                <w:lang w:eastAsia="zh-CN"/>
              </w:rPr>
              <w:t>）</w:t>
            </w:r>
          </w:p>
        </w:tc>
        <w:tc>
          <w:tcPr>
            <w:tcW w:w="423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int="default" w:ascii="Times New Roman" w:hAnsi="Times New Roman" w:eastAsia="仿宋" w:cs="Times New Roman"/>
                <w:color w:val="000000"/>
                <w:kern w:val="0"/>
                <w:sz w:val="18"/>
                <w:szCs w:val="18"/>
              </w:rPr>
            </w:pPr>
            <w:r>
              <w:rPr>
                <w:rFonts w:hint="default" w:ascii="Times New Roman" w:hAnsi="Times New Roman" w:eastAsia="仿宋" w:cs="Times New Roman"/>
                <w:color w:val="000000"/>
                <w:kern w:val="0"/>
                <w:sz w:val="18"/>
                <w:szCs w:val="18"/>
              </w:rPr>
              <w:t>（实际建设足球场数/目标值</w:t>
            </w:r>
            <w:r>
              <w:rPr>
                <w:rFonts w:hint="eastAsia" w:ascii="Times New Roman" w:hAnsi="Times New Roman" w:eastAsia="仿宋" w:cs="Times New Roman"/>
                <w:color w:val="000000"/>
                <w:kern w:val="0"/>
                <w:sz w:val="18"/>
                <w:szCs w:val="18"/>
                <w:lang w:eastAsia="zh-CN"/>
              </w:rPr>
              <w:t>）</w:t>
            </w:r>
            <w:r>
              <w:rPr>
                <w:rFonts w:hint="default" w:ascii="Times New Roman" w:hAnsi="Times New Roman" w:eastAsia="仿宋" w:cs="Times New Roman"/>
                <w:color w:val="000000"/>
                <w:kern w:val="0"/>
                <w:sz w:val="18"/>
                <w:szCs w:val="18"/>
              </w:rPr>
              <w:t>*100%*满分</w:t>
            </w:r>
          </w:p>
        </w:tc>
        <w:tc>
          <w:tcPr>
            <w:tcW w:w="709"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int="default" w:ascii="Times New Roman" w:hAnsi="Times New Roman" w:eastAsia="仿宋" w:cs="Times New Roman"/>
                <w:color w:val="000000"/>
                <w:kern w:val="0"/>
                <w:sz w:val="18"/>
                <w:szCs w:val="18"/>
              </w:rPr>
            </w:pPr>
            <w:r>
              <w:rPr>
                <w:rFonts w:hint="default" w:ascii="Times New Roman" w:hAnsi="Times New Roman" w:eastAsia="仿宋" w:cs="Times New Roman"/>
                <w:color w:val="000000"/>
                <w:kern w:val="0"/>
                <w:sz w:val="18"/>
                <w:szCs w:val="18"/>
              </w:rPr>
              <w:t>4.00</w:t>
            </w:r>
          </w:p>
        </w:tc>
        <w:tc>
          <w:tcPr>
            <w:tcW w:w="776" w:type="dxa"/>
            <w:tcBorders>
              <w:top w:val="nil"/>
              <w:left w:val="nil"/>
              <w:bottom w:val="single" w:color="auto" w:sz="4" w:space="0"/>
              <w:right w:val="single" w:color="auto" w:sz="4" w:space="0"/>
            </w:tcBorders>
            <w:shd w:val="clear" w:color="auto" w:fill="auto"/>
            <w:noWrap/>
            <w:vAlign w:val="center"/>
          </w:tcPr>
          <w:p>
            <w:pPr>
              <w:widowControl/>
              <w:spacing w:line="240" w:lineRule="auto"/>
              <w:jc w:val="left"/>
              <w:rPr>
                <w:rFonts w:hint="default" w:ascii="Times New Roman" w:hAnsi="Times New Roman" w:eastAsia="仿宋" w:cs="Times New Roman"/>
                <w:color w:val="000000"/>
                <w:kern w:val="0"/>
                <w:sz w:val="18"/>
                <w:szCs w:val="18"/>
              </w:rPr>
            </w:pPr>
            <w:r>
              <w:rPr>
                <w:rFonts w:hint="default" w:ascii="Times New Roman" w:hAnsi="Times New Roman" w:eastAsia="仿宋" w:cs="Times New Roman"/>
                <w:color w:val="000000"/>
                <w:kern w:val="0"/>
                <w:sz w:val="18"/>
                <w:szCs w:val="18"/>
              </w:rPr>
              <w:t>　</w:t>
            </w:r>
          </w:p>
        </w:tc>
      </w:tr>
      <w:tr>
        <w:tblPrEx>
          <w:tblCellMar>
            <w:top w:w="0" w:type="dxa"/>
            <w:left w:w="108" w:type="dxa"/>
            <w:bottom w:w="0" w:type="dxa"/>
            <w:right w:w="108" w:type="dxa"/>
          </w:tblCellMar>
        </w:tblPrEx>
        <w:trPr>
          <w:trHeight w:val="289" w:hRule="atLeast"/>
        </w:trPr>
        <w:tc>
          <w:tcPr>
            <w:tcW w:w="609" w:type="dxa"/>
            <w:vMerge w:val="continue"/>
            <w:tcBorders>
              <w:top w:val="nil"/>
              <w:left w:val="single" w:color="auto" w:sz="4" w:space="0"/>
              <w:bottom w:val="single" w:color="auto" w:sz="4" w:space="0"/>
              <w:right w:val="single" w:color="auto" w:sz="4" w:space="0"/>
            </w:tcBorders>
            <w:vAlign w:val="center"/>
          </w:tcPr>
          <w:p>
            <w:pPr>
              <w:widowControl/>
              <w:spacing w:line="240" w:lineRule="auto"/>
              <w:jc w:val="left"/>
              <w:rPr>
                <w:rFonts w:hint="default" w:ascii="Times New Roman" w:hAnsi="Times New Roman" w:eastAsia="仿宋" w:cs="Times New Roman"/>
                <w:b/>
                <w:bCs/>
                <w:color w:val="000000"/>
                <w:kern w:val="0"/>
                <w:sz w:val="18"/>
                <w:szCs w:val="18"/>
              </w:rPr>
            </w:pPr>
          </w:p>
        </w:tc>
        <w:tc>
          <w:tcPr>
            <w:tcW w:w="912" w:type="dxa"/>
            <w:vMerge w:val="continue"/>
            <w:tcBorders>
              <w:left w:val="single" w:color="auto" w:sz="4" w:space="0"/>
              <w:right w:val="single" w:color="auto" w:sz="4" w:space="0"/>
            </w:tcBorders>
            <w:vAlign w:val="center"/>
          </w:tcPr>
          <w:p>
            <w:pPr>
              <w:widowControl/>
              <w:spacing w:line="240" w:lineRule="auto"/>
              <w:jc w:val="left"/>
              <w:rPr>
                <w:rFonts w:hint="default" w:ascii="Times New Roman" w:hAnsi="Times New Roman" w:eastAsia="仿宋" w:cs="Times New Roman"/>
                <w:color w:val="000000"/>
                <w:kern w:val="0"/>
                <w:sz w:val="18"/>
                <w:szCs w:val="18"/>
              </w:rPr>
            </w:pPr>
          </w:p>
        </w:tc>
        <w:tc>
          <w:tcPr>
            <w:tcW w:w="1613"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int="eastAsia" w:ascii="Times New Roman" w:hAnsi="Times New Roman" w:eastAsia="仿宋" w:cs="Times New Roman"/>
                <w:color w:val="000000"/>
                <w:kern w:val="0"/>
                <w:sz w:val="18"/>
                <w:szCs w:val="18"/>
                <w:lang w:eastAsia="zh-CN"/>
              </w:rPr>
            </w:pPr>
            <w:r>
              <w:rPr>
                <w:rFonts w:hint="default" w:ascii="Times New Roman" w:hAnsi="Times New Roman" w:eastAsia="仿宋" w:cs="Times New Roman"/>
                <w:color w:val="000000"/>
                <w:kern w:val="0"/>
                <w:sz w:val="18"/>
                <w:szCs w:val="18"/>
              </w:rPr>
              <w:t>多功能运动场（4分</w:t>
            </w:r>
            <w:r>
              <w:rPr>
                <w:rFonts w:hint="eastAsia" w:ascii="Times New Roman" w:hAnsi="Times New Roman" w:eastAsia="仿宋" w:cs="Times New Roman"/>
                <w:color w:val="000000"/>
                <w:kern w:val="0"/>
                <w:sz w:val="18"/>
                <w:szCs w:val="18"/>
                <w:lang w:eastAsia="zh-CN"/>
              </w:rPr>
              <w:t>）</w:t>
            </w:r>
          </w:p>
        </w:tc>
        <w:tc>
          <w:tcPr>
            <w:tcW w:w="423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int="default" w:ascii="Times New Roman" w:hAnsi="Times New Roman" w:eastAsia="仿宋" w:cs="Times New Roman"/>
                <w:color w:val="000000"/>
                <w:kern w:val="0"/>
                <w:sz w:val="18"/>
                <w:szCs w:val="18"/>
              </w:rPr>
            </w:pPr>
            <w:r>
              <w:rPr>
                <w:rFonts w:hint="default" w:ascii="Times New Roman" w:hAnsi="Times New Roman" w:eastAsia="仿宋" w:cs="Times New Roman"/>
                <w:color w:val="000000"/>
                <w:kern w:val="0"/>
                <w:sz w:val="18"/>
                <w:szCs w:val="18"/>
              </w:rPr>
              <w:t>（实际建设多功能运动场数/目标值</w:t>
            </w:r>
            <w:r>
              <w:rPr>
                <w:rFonts w:hint="eastAsia" w:ascii="Times New Roman" w:hAnsi="Times New Roman" w:eastAsia="仿宋" w:cs="Times New Roman"/>
                <w:color w:val="000000"/>
                <w:kern w:val="0"/>
                <w:sz w:val="18"/>
                <w:szCs w:val="18"/>
                <w:lang w:eastAsia="zh-CN"/>
              </w:rPr>
              <w:t>）</w:t>
            </w:r>
            <w:r>
              <w:rPr>
                <w:rFonts w:hint="default" w:ascii="Times New Roman" w:hAnsi="Times New Roman" w:eastAsia="仿宋" w:cs="Times New Roman"/>
                <w:color w:val="000000"/>
                <w:kern w:val="0"/>
                <w:sz w:val="18"/>
                <w:szCs w:val="18"/>
              </w:rPr>
              <w:t>*100%*满分</w:t>
            </w:r>
          </w:p>
        </w:tc>
        <w:tc>
          <w:tcPr>
            <w:tcW w:w="709"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int="default" w:ascii="Times New Roman" w:hAnsi="Times New Roman" w:eastAsia="仿宋" w:cs="Times New Roman"/>
                <w:color w:val="000000"/>
                <w:kern w:val="0"/>
                <w:sz w:val="18"/>
                <w:szCs w:val="18"/>
              </w:rPr>
            </w:pPr>
            <w:r>
              <w:rPr>
                <w:rFonts w:hint="default" w:ascii="Times New Roman" w:hAnsi="Times New Roman" w:eastAsia="仿宋" w:cs="Times New Roman"/>
                <w:color w:val="000000"/>
                <w:kern w:val="0"/>
                <w:sz w:val="18"/>
                <w:szCs w:val="18"/>
              </w:rPr>
              <w:t>4.00</w:t>
            </w:r>
          </w:p>
        </w:tc>
        <w:tc>
          <w:tcPr>
            <w:tcW w:w="776" w:type="dxa"/>
            <w:tcBorders>
              <w:top w:val="nil"/>
              <w:left w:val="nil"/>
              <w:bottom w:val="single" w:color="auto" w:sz="4" w:space="0"/>
              <w:right w:val="single" w:color="auto" w:sz="4" w:space="0"/>
            </w:tcBorders>
            <w:shd w:val="clear" w:color="auto" w:fill="auto"/>
            <w:noWrap/>
            <w:vAlign w:val="center"/>
          </w:tcPr>
          <w:p>
            <w:pPr>
              <w:widowControl/>
              <w:spacing w:line="240" w:lineRule="auto"/>
              <w:jc w:val="left"/>
              <w:rPr>
                <w:rFonts w:hint="default" w:ascii="Times New Roman" w:hAnsi="Times New Roman" w:eastAsia="仿宋" w:cs="Times New Roman"/>
                <w:color w:val="000000"/>
                <w:kern w:val="0"/>
                <w:sz w:val="18"/>
                <w:szCs w:val="18"/>
              </w:rPr>
            </w:pPr>
            <w:r>
              <w:rPr>
                <w:rFonts w:hint="default" w:ascii="Times New Roman" w:hAnsi="Times New Roman" w:eastAsia="仿宋" w:cs="Times New Roman"/>
                <w:color w:val="000000"/>
                <w:kern w:val="0"/>
                <w:sz w:val="18"/>
                <w:szCs w:val="18"/>
              </w:rPr>
              <w:t>　</w:t>
            </w:r>
          </w:p>
        </w:tc>
      </w:tr>
      <w:tr>
        <w:tblPrEx>
          <w:tblCellMar>
            <w:top w:w="0" w:type="dxa"/>
            <w:left w:w="108" w:type="dxa"/>
            <w:bottom w:w="0" w:type="dxa"/>
            <w:right w:w="108" w:type="dxa"/>
          </w:tblCellMar>
        </w:tblPrEx>
        <w:trPr>
          <w:trHeight w:val="289" w:hRule="atLeast"/>
        </w:trPr>
        <w:tc>
          <w:tcPr>
            <w:tcW w:w="609" w:type="dxa"/>
            <w:vMerge w:val="continue"/>
            <w:tcBorders>
              <w:top w:val="nil"/>
              <w:left w:val="single" w:color="auto" w:sz="4" w:space="0"/>
              <w:bottom w:val="single" w:color="auto" w:sz="4" w:space="0"/>
              <w:right w:val="single" w:color="auto" w:sz="4" w:space="0"/>
            </w:tcBorders>
            <w:vAlign w:val="center"/>
          </w:tcPr>
          <w:p>
            <w:pPr>
              <w:widowControl/>
              <w:spacing w:line="240" w:lineRule="auto"/>
              <w:jc w:val="left"/>
              <w:rPr>
                <w:rFonts w:hint="default" w:ascii="Times New Roman" w:hAnsi="Times New Roman" w:eastAsia="仿宋" w:cs="Times New Roman"/>
                <w:b/>
                <w:bCs/>
                <w:color w:val="000000"/>
                <w:kern w:val="0"/>
                <w:sz w:val="18"/>
                <w:szCs w:val="18"/>
              </w:rPr>
            </w:pPr>
          </w:p>
        </w:tc>
        <w:tc>
          <w:tcPr>
            <w:tcW w:w="912" w:type="dxa"/>
            <w:vMerge w:val="continue"/>
            <w:tcBorders>
              <w:left w:val="single" w:color="auto" w:sz="4" w:space="0"/>
              <w:bottom w:val="single" w:color="000000" w:sz="4" w:space="0"/>
              <w:right w:val="single" w:color="auto" w:sz="4" w:space="0"/>
            </w:tcBorders>
            <w:vAlign w:val="center"/>
          </w:tcPr>
          <w:p>
            <w:pPr>
              <w:widowControl/>
              <w:spacing w:line="240" w:lineRule="auto"/>
              <w:jc w:val="left"/>
              <w:rPr>
                <w:rFonts w:hint="default" w:ascii="Times New Roman" w:hAnsi="Times New Roman" w:eastAsia="仿宋" w:cs="Times New Roman"/>
                <w:color w:val="000000"/>
                <w:kern w:val="0"/>
                <w:sz w:val="18"/>
                <w:szCs w:val="18"/>
              </w:rPr>
            </w:pPr>
          </w:p>
        </w:tc>
        <w:tc>
          <w:tcPr>
            <w:tcW w:w="1613"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int="eastAsia" w:ascii="Times New Roman" w:hAnsi="Times New Roman" w:eastAsia="仿宋" w:cs="Times New Roman"/>
                <w:color w:val="000000"/>
                <w:kern w:val="0"/>
                <w:sz w:val="18"/>
                <w:szCs w:val="18"/>
                <w:lang w:eastAsia="zh-CN"/>
              </w:rPr>
            </w:pPr>
            <w:r>
              <w:rPr>
                <w:rFonts w:hint="default" w:ascii="Times New Roman" w:hAnsi="Times New Roman" w:eastAsia="仿宋" w:cs="Times New Roman"/>
                <w:color w:val="000000"/>
                <w:kern w:val="0"/>
                <w:sz w:val="18"/>
                <w:szCs w:val="18"/>
              </w:rPr>
              <w:t>口袋公园健身设施（4分</w:t>
            </w:r>
            <w:r>
              <w:rPr>
                <w:rFonts w:hint="eastAsia" w:ascii="Times New Roman" w:hAnsi="Times New Roman" w:eastAsia="仿宋" w:cs="Times New Roman"/>
                <w:color w:val="000000"/>
                <w:kern w:val="0"/>
                <w:sz w:val="18"/>
                <w:szCs w:val="18"/>
                <w:lang w:eastAsia="zh-CN"/>
              </w:rPr>
              <w:t>）</w:t>
            </w:r>
          </w:p>
        </w:tc>
        <w:tc>
          <w:tcPr>
            <w:tcW w:w="423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int="default" w:ascii="Times New Roman" w:hAnsi="Times New Roman" w:eastAsia="仿宋" w:cs="Times New Roman"/>
                <w:color w:val="000000"/>
                <w:kern w:val="0"/>
                <w:sz w:val="18"/>
                <w:szCs w:val="18"/>
              </w:rPr>
            </w:pPr>
            <w:r>
              <w:rPr>
                <w:rFonts w:hint="default" w:ascii="Times New Roman" w:hAnsi="Times New Roman" w:eastAsia="仿宋" w:cs="Times New Roman"/>
                <w:color w:val="000000"/>
                <w:kern w:val="0"/>
                <w:sz w:val="18"/>
                <w:szCs w:val="18"/>
              </w:rPr>
              <w:t>（实际建设口袋公园健身设施数/目标值</w:t>
            </w:r>
            <w:r>
              <w:rPr>
                <w:rFonts w:hint="eastAsia" w:ascii="Times New Roman" w:hAnsi="Times New Roman" w:eastAsia="仿宋" w:cs="Times New Roman"/>
                <w:color w:val="000000"/>
                <w:kern w:val="0"/>
                <w:sz w:val="18"/>
                <w:szCs w:val="18"/>
                <w:lang w:eastAsia="zh-CN"/>
              </w:rPr>
              <w:t>）</w:t>
            </w:r>
            <w:r>
              <w:rPr>
                <w:rFonts w:hint="default" w:ascii="Times New Roman" w:hAnsi="Times New Roman" w:eastAsia="仿宋" w:cs="Times New Roman"/>
                <w:color w:val="000000"/>
                <w:kern w:val="0"/>
                <w:sz w:val="18"/>
                <w:szCs w:val="18"/>
              </w:rPr>
              <w:t>*100%*满分</w:t>
            </w:r>
          </w:p>
        </w:tc>
        <w:tc>
          <w:tcPr>
            <w:tcW w:w="709"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int="default" w:ascii="Times New Roman" w:hAnsi="Times New Roman" w:eastAsia="仿宋" w:cs="Times New Roman"/>
                <w:color w:val="000000"/>
                <w:kern w:val="0"/>
                <w:sz w:val="18"/>
                <w:szCs w:val="18"/>
              </w:rPr>
            </w:pPr>
            <w:r>
              <w:rPr>
                <w:rFonts w:hint="default" w:ascii="Times New Roman" w:hAnsi="Times New Roman" w:eastAsia="仿宋" w:cs="Times New Roman"/>
                <w:color w:val="000000"/>
                <w:kern w:val="0"/>
                <w:sz w:val="18"/>
                <w:szCs w:val="18"/>
              </w:rPr>
              <w:t>4.00</w:t>
            </w:r>
          </w:p>
        </w:tc>
        <w:tc>
          <w:tcPr>
            <w:tcW w:w="776" w:type="dxa"/>
            <w:tcBorders>
              <w:top w:val="nil"/>
              <w:left w:val="nil"/>
              <w:bottom w:val="single" w:color="auto" w:sz="4" w:space="0"/>
              <w:right w:val="single" w:color="auto" w:sz="4" w:space="0"/>
            </w:tcBorders>
            <w:shd w:val="clear" w:color="auto" w:fill="auto"/>
            <w:noWrap/>
            <w:vAlign w:val="center"/>
          </w:tcPr>
          <w:p>
            <w:pPr>
              <w:widowControl/>
              <w:spacing w:line="240" w:lineRule="auto"/>
              <w:jc w:val="left"/>
              <w:rPr>
                <w:rFonts w:hint="default" w:ascii="Times New Roman" w:hAnsi="Times New Roman" w:eastAsia="仿宋" w:cs="Times New Roman"/>
                <w:color w:val="000000"/>
                <w:kern w:val="0"/>
                <w:sz w:val="18"/>
                <w:szCs w:val="18"/>
              </w:rPr>
            </w:pPr>
          </w:p>
        </w:tc>
      </w:tr>
      <w:tr>
        <w:tblPrEx>
          <w:tblCellMar>
            <w:top w:w="0" w:type="dxa"/>
            <w:left w:w="108" w:type="dxa"/>
            <w:bottom w:w="0" w:type="dxa"/>
            <w:right w:w="108" w:type="dxa"/>
          </w:tblCellMar>
        </w:tblPrEx>
        <w:trPr>
          <w:trHeight w:val="289" w:hRule="atLeast"/>
        </w:trPr>
        <w:tc>
          <w:tcPr>
            <w:tcW w:w="609" w:type="dxa"/>
            <w:vMerge w:val="continue"/>
            <w:tcBorders>
              <w:top w:val="nil"/>
              <w:left w:val="single" w:color="auto" w:sz="4" w:space="0"/>
              <w:bottom w:val="single" w:color="auto" w:sz="4" w:space="0"/>
              <w:right w:val="single" w:color="auto" w:sz="4" w:space="0"/>
            </w:tcBorders>
            <w:vAlign w:val="center"/>
          </w:tcPr>
          <w:p>
            <w:pPr>
              <w:widowControl/>
              <w:spacing w:line="240" w:lineRule="auto"/>
              <w:jc w:val="left"/>
              <w:rPr>
                <w:rFonts w:hint="default" w:ascii="Times New Roman" w:hAnsi="Times New Roman" w:eastAsia="仿宋" w:cs="Times New Roman"/>
                <w:b/>
                <w:bCs/>
                <w:color w:val="000000"/>
                <w:kern w:val="0"/>
                <w:sz w:val="18"/>
                <w:szCs w:val="18"/>
              </w:rPr>
            </w:pPr>
          </w:p>
        </w:tc>
        <w:tc>
          <w:tcPr>
            <w:tcW w:w="912" w:type="dxa"/>
            <w:vMerge w:val="restart"/>
            <w:tcBorders>
              <w:top w:val="nil"/>
              <w:left w:val="single" w:color="auto" w:sz="4" w:space="0"/>
              <w:right w:val="single" w:color="auto" w:sz="4" w:space="0"/>
            </w:tcBorders>
            <w:vAlign w:val="center"/>
          </w:tcPr>
          <w:p>
            <w:pPr>
              <w:widowControl/>
              <w:spacing w:line="240" w:lineRule="auto"/>
              <w:jc w:val="left"/>
              <w:rPr>
                <w:rFonts w:hint="eastAsia" w:ascii="Times New Roman" w:hAnsi="Times New Roman" w:eastAsia="仿宋" w:cs="Times New Roman"/>
                <w:color w:val="000000"/>
                <w:kern w:val="0"/>
                <w:sz w:val="18"/>
                <w:szCs w:val="18"/>
                <w:lang w:eastAsia="zh-CN"/>
              </w:rPr>
            </w:pPr>
            <w:r>
              <w:rPr>
                <w:rFonts w:hint="default" w:ascii="Times New Roman" w:hAnsi="Times New Roman" w:eastAsia="仿宋" w:cs="Times New Roman"/>
                <w:color w:val="000000"/>
                <w:kern w:val="0"/>
                <w:sz w:val="18"/>
                <w:szCs w:val="18"/>
              </w:rPr>
              <w:t>质量指标（8分</w:t>
            </w:r>
            <w:r>
              <w:rPr>
                <w:rFonts w:hint="eastAsia" w:ascii="Times New Roman" w:hAnsi="Times New Roman" w:eastAsia="仿宋" w:cs="Times New Roman"/>
                <w:color w:val="000000"/>
                <w:kern w:val="0"/>
                <w:sz w:val="18"/>
                <w:szCs w:val="18"/>
                <w:lang w:eastAsia="zh-CN"/>
              </w:rPr>
              <w:t>）</w:t>
            </w:r>
          </w:p>
        </w:tc>
        <w:tc>
          <w:tcPr>
            <w:tcW w:w="1613"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hint="eastAsia" w:ascii="Times New Roman" w:hAnsi="Times New Roman" w:eastAsia="仿宋" w:cs="Times New Roman"/>
                <w:color w:val="000000"/>
                <w:kern w:val="0"/>
                <w:sz w:val="18"/>
                <w:szCs w:val="18"/>
                <w:lang w:eastAsia="zh-CN"/>
              </w:rPr>
            </w:pPr>
            <w:r>
              <w:rPr>
                <w:rFonts w:hint="default" w:ascii="Times New Roman" w:hAnsi="Times New Roman" w:eastAsia="仿宋" w:cs="Times New Roman"/>
                <w:color w:val="000000"/>
                <w:kern w:val="0"/>
                <w:sz w:val="18"/>
                <w:szCs w:val="18"/>
              </w:rPr>
              <w:t>竣工验收合格率（4分</w:t>
            </w:r>
            <w:r>
              <w:rPr>
                <w:rFonts w:hint="eastAsia" w:ascii="Times New Roman" w:hAnsi="Times New Roman" w:eastAsia="仿宋" w:cs="Times New Roman"/>
                <w:color w:val="000000"/>
                <w:kern w:val="0"/>
                <w:sz w:val="18"/>
                <w:szCs w:val="18"/>
                <w:lang w:eastAsia="zh-CN"/>
              </w:rPr>
              <w:t>）</w:t>
            </w:r>
          </w:p>
        </w:tc>
        <w:tc>
          <w:tcPr>
            <w:tcW w:w="4232"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hint="default" w:ascii="Times New Roman" w:hAnsi="Times New Roman" w:eastAsia="仿宋" w:cs="Times New Roman"/>
                <w:color w:val="000000"/>
                <w:kern w:val="0"/>
                <w:sz w:val="18"/>
                <w:szCs w:val="18"/>
              </w:rPr>
            </w:pPr>
            <w:r>
              <w:rPr>
                <w:rFonts w:hint="default" w:ascii="Times New Roman" w:hAnsi="Times New Roman" w:eastAsia="仿宋" w:cs="Times New Roman"/>
                <w:color w:val="000000"/>
                <w:kern w:val="0"/>
                <w:sz w:val="18"/>
                <w:szCs w:val="18"/>
              </w:rPr>
              <w:t>竣工验收合格工程数/开工工程数*100%*满分</w:t>
            </w:r>
          </w:p>
        </w:tc>
        <w:tc>
          <w:tcPr>
            <w:tcW w:w="709"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int="default" w:ascii="Times New Roman" w:hAnsi="Times New Roman" w:eastAsia="仿宋" w:cs="Times New Roman"/>
                <w:color w:val="000000"/>
                <w:kern w:val="0"/>
                <w:sz w:val="18"/>
                <w:szCs w:val="18"/>
              </w:rPr>
            </w:pPr>
            <w:r>
              <w:rPr>
                <w:rFonts w:hint="default" w:ascii="Times New Roman" w:hAnsi="Times New Roman" w:eastAsia="仿宋" w:cs="Times New Roman"/>
                <w:color w:val="000000"/>
                <w:kern w:val="0"/>
                <w:sz w:val="18"/>
                <w:szCs w:val="18"/>
              </w:rPr>
              <w:t>4.00</w:t>
            </w:r>
          </w:p>
        </w:tc>
        <w:tc>
          <w:tcPr>
            <w:tcW w:w="776" w:type="dxa"/>
            <w:tcBorders>
              <w:top w:val="nil"/>
              <w:left w:val="nil"/>
              <w:bottom w:val="single" w:color="auto" w:sz="4" w:space="0"/>
              <w:right w:val="single" w:color="auto" w:sz="4" w:space="0"/>
            </w:tcBorders>
            <w:shd w:val="clear" w:color="auto" w:fill="auto"/>
            <w:noWrap/>
            <w:vAlign w:val="center"/>
          </w:tcPr>
          <w:p>
            <w:pPr>
              <w:widowControl/>
              <w:spacing w:line="240" w:lineRule="auto"/>
              <w:jc w:val="left"/>
              <w:rPr>
                <w:rFonts w:hint="default" w:ascii="Times New Roman" w:hAnsi="Times New Roman" w:eastAsia="仿宋" w:cs="Times New Roman"/>
                <w:color w:val="000000"/>
                <w:kern w:val="0"/>
                <w:sz w:val="18"/>
                <w:szCs w:val="18"/>
              </w:rPr>
            </w:pPr>
            <w:r>
              <w:rPr>
                <w:rFonts w:hint="default" w:ascii="Times New Roman" w:hAnsi="Times New Roman" w:eastAsia="仿宋" w:cs="Times New Roman"/>
                <w:color w:val="000000"/>
                <w:kern w:val="0"/>
                <w:sz w:val="18"/>
                <w:szCs w:val="18"/>
              </w:rPr>
              <w:t>　</w:t>
            </w:r>
          </w:p>
        </w:tc>
      </w:tr>
      <w:tr>
        <w:tblPrEx>
          <w:tblCellMar>
            <w:top w:w="0" w:type="dxa"/>
            <w:left w:w="108" w:type="dxa"/>
            <w:bottom w:w="0" w:type="dxa"/>
            <w:right w:w="108" w:type="dxa"/>
          </w:tblCellMar>
        </w:tblPrEx>
        <w:trPr>
          <w:trHeight w:val="289" w:hRule="atLeast"/>
        </w:trPr>
        <w:tc>
          <w:tcPr>
            <w:tcW w:w="609" w:type="dxa"/>
            <w:vMerge w:val="continue"/>
            <w:tcBorders>
              <w:top w:val="nil"/>
              <w:left w:val="single" w:color="auto" w:sz="4" w:space="0"/>
              <w:bottom w:val="single" w:color="auto" w:sz="4" w:space="0"/>
              <w:right w:val="single" w:color="auto" w:sz="4" w:space="0"/>
            </w:tcBorders>
            <w:vAlign w:val="center"/>
          </w:tcPr>
          <w:p>
            <w:pPr>
              <w:widowControl/>
              <w:spacing w:line="240" w:lineRule="auto"/>
              <w:jc w:val="left"/>
              <w:rPr>
                <w:rFonts w:hint="default" w:ascii="Times New Roman" w:hAnsi="Times New Roman" w:eastAsia="仿宋" w:cs="Times New Roman"/>
                <w:b/>
                <w:bCs/>
                <w:color w:val="000000"/>
                <w:kern w:val="0"/>
                <w:sz w:val="18"/>
                <w:szCs w:val="18"/>
              </w:rPr>
            </w:pPr>
          </w:p>
        </w:tc>
        <w:tc>
          <w:tcPr>
            <w:tcW w:w="912" w:type="dxa"/>
            <w:vMerge w:val="continue"/>
            <w:tcBorders>
              <w:left w:val="single" w:color="auto" w:sz="4" w:space="0"/>
              <w:bottom w:val="single" w:color="auto" w:sz="4" w:space="0"/>
              <w:right w:val="single" w:color="auto" w:sz="4" w:space="0"/>
            </w:tcBorders>
            <w:vAlign w:val="center"/>
          </w:tcPr>
          <w:p>
            <w:pPr>
              <w:widowControl/>
              <w:spacing w:line="240" w:lineRule="auto"/>
              <w:jc w:val="left"/>
              <w:rPr>
                <w:rFonts w:hint="default" w:ascii="Times New Roman" w:hAnsi="Times New Roman" w:eastAsia="仿宋" w:cs="Times New Roman"/>
                <w:color w:val="000000"/>
                <w:kern w:val="0"/>
                <w:sz w:val="18"/>
                <w:szCs w:val="18"/>
              </w:rPr>
            </w:pPr>
          </w:p>
        </w:tc>
        <w:tc>
          <w:tcPr>
            <w:tcW w:w="1613"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hint="eastAsia" w:ascii="Times New Roman" w:hAnsi="Times New Roman" w:eastAsia="仿宋" w:cs="Times New Roman"/>
                <w:color w:val="000000"/>
                <w:kern w:val="0"/>
                <w:sz w:val="18"/>
                <w:szCs w:val="18"/>
                <w:lang w:eastAsia="zh-CN"/>
              </w:rPr>
            </w:pPr>
            <w:r>
              <w:rPr>
                <w:rFonts w:hint="default" w:ascii="Times New Roman" w:hAnsi="Times New Roman" w:eastAsia="仿宋" w:cs="Times New Roman"/>
                <w:color w:val="000000"/>
                <w:kern w:val="0"/>
                <w:sz w:val="18"/>
                <w:szCs w:val="18"/>
              </w:rPr>
              <w:t>体育设施有序开放（4分</w:t>
            </w:r>
            <w:r>
              <w:rPr>
                <w:rFonts w:hint="eastAsia" w:ascii="Times New Roman" w:hAnsi="Times New Roman" w:eastAsia="仿宋" w:cs="Times New Roman"/>
                <w:color w:val="000000"/>
                <w:kern w:val="0"/>
                <w:sz w:val="18"/>
                <w:szCs w:val="18"/>
                <w:lang w:eastAsia="zh-CN"/>
              </w:rPr>
              <w:t>）</w:t>
            </w:r>
          </w:p>
        </w:tc>
        <w:tc>
          <w:tcPr>
            <w:tcW w:w="4232"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hint="default" w:ascii="Times New Roman" w:hAnsi="Times New Roman" w:eastAsia="仿宋" w:cs="Times New Roman"/>
                <w:color w:val="000000"/>
                <w:kern w:val="0"/>
                <w:sz w:val="18"/>
                <w:szCs w:val="18"/>
              </w:rPr>
            </w:pPr>
            <w:r>
              <w:rPr>
                <w:rFonts w:hint="default" w:ascii="Times New Roman" w:hAnsi="Times New Roman" w:eastAsia="仿宋" w:cs="Times New Roman"/>
                <w:color w:val="000000"/>
                <w:kern w:val="0"/>
                <w:sz w:val="18"/>
                <w:szCs w:val="18"/>
              </w:rPr>
              <w:t>符合条件的多功能运动场、球场、健身器材等体育设施，逐步在周末、节假日和寒暑假，以预约方式有序向社会开放计划实施率≥95%，得满分；否则按照未完成比例相应扣分。</w:t>
            </w:r>
          </w:p>
        </w:tc>
        <w:tc>
          <w:tcPr>
            <w:tcW w:w="709"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int="default" w:ascii="Times New Roman" w:hAnsi="Times New Roman" w:eastAsia="仿宋" w:cs="Times New Roman"/>
                <w:color w:val="000000"/>
                <w:kern w:val="0"/>
                <w:sz w:val="18"/>
                <w:szCs w:val="18"/>
              </w:rPr>
            </w:pPr>
            <w:r>
              <w:rPr>
                <w:rFonts w:hint="default" w:ascii="Times New Roman" w:hAnsi="Times New Roman" w:eastAsia="仿宋" w:cs="Times New Roman"/>
                <w:color w:val="000000"/>
                <w:kern w:val="0"/>
                <w:sz w:val="18"/>
                <w:szCs w:val="18"/>
              </w:rPr>
              <w:t>4.00</w:t>
            </w:r>
          </w:p>
        </w:tc>
        <w:tc>
          <w:tcPr>
            <w:tcW w:w="776" w:type="dxa"/>
            <w:tcBorders>
              <w:top w:val="nil"/>
              <w:left w:val="nil"/>
              <w:bottom w:val="single" w:color="auto" w:sz="4" w:space="0"/>
              <w:right w:val="single" w:color="auto" w:sz="4" w:space="0"/>
            </w:tcBorders>
            <w:shd w:val="clear" w:color="auto" w:fill="auto"/>
            <w:noWrap/>
            <w:vAlign w:val="center"/>
          </w:tcPr>
          <w:p>
            <w:pPr>
              <w:widowControl/>
              <w:spacing w:line="240" w:lineRule="auto"/>
              <w:jc w:val="left"/>
              <w:rPr>
                <w:rFonts w:hint="default" w:ascii="Times New Roman" w:hAnsi="Times New Roman" w:eastAsia="仿宋" w:cs="Times New Roman"/>
                <w:color w:val="000000"/>
                <w:kern w:val="0"/>
                <w:sz w:val="18"/>
                <w:szCs w:val="18"/>
              </w:rPr>
            </w:pPr>
            <w:r>
              <w:rPr>
                <w:rFonts w:hint="default" w:ascii="Times New Roman" w:hAnsi="Times New Roman" w:eastAsia="仿宋" w:cs="Times New Roman"/>
                <w:color w:val="000000"/>
                <w:kern w:val="0"/>
                <w:sz w:val="18"/>
                <w:szCs w:val="18"/>
              </w:rPr>
              <w:t>　</w:t>
            </w:r>
          </w:p>
        </w:tc>
      </w:tr>
      <w:tr>
        <w:tblPrEx>
          <w:tblCellMar>
            <w:top w:w="0" w:type="dxa"/>
            <w:left w:w="108" w:type="dxa"/>
            <w:bottom w:w="0" w:type="dxa"/>
            <w:right w:w="108" w:type="dxa"/>
          </w:tblCellMar>
        </w:tblPrEx>
        <w:trPr>
          <w:trHeight w:val="289" w:hRule="atLeast"/>
        </w:trPr>
        <w:tc>
          <w:tcPr>
            <w:tcW w:w="609" w:type="dxa"/>
            <w:vMerge w:val="continue"/>
            <w:tcBorders>
              <w:top w:val="nil"/>
              <w:left w:val="single" w:color="auto" w:sz="4" w:space="0"/>
              <w:bottom w:val="single" w:color="auto" w:sz="4" w:space="0"/>
              <w:right w:val="single" w:color="auto" w:sz="4" w:space="0"/>
            </w:tcBorders>
            <w:vAlign w:val="center"/>
          </w:tcPr>
          <w:p>
            <w:pPr>
              <w:widowControl/>
              <w:spacing w:line="240" w:lineRule="auto"/>
              <w:jc w:val="left"/>
              <w:rPr>
                <w:rFonts w:hint="default" w:ascii="Times New Roman" w:hAnsi="Times New Roman" w:eastAsia="仿宋" w:cs="Times New Roman"/>
                <w:b/>
                <w:bCs/>
                <w:color w:val="000000"/>
                <w:kern w:val="0"/>
                <w:sz w:val="18"/>
                <w:szCs w:val="18"/>
              </w:rPr>
            </w:pPr>
          </w:p>
        </w:tc>
        <w:tc>
          <w:tcPr>
            <w:tcW w:w="91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int="eastAsia" w:ascii="Times New Roman" w:hAnsi="Times New Roman" w:eastAsia="仿宋" w:cs="Times New Roman"/>
                <w:color w:val="000000"/>
                <w:kern w:val="0"/>
                <w:sz w:val="18"/>
                <w:szCs w:val="18"/>
                <w:lang w:eastAsia="zh-CN"/>
              </w:rPr>
            </w:pPr>
            <w:r>
              <w:rPr>
                <w:rFonts w:hint="default" w:ascii="Times New Roman" w:hAnsi="Times New Roman" w:eastAsia="仿宋" w:cs="Times New Roman"/>
                <w:color w:val="000000"/>
                <w:kern w:val="0"/>
                <w:sz w:val="18"/>
                <w:szCs w:val="18"/>
              </w:rPr>
              <w:t>时效指标（7分</w:t>
            </w:r>
            <w:r>
              <w:rPr>
                <w:rFonts w:hint="eastAsia" w:ascii="Times New Roman" w:hAnsi="Times New Roman" w:eastAsia="仿宋" w:cs="Times New Roman"/>
                <w:color w:val="000000"/>
                <w:kern w:val="0"/>
                <w:sz w:val="18"/>
                <w:szCs w:val="18"/>
                <w:lang w:eastAsia="zh-CN"/>
              </w:rPr>
              <w:t>）</w:t>
            </w:r>
          </w:p>
        </w:tc>
        <w:tc>
          <w:tcPr>
            <w:tcW w:w="1613"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int="eastAsia" w:ascii="Times New Roman" w:hAnsi="Times New Roman" w:eastAsia="仿宋" w:cs="Times New Roman"/>
                <w:color w:val="000000"/>
                <w:kern w:val="0"/>
                <w:sz w:val="18"/>
                <w:szCs w:val="18"/>
                <w:lang w:eastAsia="zh-CN"/>
              </w:rPr>
            </w:pPr>
            <w:r>
              <w:rPr>
                <w:rFonts w:hint="default" w:ascii="Times New Roman" w:hAnsi="Times New Roman" w:eastAsia="仿宋" w:cs="Times New Roman"/>
                <w:color w:val="000000"/>
                <w:kern w:val="0"/>
                <w:sz w:val="18"/>
                <w:szCs w:val="18"/>
              </w:rPr>
              <w:t>工程按期完成率（7分</w:t>
            </w:r>
            <w:r>
              <w:rPr>
                <w:rFonts w:hint="eastAsia" w:ascii="Times New Roman" w:hAnsi="Times New Roman" w:eastAsia="仿宋" w:cs="Times New Roman"/>
                <w:color w:val="000000"/>
                <w:kern w:val="0"/>
                <w:sz w:val="18"/>
                <w:szCs w:val="18"/>
                <w:lang w:eastAsia="zh-CN"/>
              </w:rPr>
              <w:t>）</w:t>
            </w:r>
          </w:p>
        </w:tc>
        <w:tc>
          <w:tcPr>
            <w:tcW w:w="423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int="default" w:ascii="Times New Roman" w:hAnsi="Times New Roman" w:eastAsia="仿宋" w:cs="Times New Roman"/>
                <w:color w:val="000000"/>
                <w:kern w:val="0"/>
                <w:sz w:val="18"/>
                <w:szCs w:val="18"/>
              </w:rPr>
            </w:pPr>
            <w:r>
              <w:rPr>
                <w:rFonts w:hint="default" w:ascii="Times New Roman" w:hAnsi="Times New Roman" w:eastAsia="仿宋" w:cs="Times New Roman"/>
                <w:color w:val="000000"/>
                <w:kern w:val="0"/>
                <w:sz w:val="18"/>
                <w:szCs w:val="18"/>
              </w:rPr>
              <w:t>反映任务按期完成情况，得分为（按期完成任务数/计划数</w:t>
            </w:r>
            <w:r>
              <w:rPr>
                <w:rFonts w:hint="eastAsia" w:ascii="Times New Roman" w:hAnsi="Times New Roman" w:eastAsia="仿宋" w:cs="Times New Roman"/>
                <w:color w:val="000000"/>
                <w:kern w:val="0"/>
                <w:sz w:val="18"/>
                <w:szCs w:val="18"/>
                <w:lang w:eastAsia="zh-CN"/>
              </w:rPr>
              <w:t>）</w:t>
            </w:r>
            <w:r>
              <w:rPr>
                <w:rFonts w:hint="default" w:ascii="Times New Roman" w:hAnsi="Times New Roman" w:eastAsia="仿宋" w:cs="Times New Roman"/>
                <w:color w:val="000000"/>
                <w:kern w:val="0"/>
                <w:sz w:val="18"/>
                <w:szCs w:val="18"/>
              </w:rPr>
              <w:t>*100%*满分</w:t>
            </w:r>
          </w:p>
        </w:tc>
        <w:tc>
          <w:tcPr>
            <w:tcW w:w="709"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int="default" w:ascii="Times New Roman" w:hAnsi="Times New Roman" w:eastAsia="仿宋" w:cs="Times New Roman"/>
                <w:color w:val="000000"/>
                <w:kern w:val="0"/>
                <w:sz w:val="18"/>
                <w:szCs w:val="18"/>
              </w:rPr>
            </w:pPr>
            <w:r>
              <w:rPr>
                <w:rFonts w:hint="default" w:ascii="Times New Roman" w:hAnsi="Times New Roman" w:eastAsia="仿宋" w:cs="Times New Roman"/>
                <w:color w:val="000000"/>
                <w:kern w:val="0"/>
                <w:sz w:val="18"/>
                <w:szCs w:val="18"/>
              </w:rPr>
              <w:t>7.00</w:t>
            </w:r>
          </w:p>
        </w:tc>
        <w:tc>
          <w:tcPr>
            <w:tcW w:w="776" w:type="dxa"/>
            <w:tcBorders>
              <w:top w:val="nil"/>
              <w:left w:val="nil"/>
              <w:bottom w:val="single" w:color="auto" w:sz="4" w:space="0"/>
              <w:right w:val="single" w:color="auto" w:sz="4" w:space="0"/>
            </w:tcBorders>
            <w:shd w:val="clear" w:color="auto" w:fill="auto"/>
            <w:noWrap/>
            <w:vAlign w:val="center"/>
          </w:tcPr>
          <w:p>
            <w:pPr>
              <w:widowControl/>
              <w:spacing w:line="240" w:lineRule="auto"/>
              <w:jc w:val="left"/>
              <w:rPr>
                <w:rFonts w:hint="default" w:ascii="Times New Roman" w:hAnsi="Times New Roman" w:eastAsia="仿宋" w:cs="Times New Roman"/>
                <w:color w:val="000000"/>
                <w:kern w:val="0"/>
                <w:sz w:val="18"/>
                <w:szCs w:val="18"/>
              </w:rPr>
            </w:pPr>
            <w:r>
              <w:rPr>
                <w:rFonts w:hint="default" w:ascii="Times New Roman" w:hAnsi="Times New Roman" w:eastAsia="仿宋" w:cs="Times New Roman"/>
                <w:color w:val="000000"/>
                <w:kern w:val="0"/>
                <w:sz w:val="18"/>
                <w:szCs w:val="18"/>
              </w:rPr>
              <w:t>　</w:t>
            </w:r>
          </w:p>
        </w:tc>
      </w:tr>
      <w:tr>
        <w:tblPrEx>
          <w:tblCellMar>
            <w:top w:w="0" w:type="dxa"/>
            <w:left w:w="108" w:type="dxa"/>
            <w:bottom w:w="0" w:type="dxa"/>
            <w:right w:w="108" w:type="dxa"/>
          </w:tblCellMar>
        </w:tblPrEx>
        <w:trPr>
          <w:trHeight w:val="289" w:hRule="atLeast"/>
        </w:trPr>
        <w:tc>
          <w:tcPr>
            <w:tcW w:w="609" w:type="dxa"/>
            <w:vMerge w:val="continue"/>
            <w:tcBorders>
              <w:top w:val="nil"/>
              <w:left w:val="single" w:color="auto" w:sz="4" w:space="0"/>
              <w:bottom w:val="single" w:color="auto" w:sz="4" w:space="0"/>
              <w:right w:val="single" w:color="auto" w:sz="4" w:space="0"/>
            </w:tcBorders>
            <w:vAlign w:val="center"/>
          </w:tcPr>
          <w:p>
            <w:pPr>
              <w:widowControl/>
              <w:spacing w:line="240" w:lineRule="auto"/>
              <w:jc w:val="left"/>
              <w:rPr>
                <w:rFonts w:hint="default" w:ascii="Times New Roman" w:hAnsi="Times New Roman" w:eastAsia="仿宋" w:cs="Times New Roman"/>
                <w:b/>
                <w:bCs/>
                <w:color w:val="000000"/>
                <w:kern w:val="0"/>
                <w:sz w:val="18"/>
                <w:szCs w:val="18"/>
              </w:rPr>
            </w:pPr>
          </w:p>
        </w:tc>
        <w:tc>
          <w:tcPr>
            <w:tcW w:w="91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int="eastAsia" w:ascii="Times New Roman" w:hAnsi="Times New Roman" w:eastAsia="仿宋" w:cs="Times New Roman"/>
                <w:color w:val="000000"/>
                <w:kern w:val="0"/>
                <w:sz w:val="18"/>
                <w:szCs w:val="18"/>
                <w:lang w:eastAsia="zh-CN"/>
              </w:rPr>
            </w:pPr>
            <w:r>
              <w:rPr>
                <w:rFonts w:hint="default" w:ascii="Times New Roman" w:hAnsi="Times New Roman" w:eastAsia="仿宋" w:cs="Times New Roman"/>
                <w:color w:val="000000"/>
                <w:kern w:val="0"/>
                <w:sz w:val="18"/>
                <w:szCs w:val="18"/>
              </w:rPr>
              <w:t>成本指标（9分</w:t>
            </w:r>
            <w:r>
              <w:rPr>
                <w:rFonts w:hint="eastAsia" w:ascii="Times New Roman" w:hAnsi="Times New Roman" w:eastAsia="仿宋" w:cs="Times New Roman"/>
                <w:color w:val="000000"/>
                <w:kern w:val="0"/>
                <w:sz w:val="18"/>
                <w:szCs w:val="18"/>
                <w:lang w:eastAsia="zh-CN"/>
              </w:rPr>
              <w:t>）</w:t>
            </w:r>
          </w:p>
        </w:tc>
        <w:tc>
          <w:tcPr>
            <w:tcW w:w="1613"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int="eastAsia" w:ascii="Times New Roman" w:hAnsi="Times New Roman" w:eastAsia="仿宋" w:cs="Times New Roman"/>
                <w:color w:val="000000"/>
                <w:kern w:val="0"/>
                <w:sz w:val="18"/>
                <w:szCs w:val="18"/>
                <w:lang w:eastAsia="zh-CN"/>
              </w:rPr>
            </w:pPr>
            <w:r>
              <w:rPr>
                <w:rFonts w:hint="default" w:ascii="Times New Roman" w:hAnsi="Times New Roman" w:eastAsia="仿宋" w:cs="Times New Roman"/>
                <w:color w:val="000000"/>
                <w:kern w:val="0"/>
                <w:sz w:val="18"/>
                <w:szCs w:val="18"/>
              </w:rPr>
              <w:t>成本控制比例（9分</w:t>
            </w:r>
            <w:r>
              <w:rPr>
                <w:rFonts w:hint="eastAsia" w:ascii="Times New Roman" w:hAnsi="Times New Roman" w:eastAsia="仿宋" w:cs="Times New Roman"/>
                <w:color w:val="000000"/>
                <w:kern w:val="0"/>
                <w:sz w:val="18"/>
                <w:szCs w:val="18"/>
                <w:lang w:eastAsia="zh-CN"/>
              </w:rPr>
              <w:t>）</w:t>
            </w:r>
          </w:p>
        </w:tc>
        <w:tc>
          <w:tcPr>
            <w:tcW w:w="423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int="default" w:ascii="Times New Roman" w:hAnsi="Times New Roman" w:eastAsia="仿宋" w:cs="Times New Roman"/>
                <w:color w:val="000000"/>
                <w:kern w:val="0"/>
                <w:sz w:val="18"/>
                <w:szCs w:val="18"/>
              </w:rPr>
            </w:pPr>
            <w:r>
              <w:rPr>
                <w:rFonts w:hint="default" w:ascii="Times New Roman" w:hAnsi="Times New Roman" w:eastAsia="仿宋" w:cs="Times New Roman"/>
                <w:color w:val="000000"/>
                <w:kern w:val="0"/>
                <w:sz w:val="18"/>
                <w:szCs w:val="18"/>
              </w:rPr>
              <w:t>1.有无随意扩大建设规模或提高建设标准；2.有无明确可参照的成本标准；3实际成本是否大于计划成本，计算依据是否充分。全部符合得9分，每一项不符合要求扣3分，扣完为止。</w:t>
            </w:r>
          </w:p>
        </w:tc>
        <w:tc>
          <w:tcPr>
            <w:tcW w:w="709"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int="default" w:ascii="Times New Roman" w:hAnsi="Times New Roman" w:eastAsia="仿宋" w:cs="Times New Roman"/>
                <w:color w:val="000000"/>
                <w:kern w:val="0"/>
                <w:sz w:val="18"/>
                <w:szCs w:val="18"/>
              </w:rPr>
            </w:pPr>
            <w:r>
              <w:rPr>
                <w:rFonts w:hint="default" w:ascii="Times New Roman" w:hAnsi="Times New Roman" w:eastAsia="仿宋" w:cs="Times New Roman"/>
                <w:color w:val="000000"/>
                <w:kern w:val="0"/>
                <w:sz w:val="18"/>
                <w:szCs w:val="18"/>
              </w:rPr>
              <w:t xml:space="preserve">6.00 </w:t>
            </w:r>
          </w:p>
        </w:tc>
        <w:tc>
          <w:tcPr>
            <w:tcW w:w="776"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hint="default" w:ascii="Times New Roman" w:hAnsi="Times New Roman" w:eastAsia="仿宋" w:cs="Times New Roman"/>
                <w:color w:val="000000"/>
                <w:kern w:val="0"/>
                <w:sz w:val="18"/>
                <w:szCs w:val="18"/>
              </w:rPr>
            </w:pPr>
            <w:r>
              <w:rPr>
                <w:rFonts w:hint="default" w:ascii="Times New Roman" w:hAnsi="Times New Roman" w:eastAsia="仿宋" w:cs="Times New Roman"/>
                <w:color w:val="000000"/>
                <w:kern w:val="0"/>
                <w:sz w:val="18"/>
                <w:szCs w:val="18"/>
              </w:rPr>
              <w:t>采购的健身器材存在明显的价格波动</w:t>
            </w:r>
          </w:p>
        </w:tc>
      </w:tr>
      <w:tr>
        <w:tblPrEx>
          <w:tblCellMar>
            <w:top w:w="0" w:type="dxa"/>
            <w:left w:w="108" w:type="dxa"/>
            <w:bottom w:w="0" w:type="dxa"/>
            <w:right w:w="108" w:type="dxa"/>
          </w:tblCellMar>
        </w:tblPrEx>
        <w:trPr>
          <w:trHeight w:val="289" w:hRule="atLeast"/>
        </w:trPr>
        <w:tc>
          <w:tcPr>
            <w:tcW w:w="609"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240" w:lineRule="auto"/>
              <w:jc w:val="center"/>
              <w:rPr>
                <w:rFonts w:hint="eastAsia" w:ascii="Times New Roman" w:hAnsi="Times New Roman" w:eastAsia="仿宋" w:cs="Times New Roman"/>
                <w:b/>
                <w:bCs/>
                <w:color w:val="000000"/>
                <w:kern w:val="0"/>
                <w:sz w:val="18"/>
                <w:szCs w:val="18"/>
                <w:lang w:eastAsia="zh-CN"/>
              </w:rPr>
            </w:pPr>
            <w:r>
              <w:rPr>
                <w:rFonts w:hint="default" w:ascii="Times New Roman" w:hAnsi="Times New Roman" w:eastAsia="仿宋" w:cs="Times New Roman"/>
                <w:b/>
                <w:bCs/>
                <w:color w:val="000000"/>
                <w:kern w:val="0"/>
                <w:sz w:val="18"/>
                <w:szCs w:val="18"/>
              </w:rPr>
              <w:t>效益指标（20分</w:t>
            </w:r>
            <w:r>
              <w:rPr>
                <w:rFonts w:hint="eastAsia" w:ascii="Times New Roman" w:hAnsi="Times New Roman" w:eastAsia="仿宋" w:cs="Times New Roman"/>
                <w:b/>
                <w:bCs/>
                <w:color w:val="000000"/>
                <w:kern w:val="0"/>
                <w:sz w:val="18"/>
                <w:szCs w:val="18"/>
                <w:lang w:eastAsia="zh-CN"/>
              </w:rPr>
              <w:t>）</w:t>
            </w:r>
          </w:p>
        </w:tc>
        <w:tc>
          <w:tcPr>
            <w:tcW w:w="912"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240" w:lineRule="auto"/>
              <w:jc w:val="center"/>
              <w:rPr>
                <w:rFonts w:hint="eastAsia" w:ascii="Times New Roman" w:hAnsi="Times New Roman" w:eastAsia="仿宋" w:cs="Times New Roman"/>
                <w:color w:val="000000"/>
                <w:kern w:val="0"/>
                <w:sz w:val="18"/>
                <w:szCs w:val="18"/>
                <w:lang w:eastAsia="zh-CN"/>
              </w:rPr>
            </w:pPr>
            <w:r>
              <w:rPr>
                <w:rFonts w:hint="default" w:ascii="Times New Roman" w:hAnsi="Times New Roman" w:eastAsia="仿宋" w:cs="Times New Roman"/>
                <w:color w:val="000000"/>
                <w:kern w:val="0"/>
                <w:sz w:val="18"/>
                <w:szCs w:val="18"/>
              </w:rPr>
              <w:t>社会效益（10分</w:t>
            </w:r>
            <w:r>
              <w:rPr>
                <w:rFonts w:hint="eastAsia" w:ascii="Times New Roman" w:hAnsi="Times New Roman" w:eastAsia="仿宋" w:cs="Times New Roman"/>
                <w:color w:val="000000"/>
                <w:kern w:val="0"/>
                <w:sz w:val="18"/>
                <w:szCs w:val="18"/>
                <w:lang w:eastAsia="zh-CN"/>
              </w:rPr>
              <w:t>）</w:t>
            </w:r>
          </w:p>
        </w:tc>
        <w:tc>
          <w:tcPr>
            <w:tcW w:w="1613"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int="eastAsia" w:ascii="Times New Roman" w:hAnsi="Times New Roman" w:eastAsia="仿宋" w:cs="Times New Roman"/>
                <w:color w:val="000000"/>
                <w:kern w:val="0"/>
                <w:sz w:val="18"/>
                <w:szCs w:val="18"/>
                <w:lang w:eastAsia="zh-CN"/>
              </w:rPr>
            </w:pPr>
            <w:r>
              <w:rPr>
                <w:rFonts w:hint="default" w:ascii="Times New Roman" w:hAnsi="Times New Roman" w:eastAsia="仿宋" w:cs="Times New Roman"/>
                <w:color w:val="000000"/>
                <w:kern w:val="0"/>
                <w:sz w:val="18"/>
                <w:szCs w:val="18"/>
              </w:rPr>
              <w:t>健身环境改善程度（5分</w:t>
            </w:r>
            <w:r>
              <w:rPr>
                <w:rFonts w:hint="eastAsia" w:ascii="Times New Roman" w:hAnsi="Times New Roman" w:eastAsia="仿宋" w:cs="Times New Roman"/>
                <w:color w:val="000000"/>
                <w:kern w:val="0"/>
                <w:sz w:val="18"/>
                <w:szCs w:val="18"/>
                <w:lang w:eastAsia="zh-CN"/>
              </w:rPr>
              <w:t>）</w:t>
            </w:r>
          </w:p>
        </w:tc>
        <w:tc>
          <w:tcPr>
            <w:tcW w:w="423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int="default" w:ascii="Times New Roman" w:hAnsi="Times New Roman" w:eastAsia="仿宋" w:cs="Times New Roman"/>
                <w:color w:val="000000"/>
                <w:kern w:val="0"/>
                <w:sz w:val="18"/>
                <w:szCs w:val="18"/>
              </w:rPr>
            </w:pPr>
            <w:r>
              <w:rPr>
                <w:rFonts w:hint="default" w:ascii="Times New Roman" w:hAnsi="Times New Roman" w:eastAsia="仿宋" w:cs="Times New Roman"/>
                <w:color w:val="000000"/>
                <w:kern w:val="0"/>
                <w:sz w:val="18"/>
                <w:szCs w:val="18"/>
              </w:rPr>
              <w:t>反映项目对城区内健身环境提升情况，评价标准按影响程度分为显著、较显著、一般、不显著四档 进行赋分。显著（5分</w:t>
            </w:r>
            <w:r>
              <w:rPr>
                <w:rFonts w:hint="eastAsia" w:ascii="Times New Roman" w:hAnsi="Times New Roman" w:eastAsia="仿宋" w:cs="Times New Roman"/>
                <w:color w:val="000000"/>
                <w:kern w:val="0"/>
                <w:sz w:val="18"/>
                <w:szCs w:val="18"/>
                <w:lang w:eastAsia="zh-CN"/>
              </w:rPr>
              <w:t>）</w:t>
            </w:r>
            <w:r>
              <w:rPr>
                <w:rFonts w:hint="default" w:ascii="Times New Roman" w:hAnsi="Times New Roman" w:eastAsia="仿宋" w:cs="Times New Roman"/>
                <w:color w:val="000000"/>
                <w:kern w:val="0"/>
                <w:sz w:val="18"/>
                <w:szCs w:val="18"/>
              </w:rPr>
              <w:t>、较显著（3分</w:t>
            </w:r>
            <w:r>
              <w:rPr>
                <w:rFonts w:hint="eastAsia" w:ascii="Times New Roman" w:hAnsi="Times New Roman" w:eastAsia="仿宋" w:cs="Times New Roman"/>
                <w:color w:val="000000"/>
                <w:kern w:val="0"/>
                <w:sz w:val="18"/>
                <w:szCs w:val="18"/>
                <w:lang w:eastAsia="zh-CN"/>
              </w:rPr>
              <w:t>）</w:t>
            </w:r>
            <w:r>
              <w:rPr>
                <w:rFonts w:hint="default" w:ascii="Times New Roman" w:hAnsi="Times New Roman" w:eastAsia="仿宋" w:cs="Times New Roman"/>
                <w:color w:val="000000"/>
                <w:kern w:val="0"/>
                <w:sz w:val="18"/>
                <w:szCs w:val="18"/>
              </w:rPr>
              <w:t>、一般（1分</w:t>
            </w:r>
            <w:r>
              <w:rPr>
                <w:rFonts w:hint="eastAsia" w:ascii="Times New Roman" w:hAnsi="Times New Roman" w:eastAsia="仿宋" w:cs="Times New Roman"/>
                <w:color w:val="000000"/>
                <w:kern w:val="0"/>
                <w:sz w:val="18"/>
                <w:szCs w:val="18"/>
                <w:lang w:eastAsia="zh-CN"/>
              </w:rPr>
              <w:t>）</w:t>
            </w:r>
            <w:r>
              <w:rPr>
                <w:rFonts w:hint="default" w:ascii="Times New Roman" w:hAnsi="Times New Roman" w:eastAsia="仿宋" w:cs="Times New Roman"/>
                <w:color w:val="000000"/>
                <w:kern w:val="0"/>
                <w:sz w:val="18"/>
                <w:szCs w:val="18"/>
              </w:rPr>
              <w:t>、不显著（0分</w:t>
            </w:r>
            <w:r>
              <w:rPr>
                <w:rFonts w:hint="eastAsia" w:ascii="Times New Roman" w:hAnsi="Times New Roman" w:eastAsia="仿宋" w:cs="Times New Roman"/>
                <w:color w:val="000000"/>
                <w:kern w:val="0"/>
                <w:sz w:val="18"/>
                <w:szCs w:val="18"/>
                <w:lang w:eastAsia="zh-CN"/>
              </w:rPr>
              <w:t>）</w:t>
            </w:r>
            <w:r>
              <w:rPr>
                <w:rFonts w:hint="default" w:ascii="Times New Roman" w:hAnsi="Times New Roman" w:eastAsia="仿宋" w:cs="Times New Roman"/>
                <w:color w:val="000000"/>
                <w:kern w:val="0"/>
                <w:sz w:val="18"/>
                <w:szCs w:val="18"/>
              </w:rPr>
              <w:t>。</w:t>
            </w:r>
          </w:p>
        </w:tc>
        <w:tc>
          <w:tcPr>
            <w:tcW w:w="709"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int="default" w:ascii="Times New Roman" w:hAnsi="Times New Roman" w:eastAsia="仿宋" w:cs="Times New Roman"/>
                <w:color w:val="000000"/>
                <w:kern w:val="0"/>
                <w:sz w:val="18"/>
                <w:szCs w:val="18"/>
              </w:rPr>
            </w:pPr>
            <w:r>
              <w:rPr>
                <w:rFonts w:hint="default" w:ascii="Times New Roman" w:hAnsi="Times New Roman" w:eastAsia="仿宋" w:cs="Times New Roman"/>
                <w:color w:val="000000"/>
                <w:kern w:val="0"/>
                <w:sz w:val="18"/>
                <w:szCs w:val="18"/>
              </w:rPr>
              <w:t>5.00</w:t>
            </w:r>
          </w:p>
        </w:tc>
        <w:tc>
          <w:tcPr>
            <w:tcW w:w="776" w:type="dxa"/>
            <w:tcBorders>
              <w:top w:val="nil"/>
              <w:left w:val="nil"/>
              <w:bottom w:val="single" w:color="auto" w:sz="4" w:space="0"/>
              <w:right w:val="single" w:color="auto" w:sz="4" w:space="0"/>
            </w:tcBorders>
            <w:shd w:val="clear" w:color="auto" w:fill="auto"/>
            <w:noWrap/>
            <w:vAlign w:val="center"/>
          </w:tcPr>
          <w:p>
            <w:pPr>
              <w:widowControl/>
              <w:spacing w:line="240" w:lineRule="auto"/>
              <w:jc w:val="left"/>
              <w:rPr>
                <w:rFonts w:hint="default" w:ascii="Times New Roman" w:hAnsi="Times New Roman" w:eastAsia="仿宋" w:cs="Times New Roman"/>
                <w:color w:val="000000"/>
                <w:kern w:val="0"/>
                <w:sz w:val="18"/>
                <w:szCs w:val="18"/>
              </w:rPr>
            </w:pPr>
            <w:r>
              <w:rPr>
                <w:rFonts w:hint="default" w:ascii="Times New Roman" w:hAnsi="Times New Roman" w:eastAsia="仿宋" w:cs="Times New Roman"/>
                <w:color w:val="000000"/>
                <w:kern w:val="0"/>
                <w:sz w:val="18"/>
                <w:szCs w:val="18"/>
              </w:rPr>
              <w:t>　</w:t>
            </w:r>
          </w:p>
        </w:tc>
      </w:tr>
      <w:tr>
        <w:tblPrEx>
          <w:tblCellMar>
            <w:top w:w="0" w:type="dxa"/>
            <w:left w:w="108" w:type="dxa"/>
            <w:bottom w:w="0" w:type="dxa"/>
            <w:right w:w="108" w:type="dxa"/>
          </w:tblCellMar>
        </w:tblPrEx>
        <w:trPr>
          <w:trHeight w:val="289" w:hRule="atLeast"/>
        </w:trPr>
        <w:tc>
          <w:tcPr>
            <w:tcW w:w="609" w:type="dxa"/>
            <w:vMerge w:val="continue"/>
            <w:tcBorders>
              <w:top w:val="nil"/>
              <w:left w:val="single" w:color="auto" w:sz="4" w:space="0"/>
              <w:bottom w:val="single" w:color="000000" w:sz="4" w:space="0"/>
              <w:right w:val="single" w:color="auto" w:sz="4" w:space="0"/>
            </w:tcBorders>
            <w:vAlign w:val="center"/>
          </w:tcPr>
          <w:p>
            <w:pPr>
              <w:widowControl/>
              <w:spacing w:line="240" w:lineRule="auto"/>
              <w:jc w:val="left"/>
              <w:rPr>
                <w:rFonts w:hint="default" w:ascii="Times New Roman" w:hAnsi="Times New Roman" w:eastAsia="仿宋" w:cs="Times New Roman"/>
                <w:b/>
                <w:bCs/>
                <w:color w:val="000000"/>
                <w:kern w:val="0"/>
                <w:sz w:val="18"/>
                <w:szCs w:val="18"/>
              </w:rPr>
            </w:pPr>
          </w:p>
        </w:tc>
        <w:tc>
          <w:tcPr>
            <w:tcW w:w="912" w:type="dxa"/>
            <w:vMerge w:val="continue"/>
            <w:tcBorders>
              <w:top w:val="nil"/>
              <w:left w:val="single" w:color="auto" w:sz="4" w:space="0"/>
              <w:bottom w:val="single" w:color="000000" w:sz="4" w:space="0"/>
              <w:right w:val="single" w:color="auto" w:sz="4" w:space="0"/>
            </w:tcBorders>
            <w:vAlign w:val="center"/>
          </w:tcPr>
          <w:p>
            <w:pPr>
              <w:widowControl/>
              <w:spacing w:line="240" w:lineRule="auto"/>
              <w:jc w:val="left"/>
              <w:rPr>
                <w:rFonts w:hint="default" w:ascii="Times New Roman" w:hAnsi="Times New Roman" w:eastAsia="仿宋" w:cs="Times New Roman"/>
                <w:color w:val="000000"/>
                <w:kern w:val="0"/>
                <w:sz w:val="18"/>
                <w:szCs w:val="18"/>
              </w:rPr>
            </w:pPr>
          </w:p>
        </w:tc>
        <w:tc>
          <w:tcPr>
            <w:tcW w:w="1613"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int="eastAsia" w:ascii="Times New Roman" w:hAnsi="Times New Roman" w:eastAsia="仿宋" w:cs="Times New Roman"/>
                <w:color w:val="000000"/>
                <w:kern w:val="0"/>
                <w:sz w:val="18"/>
                <w:szCs w:val="18"/>
                <w:lang w:eastAsia="zh-CN"/>
              </w:rPr>
            </w:pPr>
            <w:r>
              <w:rPr>
                <w:rFonts w:hint="default" w:ascii="Times New Roman" w:hAnsi="Times New Roman" w:eastAsia="仿宋" w:cs="Times New Roman"/>
                <w:color w:val="000000"/>
                <w:kern w:val="0"/>
                <w:sz w:val="18"/>
                <w:szCs w:val="18"/>
              </w:rPr>
              <w:t>公共服务水平的改善或提高（5分</w:t>
            </w:r>
            <w:r>
              <w:rPr>
                <w:rFonts w:hint="eastAsia" w:ascii="Times New Roman" w:hAnsi="Times New Roman" w:eastAsia="仿宋" w:cs="Times New Roman"/>
                <w:color w:val="000000"/>
                <w:kern w:val="0"/>
                <w:sz w:val="18"/>
                <w:szCs w:val="18"/>
                <w:lang w:eastAsia="zh-CN"/>
              </w:rPr>
              <w:t>）</w:t>
            </w:r>
          </w:p>
        </w:tc>
        <w:tc>
          <w:tcPr>
            <w:tcW w:w="423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int="default" w:ascii="Times New Roman" w:hAnsi="Times New Roman" w:eastAsia="仿宋" w:cs="Times New Roman"/>
                <w:color w:val="000000"/>
                <w:kern w:val="0"/>
                <w:sz w:val="18"/>
                <w:szCs w:val="18"/>
              </w:rPr>
            </w:pPr>
            <w:r>
              <w:rPr>
                <w:rFonts w:hint="default" w:ascii="Times New Roman" w:hAnsi="Times New Roman" w:eastAsia="仿宋" w:cs="Times New Roman"/>
                <w:color w:val="000000"/>
                <w:kern w:val="0"/>
                <w:sz w:val="18"/>
                <w:szCs w:val="18"/>
              </w:rPr>
              <w:t>反映项目对城区内公共服务水平改善或提高情况，评价标准按影响程度分为显著、较显著、一般、不显著四档进行赋分。显著（5分</w:t>
            </w:r>
            <w:r>
              <w:rPr>
                <w:rFonts w:hint="eastAsia" w:ascii="Times New Roman" w:hAnsi="Times New Roman" w:eastAsia="仿宋" w:cs="Times New Roman"/>
                <w:color w:val="000000"/>
                <w:kern w:val="0"/>
                <w:sz w:val="18"/>
                <w:szCs w:val="18"/>
                <w:lang w:eastAsia="zh-CN"/>
              </w:rPr>
              <w:t>）</w:t>
            </w:r>
            <w:r>
              <w:rPr>
                <w:rFonts w:hint="default" w:ascii="Times New Roman" w:hAnsi="Times New Roman" w:eastAsia="仿宋" w:cs="Times New Roman"/>
                <w:color w:val="000000"/>
                <w:kern w:val="0"/>
                <w:sz w:val="18"/>
                <w:szCs w:val="18"/>
              </w:rPr>
              <w:t>、较显著（3分</w:t>
            </w:r>
            <w:r>
              <w:rPr>
                <w:rFonts w:hint="eastAsia" w:ascii="Times New Roman" w:hAnsi="Times New Roman" w:eastAsia="仿宋" w:cs="Times New Roman"/>
                <w:color w:val="000000"/>
                <w:kern w:val="0"/>
                <w:sz w:val="18"/>
                <w:szCs w:val="18"/>
                <w:lang w:eastAsia="zh-CN"/>
              </w:rPr>
              <w:t>）</w:t>
            </w:r>
            <w:r>
              <w:rPr>
                <w:rFonts w:hint="default" w:ascii="Times New Roman" w:hAnsi="Times New Roman" w:eastAsia="仿宋" w:cs="Times New Roman"/>
                <w:color w:val="000000"/>
                <w:kern w:val="0"/>
                <w:sz w:val="18"/>
                <w:szCs w:val="18"/>
              </w:rPr>
              <w:t>、一般（1分</w:t>
            </w:r>
            <w:r>
              <w:rPr>
                <w:rFonts w:hint="eastAsia" w:ascii="Times New Roman" w:hAnsi="Times New Roman" w:eastAsia="仿宋" w:cs="Times New Roman"/>
                <w:color w:val="000000"/>
                <w:kern w:val="0"/>
                <w:sz w:val="18"/>
                <w:szCs w:val="18"/>
                <w:lang w:eastAsia="zh-CN"/>
              </w:rPr>
              <w:t>）</w:t>
            </w:r>
            <w:r>
              <w:rPr>
                <w:rFonts w:hint="default" w:ascii="Times New Roman" w:hAnsi="Times New Roman" w:eastAsia="仿宋" w:cs="Times New Roman"/>
                <w:color w:val="000000"/>
                <w:kern w:val="0"/>
                <w:sz w:val="18"/>
                <w:szCs w:val="18"/>
              </w:rPr>
              <w:t>、不显著（0分</w:t>
            </w:r>
            <w:r>
              <w:rPr>
                <w:rFonts w:hint="eastAsia" w:ascii="Times New Roman" w:hAnsi="Times New Roman" w:eastAsia="仿宋" w:cs="Times New Roman"/>
                <w:color w:val="000000"/>
                <w:kern w:val="0"/>
                <w:sz w:val="18"/>
                <w:szCs w:val="18"/>
                <w:lang w:eastAsia="zh-CN"/>
              </w:rPr>
              <w:t>）</w:t>
            </w:r>
            <w:r>
              <w:rPr>
                <w:rFonts w:hint="default" w:ascii="Times New Roman" w:hAnsi="Times New Roman" w:eastAsia="仿宋" w:cs="Times New Roman"/>
                <w:color w:val="000000"/>
                <w:kern w:val="0"/>
                <w:sz w:val="18"/>
                <w:szCs w:val="18"/>
              </w:rPr>
              <w:t>。</w:t>
            </w:r>
          </w:p>
        </w:tc>
        <w:tc>
          <w:tcPr>
            <w:tcW w:w="709"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int="default" w:ascii="Times New Roman" w:hAnsi="Times New Roman" w:eastAsia="仿宋" w:cs="Times New Roman"/>
                <w:color w:val="000000"/>
                <w:kern w:val="0"/>
                <w:sz w:val="18"/>
                <w:szCs w:val="18"/>
              </w:rPr>
            </w:pPr>
            <w:r>
              <w:rPr>
                <w:rFonts w:hint="default" w:ascii="Times New Roman" w:hAnsi="Times New Roman" w:eastAsia="仿宋" w:cs="Times New Roman"/>
                <w:color w:val="000000"/>
                <w:kern w:val="0"/>
                <w:sz w:val="18"/>
                <w:szCs w:val="18"/>
              </w:rPr>
              <w:t>3.00</w:t>
            </w:r>
          </w:p>
        </w:tc>
        <w:tc>
          <w:tcPr>
            <w:tcW w:w="776" w:type="dxa"/>
            <w:tcBorders>
              <w:top w:val="nil"/>
              <w:left w:val="nil"/>
              <w:bottom w:val="single" w:color="auto" w:sz="4" w:space="0"/>
              <w:right w:val="single" w:color="auto" w:sz="4" w:space="0"/>
            </w:tcBorders>
            <w:shd w:val="clear" w:color="auto" w:fill="auto"/>
            <w:noWrap/>
            <w:vAlign w:val="center"/>
          </w:tcPr>
          <w:p>
            <w:pPr>
              <w:widowControl/>
              <w:spacing w:line="240" w:lineRule="auto"/>
              <w:jc w:val="left"/>
              <w:rPr>
                <w:rFonts w:hint="default" w:ascii="Times New Roman" w:hAnsi="Times New Roman" w:eastAsia="仿宋" w:cs="Times New Roman"/>
                <w:color w:val="000000"/>
                <w:kern w:val="0"/>
                <w:sz w:val="18"/>
                <w:szCs w:val="18"/>
              </w:rPr>
            </w:pPr>
            <w:r>
              <w:rPr>
                <w:rFonts w:hint="default" w:ascii="Times New Roman" w:hAnsi="Times New Roman" w:eastAsia="仿宋" w:cs="Times New Roman"/>
                <w:color w:val="000000"/>
                <w:kern w:val="0"/>
                <w:sz w:val="18"/>
                <w:szCs w:val="18"/>
              </w:rPr>
              <w:t>较显著</w:t>
            </w:r>
          </w:p>
        </w:tc>
      </w:tr>
      <w:tr>
        <w:tblPrEx>
          <w:tblCellMar>
            <w:top w:w="0" w:type="dxa"/>
            <w:left w:w="108" w:type="dxa"/>
            <w:bottom w:w="0" w:type="dxa"/>
            <w:right w:w="108" w:type="dxa"/>
          </w:tblCellMar>
        </w:tblPrEx>
        <w:trPr>
          <w:trHeight w:val="289" w:hRule="atLeast"/>
        </w:trPr>
        <w:tc>
          <w:tcPr>
            <w:tcW w:w="609" w:type="dxa"/>
            <w:vMerge w:val="continue"/>
            <w:tcBorders>
              <w:top w:val="nil"/>
              <w:left w:val="single" w:color="auto" w:sz="4" w:space="0"/>
              <w:bottom w:val="single" w:color="000000" w:sz="4" w:space="0"/>
              <w:right w:val="single" w:color="auto" w:sz="4" w:space="0"/>
            </w:tcBorders>
            <w:vAlign w:val="center"/>
          </w:tcPr>
          <w:p>
            <w:pPr>
              <w:widowControl/>
              <w:spacing w:line="240" w:lineRule="auto"/>
              <w:jc w:val="left"/>
              <w:rPr>
                <w:rFonts w:hint="default" w:ascii="Times New Roman" w:hAnsi="Times New Roman" w:eastAsia="仿宋" w:cs="Times New Roman"/>
                <w:b/>
                <w:bCs/>
                <w:color w:val="000000"/>
                <w:kern w:val="0"/>
                <w:sz w:val="18"/>
                <w:szCs w:val="18"/>
              </w:rPr>
            </w:pPr>
          </w:p>
        </w:tc>
        <w:tc>
          <w:tcPr>
            <w:tcW w:w="91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int="eastAsia" w:ascii="Times New Roman" w:hAnsi="Times New Roman" w:eastAsia="仿宋" w:cs="Times New Roman"/>
                <w:color w:val="000000"/>
                <w:kern w:val="0"/>
                <w:sz w:val="18"/>
                <w:szCs w:val="18"/>
                <w:lang w:eastAsia="zh-CN"/>
              </w:rPr>
            </w:pPr>
            <w:r>
              <w:rPr>
                <w:rFonts w:hint="default" w:ascii="Times New Roman" w:hAnsi="Times New Roman" w:eastAsia="仿宋" w:cs="Times New Roman"/>
                <w:color w:val="000000"/>
                <w:kern w:val="0"/>
                <w:sz w:val="18"/>
                <w:szCs w:val="18"/>
              </w:rPr>
              <w:t>可持续效益（5分</w:t>
            </w:r>
            <w:r>
              <w:rPr>
                <w:rFonts w:hint="eastAsia" w:ascii="Times New Roman" w:hAnsi="Times New Roman" w:eastAsia="仿宋" w:cs="Times New Roman"/>
                <w:color w:val="000000"/>
                <w:kern w:val="0"/>
                <w:sz w:val="18"/>
                <w:szCs w:val="18"/>
                <w:lang w:eastAsia="zh-CN"/>
              </w:rPr>
              <w:t>）</w:t>
            </w:r>
          </w:p>
        </w:tc>
        <w:tc>
          <w:tcPr>
            <w:tcW w:w="1613"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int="eastAsia" w:ascii="Times New Roman" w:hAnsi="Times New Roman" w:eastAsia="仿宋" w:cs="Times New Roman"/>
                <w:color w:val="000000"/>
                <w:kern w:val="0"/>
                <w:sz w:val="18"/>
                <w:szCs w:val="18"/>
                <w:lang w:eastAsia="zh-CN"/>
              </w:rPr>
            </w:pPr>
            <w:r>
              <w:rPr>
                <w:rFonts w:hint="default" w:ascii="Times New Roman" w:hAnsi="Times New Roman" w:eastAsia="仿宋" w:cs="Times New Roman"/>
                <w:color w:val="000000"/>
                <w:kern w:val="0"/>
                <w:sz w:val="18"/>
                <w:szCs w:val="18"/>
              </w:rPr>
              <w:t>管护机制有效性（5分</w:t>
            </w:r>
            <w:r>
              <w:rPr>
                <w:rFonts w:hint="eastAsia" w:ascii="Times New Roman" w:hAnsi="Times New Roman" w:eastAsia="仿宋" w:cs="Times New Roman"/>
                <w:color w:val="000000"/>
                <w:kern w:val="0"/>
                <w:sz w:val="18"/>
                <w:szCs w:val="18"/>
                <w:lang w:eastAsia="zh-CN"/>
              </w:rPr>
              <w:t>）</w:t>
            </w:r>
          </w:p>
        </w:tc>
        <w:tc>
          <w:tcPr>
            <w:tcW w:w="423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int="default" w:ascii="Times New Roman" w:hAnsi="Times New Roman" w:eastAsia="仿宋" w:cs="Times New Roman"/>
                <w:color w:val="000000"/>
                <w:kern w:val="0"/>
                <w:sz w:val="18"/>
                <w:szCs w:val="18"/>
              </w:rPr>
            </w:pPr>
            <w:r>
              <w:rPr>
                <w:rFonts w:hint="default" w:ascii="Times New Roman" w:hAnsi="Times New Roman" w:eastAsia="仿宋" w:cs="Times New Roman"/>
                <w:color w:val="000000"/>
                <w:kern w:val="0"/>
                <w:sz w:val="18"/>
                <w:szCs w:val="18"/>
              </w:rPr>
              <w:t>1.项目的运行管理机构的设置、人力资源、技术能否满足项目持续运行的需要；2.保证项目运行的政策、制度能否得到持续实施；3.项目产出能够得到持续的提供、维护和利用；4.项目财务是否可持续。一项不符合扣1.25分。</w:t>
            </w:r>
          </w:p>
        </w:tc>
        <w:tc>
          <w:tcPr>
            <w:tcW w:w="709"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int="default" w:ascii="Times New Roman" w:hAnsi="Times New Roman" w:eastAsia="仿宋" w:cs="Times New Roman"/>
                <w:color w:val="000000"/>
                <w:kern w:val="0"/>
                <w:sz w:val="18"/>
                <w:szCs w:val="18"/>
              </w:rPr>
            </w:pPr>
            <w:r>
              <w:rPr>
                <w:rFonts w:hint="default" w:ascii="Times New Roman" w:hAnsi="Times New Roman" w:eastAsia="仿宋" w:cs="Times New Roman"/>
                <w:color w:val="000000"/>
                <w:kern w:val="0"/>
                <w:sz w:val="18"/>
                <w:szCs w:val="18"/>
              </w:rPr>
              <w:t>3.75</w:t>
            </w:r>
          </w:p>
        </w:tc>
        <w:tc>
          <w:tcPr>
            <w:tcW w:w="776" w:type="dxa"/>
            <w:tcBorders>
              <w:top w:val="nil"/>
              <w:left w:val="nil"/>
              <w:bottom w:val="single" w:color="auto" w:sz="4" w:space="0"/>
              <w:right w:val="single" w:color="auto" w:sz="4" w:space="0"/>
            </w:tcBorders>
            <w:shd w:val="clear" w:color="auto" w:fill="auto"/>
            <w:noWrap/>
            <w:vAlign w:val="center"/>
          </w:tcPr>
          <w:p>
            <w:pPr>
              <w:widowControl/>
              <w:spacing w:line="240" w:lineRule="auto"/>
              <w:jc w:val="left"/>
              <w:rPr>
                <w:rFonts w:hint="default" w:ascii="Times New Roman" w:hAnsi="Times New Roman" w:eastAsia="仿宋" w:cs="Times New Roman"/>
                <w:color w:val="000000"/>
                <w:kern w:val="0"/>
                <w:sz w:val="18"/>
                <w:szCs w:val="18"/>
              </w:rPr>
            </w:pPr>
            <w:r>
              <w:rPr>
                <w:rFonts w:hint="default" w:ascii="Times New Roman" w:hAnsi="Times New Roman" w:eastAsia="仿宋" w:cs="Times New Roman"/>
                <w:color w:val="000000"/>
                <w:kern w:val="0"/>
                <w:sz w:val="18"/>
                <w:szCs w:val="18"/>
              </w:rPr>
              <w:t>项目管护效果有待提升</w:t>
            </w:r>
          </w:p>
        </w:tc>
      </w:tr>
      <w:tr>
        <w:tblPrEx>
          <w:tblCellMar>
            <w:top w:w="0" w:type="dxa"/>
            <w:left w:w="108" w:type="dxa"/>
            <w:bottom w:w="0" w:type="dxa"/>
            <w:right w:w="108" w:type="dxa"/>
          </w:tblCellMar>
        </w:tblPrEx>
        <w:trPr>
          <w:trHeight w:val="289" w:hRule="atLeast"/>
        </w:trPr>
        <w:tc>
          <w:tcPr>
            <w:tcW w:w="609" w:type="dxa"/>
            <w:vMerge w:val="continue"/>
            <w:tcBorders>
              <w:top w:val="nil"/>
              <w:left w:val="single" w:color="auto" w:sz="4" w:space="0"/>
              <w:bottom w:val="single" w:color="000000" w:sz="4" w:space="0"/>
              <w:right w:val="single" w:color="auto" w:sz="4" w:space="0"/>
            </w:tcBorders>
            <w:vAlign w:val="center"/>
          </w:tcPr>
          <w:p>
            <w:pPr>
              <w:widowControl/>
              <w:spacing w:line="240" w:lineRule="auto"/>
              <w:jc w:val="left"/>
              <w:rPr>
                <w:rFonts w:hint="default" w:ascii="Times New Roman" w:hAnsi="Times New Roman" w:eastAsia="仿宋" w:cs="Times New Roman"/>
                <w:b/>
                <w:bCs/>
                <w:color w:val="000000"/>
                <w:kern w:val="0"/>
                <w:sz w:val="18"/>
                <w:szCs w:val="18"/>
              </w:rPr>
            </w:pPr>
          </w:p>
        </w:tc>
        <w:tc>
          <w:tcPr>
            <w:tcW w:w="91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int="eastAsia" w:ascii="Times New Roman" w:hAnsi="Times New Roman" w:eastAsia="仿宋" w:cs="Times New Roman"/>
                <w:color w:val="000000"/>
                <w:kern w:val="0"/>
                <w:sz w:val="18"/>
                <w:szCs w:val="18"/>
                <w:lang w:eastAsia="zh-CN"/>
              </w:rPr>
            </w:pPr>
            <w:r>
              <w:rPr>
                <w:rFonts w:hint="default" w:ascii="Times New Roman" w:hAnsi="Times New Roman" w:eastAsia="仿宋" w:cs="Times New Roman"/>
                <w:color w:val="000000"/>
                <w:kern w:val="0"/>
                <w:sz w:val="18"/>
                <w:szCs w:val="18"/>
              </w:rPr>
              <w:t>满意度（5分</w:t>
            </w:r>
            <w:r>
              <w:rPr>
                <w:rFonts w:hint="eastAsia" w:ascii="Times New Roman" w:hAnsi="Times New Roman" w:eastAsia="仿宋" w:cs="Times New Roman"/>
                <w:color w:val="000000"/>
                <w:kern w:val="0"/>
                <w:sz w:val="18"/>
                <w:szCs w:val="18"/>
                <w:lang w:eastAsia="zh-CN"/>
              </w:rPr>
              <w:t>）</w:t>
            </w:r>
          </w:p>
        </w:tc>
        <w:tc>
          <w:tcPr>
            <w:tcW w:w="1613"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int="eastAsia" w:ascii="Times New Roman" w:hAnsi="Times New Roman" w:eastAsia="仿宋" w:cs="Times New Roman"/>
                <w:color w:val="000000"/>
                <w:kern w:val="0"/>
                <w:sz w:val="18"/>
                <w:szCs w:val="18"/>
                <w:lang w:eastAsia="zh-CN"/>
              </w:rPr>
            </w:pPr>
            <w:r>
              <w:rPr>
                <w:rFonts w:hint="default" w:ascii="Times New Roman" w:hAnsi="Times New Roman" w:eastAsia="仿宋" w:cs="Times New Roman"/>
                <w:color w:val="000000"/>
                <w:kern w:val="0"/>
                <w:sz w:val="18"/>
                <w:szCs w:val="18"/>
              </w:rPr>
              <w:t>受益群众满意度（5分</w:t>
            </w:r>
            <w:r>
              <w:rPr>
                <w:rFonts w:hint="eastAsia" w:ascii="Times New Roman" w:hAnsi="Times New Roman" w:eastAsia="仿宋" w:cs="Times New Roman"/>
                <w:color w:val="000000"/>
                <w:kern w:val="0"/>
                <w:sz w:val="18"/>
                <w:szCs w:val="18"/>
                <w:lang w:eastAsia="zh-CN"/>
              </w:rPr>
              <w:t>）</w:t>
            </w:r>
          </w:p>
        </w:tc>
        <w:tc>
          <w:tcPr>
            <w:tcW w:w="423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int="default" w:ascii="Times New Roman" w:hAnsi="Times New Roman" w:eastAsia="仿宋" w:cs="Times New Roman"/>
                <w:color w:val="000000"/>
                <w:kern w:val="0"/>
                <w:sz w:val="18"/>
                <w:szCs w:val="18"/>
              </w:rPr>
            </w:pPr>
            <w:r>
              <w:rPr>
                <w:rFonts w:hint="default" w:ascii="Times New Roman" w:hAnsi="Times New Roman" w:eastAsia="仿宋" w:cs="Times New Roman"/>
                <w:color w:val="000000"/>
                <w:kern w:val="0"/>
                <w:sz w:val="18"/>
                <w:szCs w:val="18"/>
              </w:rPr>
              <w:t>（对专项工作满意群众数/调查群众数</w:t>
            </w:r>
            <w:r>
              <w:rPr>
                <w:rFonts w:hint="eastAsia" w:ascii="Times New Roman" w:hAnsi="Times New Roman" w:eastAsia="仿宋" w:cs="Times New Roman"/>
                <w:color w:val="000000"/>
                <w:kern w:val="0"/>
                <w:sz w:val="18"/>
                <w:szCs w:val="18"/>
                <w:lang w:eastAsia="zh-CN"/>
              </w:rPr>
              <w:t>）</w:t>
            </w:r>
            <w:r>
              <w:rPr>
                <w:rFonts w:hint="default" w:ascii="Times New Roman" w:hAnsi="Times New Roman" w:eastAsia="仿宋" w:cs="Times New Roman"/>
                <w:color w:val="000000"/>
                <w:kern w:val="0"/>
                <w:sz w:val="18"/>
                <w:szCs w:val="18"/>
              </w:rPr>
              <w:t>*100%*满分。</w:t>
            </w:r>
          </w:p>
        </w:tc>
        <w:tc>
          <w:tcPr>
            <w:tcW w:w="709"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int="default" w:ascii="Times New Roman" w:hAnsi="Times New Roman" w:eastAsia="仿宋" w:cs="Times New Roman"/>
                <w:color w:val="000000"/>
                <w:kern w:val="0"/>
                <w:sz w:val="18"/>
                <w:szCs w:val="18"/>
              </w:rPr>
            </w:pPr>
            <w:r>
              <w:rPr>
                <w:rFonts w:hint="default" w:ascii="Times New Roman" w:hAnsi="Times New Roman" w:eastAsia="仿宋" w:cs="Times New Roman"/>
                <w:color w:val="000000"/>
                <w:kern w:val="0"/>
                <w:sz w:val="18"/>
                <w:szCs w:val="18"/>
              </w:rPr>
              <w:t>4.50</w:t>
            </w:r>
          </w:p>
        </w:tc>
        <w:tc>
          <w:tcPr>
            <w:tcW w:w="776"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hint="default" w:ascii="Times New Roman" w:hAnsi="Times New Roman" w:eastAsia="仿宋" w:cs="Times New Roman"/>
                <w:color w:val="000000"/>
                <w:kern w:val="0"/>
                <w:sz w:val="18"/>
                <w:szCs w:val="18"/>
              </w:rPr>
            </w:pPr>
            <w:r>
              <w:rPr>
                <w:rFonts w:hint="default" w:ascii="Times New Roman" w:hAnsi="Times New Roman" w:eastAsia="仿宋" w:cs="Times New Roman"/>
                <w:color w:val="000000"/>
                <w:kern w:val="0"/>
                <w:sz w:val="18"/>
                <w:szCs w:val="18"/>
              </w:rPr>
              <w:t>90%</w:t>
            </w:r>
          </w:p>
        </w:tc>
      </w:tr>
      <w:tr>
        <w:tblPrEx>
          <w:tblCellMar>
            <w:top w:w="0" w:type="dxa"/>
            <w:left w:w="108" w:type="dxa"/>
            <w:bottom w:w="0" w:type="dxa"/>
            <w:right w:w="108" w:type="dxa"/>
          </w:tblCellMar>
        </w:tblPrEx>
        <w:trPr>
          <w:trHeight w:val="289" w:hRule="atLeast"/>
        </w:trPr>
        <w:tc>
          <w:tcPr>
            <w:tcW w:w="7366"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hint="default" w:ascii="Times New Roman" w:hAnsi="Times New Roman" w:eastAsia="仿宋" w:cs="Times New Roman"/>
                <w:color w:val="000000" w:themeColor="text1"/>
                <w:kern w:val="0"/>
                <w:sz w:val="18"/>
                <w:szCs w:val="18"/>
                <w14:textFill>
                  <w14:solidFill>
                    <w14:schemeClr w14:val="tx1"/>
                  </w14:solidFill>
                </w14:textFill>
              </w:rPr>
            </w:pPr>
            <w:r>
              <w:rPr>
                <w:rFonts w:hint="default" w:ascii="Times New Roman" w:hAnsi="Times New Roman" w:eastAsia="仿宋" w:cs="Times New Roman"/>
                <w:color w:val="000000" w:themeColor="text1"/>
                <w:kern w:val="0"/>
                <w:sz w:val="18"/>
                <w:szCs w:val="18"/>
                <w14:textFill>
                  <w14:solidFill>
                    <w14:schemeClr w14:val="tx1"/>
                  </w14:solidFill>
                </w14:textFill>
              </w:rPr>
              <w:t>总分</w:t>
            </w:r>
          </w:p>
        </w:tc>
        <w:tc>
          <w:tcPr>
            <w:tcW w:w="709"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int="default" w:ascii="Times New Roman" w:hAnsi="Times New Roman" w:eastAsia="仿宋" w:cs="Times New Roman"/>
                <w:color w:val="000000" w:themeColor="text1"/>
                <w:kern w:val="0"/>
                <w:sz w:val="18"/>
                <w:szCs w:val="18"/>
                <w:lang w:val="en-US" w:eastAsia="zh-CN"/>
                <w14:textFill>
                  <w14:solidFill>
                    <w14:schemeClr w14:val="tx1"/>
                  </w14:solidFill>
                </w14:textFill>
              </w:rPr>
            </w:pPr>
            <w:r>
              <w:rPr>
                <w:rFonts w:hint="eastAsia" w:ascii="Times New Roman" w:hAnsi="Times New Roman" w:eastAsia="仿宋" w:cs="Times New Roman"/>
                <w:color w:val="000000" w:themeColor="text1"/>
                <w:kern w:val="0"/>
                <w:sz w:val="18"/>
                <w:szCs w:val="18"/>
                <w:lang w:val="en-US" w:eastAsia="zh-CN"/>
                <w14:textFill>
                  <w14:solidFill>
                    <w14:schemeClr w14:val="tx1"/>
                  </w14:solidFill>
                </w14:textFill>
              </w:rPr>
              <w:t>83.75</w:t>
            </w:r>
          </w:p>
        </w:tc>
        <w:tc>
          <w:tcPr>
            <w:tcW w:w="776" w:type="dxa"/>
            <w:tcBorders>
              <w:top w:val="nil"/>
              <w:left w:val="nil"/>
              <w:bottom w:val="single" w:color="auto" w:sz="4" w:space="0"/>
              <w:right w:val="single" w:color="auto" w:sz="4" w:space="0"/>
            </w:tcBorders>
            <w:shd w:val="clear" w:color="auto" w:fill="auto"/>
            <w:noWrap/>
            <w:vAlign w:val="center"/>
          </w:tcPr>
          <w:p>
            <w:pPr>
              <w:widowControl/>
              <w:spacing w:line="240" w:lineRule="auto"/>
              <w:jc w:val="left"/>
              <w:rPr>
                <w:rFonts w:hint="default" w:ascii="Times New Roman" w:hAnsi="Times New Roman" w:eastAsia="仿宋" w:cs="Times New Roman"/>
                <w:color w:val="C00000"/>
                <w:kern w:val="0"/>
                <w:sz w:val="18"/>
                <w:szCs w:val="18"/>
              </w:rPr>
            </w:pPr>
            <w:r>
              <w:rPr>
                <w:rFonts w:hint="default" w:ascii="Times New Roman" w:hAnsi="Times New Roman" w:eastAsia="仿宋" w:cs="Times New Roman"/>
                <w:color w:val="C00000"/>
                <w:kern w:val="0"/>
                <w:sz w:val="18"/>
                <w:szCs w:val="18"/>
              </w:rPr>
              <w:t>　</w:t>
            </w:r>
          </w:p>
        </w:tc>
      </w:tr>
    </w:tbl>
    <w:p>
      <w:pPr>
        <w:tabs>
          <w:tab w:val="left" w:pos="3148"/>
        </w:tabs>
        <w:spacing w:line="240" w:lineRule="auto"/>
        <w:rPr>
          <w:rFonts w:hint="eastAsia" w:ascii="Times New Roman" w:hAnsi="Times New Roman" w:eastAsia="仿宋" w:cs="Times New Roman"/>
          <w:vanish/>
          <w:color w:val="C00000"/>
          <w:sz w:val="28"/>
          <w:lang w:eastAsia="zh-CN"/>
        </w:rPr>
      </w:pPr>
    </w:p>
    <w:sectPr>
      <w:footerReference r:id="rId7"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光楷体一_CNKI">
    <w:altName w:val="宋体"/>
    <w:panose1 w:val="02000500000000000000"/>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53407996"/>
    </w:sdtPr>
    <w:sdtContent>
      <w:p>
        <w:pPr>
          <w:pStyle w:val="6"/>
          <w:jc w:val="center"/>
        </w:pPr>
        <w:r>
          <w:fldChar w:fldCharType="begin"/>
        </w:r>
        <w:r>
          <w:instrText xml:space="preserve">PAGE   \* MERGEFORMAT</w:instrText>
        </w:r>
        <w:r>
          <w:fldChar w:fldCharType="separate"/>
        </w:r>
        <w:r>
          <w:rPr>
            <w:rFonts w:ascii="Times New Roman" w:hAnsi="Times New Roman"/>
            <w:lang w:val="zh-CN"/>
          </w:rPr>
          <w:t>2</w:t>
        </w:r>
        <w:r>
          <w:fldChar w:fldCharType="end"/>
        </w:r>
      </w:p>
    </w:sdtContent>
  </w:sdt>
  <w:p>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BBC67D"/>
    <w:multiLevelType w:val="singleLevel"/>
    <w:tmpl w:val="37BBC67D"/>
    <w:lvl w:ilvl="0" w:tentative="0">
      <w:start w:val="4"/>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VjODkyZGY2MWQyNmFlMTZkNWUxNGU2ODVkMDQ0OTQifQ=="/>
  </w:docVars>
  <w:rsids>
    <w:rsidRoot w:val="00AD0053"/>
    <w:rsid w:val="00036EC3"/>
    <w:rsid w:val="000504BE"/>
    <w:rsid w:val="00067D14"/>
    <w:rsid w:val="00085F1E"/>
    <w:rsid w:val="000B48D0"/>
    <w:rsid w:val="000D6CD0"/>
    <w:rsid w:val="000E33E8"/>
    <w:rsid w:val="000F2FF5"/>
    <w:rsid w:val="000F68AA"/>
    <w:rsid w:val="00107992"/>
    <w:rsid w:val="00111A61"/>
    <w:rsid w:val="00131628"/>
    <w:rsid w:val="00144888"/>
    <w:rsid w:val="00146DF9"/>
    <w:rsid w:val="001746DE"/>
    <w:rsid w:val="001857CD"/>
    <w:rsid w:val="001A6C0E"/>
    <w:rsid w:val="001B28BE"/>
    <w:rsid w:val="00222A37"/>
    <w:rsid w:val="00245399"/>
    <w:rsid w:val="0024597C"/>
    <w:rsid w:val="00251847"/>
    <w:rsid w:val="0026274F"/>
    <w:rsid w:val="002A0458"/>
    <w:rsid w:val="002A5203"/>
    <w:rsid w:val="002E1B56"/>
    <w:rsid w:val="00302B13"/>
    <w:rsid w:val="00333599"/>
    <w:rsid w:val="00365C96"/>
    <w:rsid w:val="003C1F4A"/>
    <w:rsid w:val="004073C9"/>
    <w:rsid w:val="004226E2"/>
    <w:rsid w:val="004304B5"/>
    <w:rsid w:val="00435C40"/>
    <w:rsid w:val="00437910"/>
    <w:rsid w:val="00442A9D"/>
    <w:rsid w:val="00453543"/>
    <w:rsid w:val="00456368"/>
    <w:rsid w:val="0047462A"/>
    <w:rsid w:val="0048390F"/>
    <w:rsid w:val="004853EE"/>
    <w:rsid w:val="004A5842"/>
    <w:rsid w:val="004F342D"/>
    <w:rsid w:val="00501F45"/>
    <w:rsid w:val="00513EF1"/>
    <w:rsid w:val="00521484"/>
    <w:rsid w:val="00526EB9"/>
    <w:rsid w:val="00531186"/>
    <w:rsid w:val="00531A69"/>
    <w:rsid w:val="005610FC"/>
    <w:rsid w:val="00563529"/>
    <w:rsid w:val="0057045B"/>
    <w:rsid w:val="00570DE8"/>
    <w:rsid w:val="00571632"/>
    <w:rsid w:val="00574CC8"/>
    <w:rsid w:val="005D2FA8"/>
    <w:rsid w:val="00604346"/>
    <w:rsid w:val="00607FE8"/>
    <w:rsid w:val="0062313B"/>
    <w:rsid w:val="00624385"/>
    <w:rsid w:val="00624F76"/>
    <w:rsid w:val="006352C2"/>
    <w:rsid w:val="00665C8E"/>
    <w:rsid w:val="006672E4"/>
    <w:rsid w:val="006865C3"/>
    <w:rsid w:val="006911F9"/>
    <w:rsid w:val="00694555"/>
    <w:rsid w:val="00694794"/>
    <w:rsid w:val="00695987"/>
    <w:rsid w:val="006D073A"/>
    <w:rsid w:val="006F0A3D"/>
    <w:rsid w:val="006F3493"/>
    <w:rsid w:val="00707DA0"/>
    <w:rsid w:val="00711382"/>
    <w:rsid w:val="00712F0F"/>
    <w:rsid w:val="0073290E"/>
    <w:rsid w:val="00767BC1"/>
    <w:rsid w:val="0078143C"/>
    <w:rsid w:val="00796ED3"/>
    <w:rsid w:val="00796F8B"/>
    <w:rsid w:val="007A016E"/>
    <w:rsid w:val="007C092F"/>
    <w:rsid w:val="007D1DE2"/>
    <w:rsid w:val="00806AB2"/>
    <w:rsid w:val="00827655"/>
    <w:rsid w:val="00833A1C"/>
    <w:rsid w:val="00853313"/>
    <w:rsid w:val="00866C9E"/>
    <w:rsid w:val="008679E5"/>
    <w:rsid w:val="008B37DA"/>
    <w:rsid w:val="008C22A3"/>
    <w:rsid w:val="008D5F31"/>
    <w:rsid w:val="009109F1"/>
    <w:rsid w:val="0092599C"/>
    <w:rsid w:val="009374A0"/>
    <w:rsid w:val="00952554"/>
    <w:rsid w:val="00963854"/>
    <w:rsid w:val="00981A98"/>
    <w:rsid w:val="00984234"/>
    <w:rsid w:val="0098424C"/>
    <w:rsid w:val="00992679"/>
    <w:rsid w:val="009958A3"/>
    <w:rsid w:val="009B00A6"/>
    <w:rsid w:val="009B1FF5"/>
    <w:rsid w:val="009C03E8"/>
    <w:rsid w:val="009E0BB4"/>
    <w:rsid w:val="00A12278"/>
    <w:rsid w:val="00A26789"/>
    <w:rsid w:val="00A35226"/>
    <w:rsid w:val="00A37F80"/>
    <w:rsid w:val="00A46171"/>
    <w:rsid w:val="00A62741"/>
    <w:rsid w:val="00A66A9B"/>
    <w:rsid w:val="00A760D3"/>
    <w:rsid w:val="00A84D18"/>
    <w:rsid w:val="00AB68EE"/>
    <w:rsid w:val="00AB78F7"/>
    <w:rsid w:val="00AC5C38"/>
    <w:rsid w:val="00AD0053"/>
    <w:rsid w:val="00AD4C05"/>
    <w:rsid w:val="00AD7841"/>
    <w:rsid w:val="00B60328"/>
    <w:rsid w:val="00B71FB2"/>
    <w:rsid w:val="00B764B0"/>
    <w:rsid w:val="00BA25B6"/>
    <w:rsid w:val="00BB0CA2"/>
    <w:rsid w:val="00BB21E8"/>
    <w:rsid w:val="00BC4ECB"/>
    <w:rsid w:val="00BD4E86"/>
    <w:rsid w:val="00C53EBB"/>
    <w:rsid w:val="00C75A19"/>
    <w:rsid w:val="00C77A3B"/>
    <w:rsid w:val="00C869AF"/>
    <w:rsid w:val="00C94598"/>
    <w:rsid w:val="00CE75B9"/>
    <w:rsid w:val="00D43D76"/>
    <w:rsid w:val="00D4495C"/>
    <w:rsid w:val="00D45E1B"/>
    <w:rsid w:val="00D54322"/>
    <w:rsid w:val="00D577F9"/>
    <w:rsid w:val="00D60706"/>
    <w:rsid w:val="00D73544"/>
    <w:rsid w:val="00D8202F"/>
    <w:rsid w:val="00DC1913"/>
    <w:rsid w:val="00DD4429"/>
    <w:rsid w:val="00DD7B09"/>
    <w:rsid w:val="00DE77C9"/>
    <w:rsid w:val="00DF3A05"/>
    <w:rsid w:val="00E27195"/>
    <w:rsid w:val="00E30263"/>
    <w:rsid w:val="00E34D6C"/>
    <w:rsid w:val="00E67321"/>
    <w:rsid w:val="00E94534"/>
    <w:rsid w:val="00EA4A0C"/>
    <w:rsid w:val="00EB2CE3"/>
    <w:rsid w:val="00EE0DEE"/>
    <w:rsid w:val="00EE2BE4"/>
    <w:rsid w:val="00EE6398"/>
    <w:rsid w:val="00EF7089"/>
    <w:rsid w:val="00F11387"/>
    <w:rsid w:val="00F15C75"/>
    <w:rsid w:val="00F317F5"/>
    <w:rsid w:val="00F61466"/>
    <w:rsid w:val="00F93DEA"/>
    <w:rsid w:val="00FA5909"/>
    <w:rsid w:val="00FB0739"/>
    <w:rsid w:val="00FD2D3B"/>
    <w:rsid w:val="012D66CB"/>
    <w:rsid w:val="016646EA"/>
    <w:rsid w:val="03E753F8"/>
    <w:rsid w:val="060E548E"/>
    <w:rsid w:val="06563FCE"/>
    <w:rsid w:val="066F0D8B"/>
    <w:rsid w:val="08420CAE"/>
    <w:rsid w:val="090D306A"/>
    <w:rsid w:val="09821F29"/>
    <w:rsid w:val="0B0C7351"/>
    <w:rsid w:val="0B7D745C"/>
    <w:rsid w:val="0BBC2B25"/>
    <w:rsid w:val="0D4622F1"/>
    <w:rsid w:val="0DF2282E"/>
    <w:rsid w:val="0F3B7B70"/>
    <w:rsid w:val="109E3435"/>
    <w:rsid w:val="10B573BA"/>
    <w:rsid w:val="11503021"/>
    <w:rsid w:val="11C31981"/>
    <w:rsid w:val="121D602C"/>
    <w:rsid w:val="141A488D"/>
    <w:rsid w:val="143C4803"/>
    <w:rsid w:val="14B97B96"/>
    <w:rsid w:val="150317C5"/>
    <w:rsid w:val="15930779"/>
    <w:rsid w:val="165E6FA4"/>
    <w:rsid w:val="16CC55AB"/>
    <w:rsid w:val="16E949A3"/>
    <w:rsid w:val="17FE0021"/>
    <w:rsid w:val="186646C7"/>
    <w:rsid w:val="194979E2"/>
    <w:rsid w:val="19A40389"/>
    <w:rsid w:val="19E716B5"/>
    <w:rsid w:val="1A58610F"/>
    <w:rsid w:val="1A8D3BBB"/>
    <w:rsid w:val="1AF8344E"/>
    <w:rsid w:val="1B0342CC"/>
    <w:rsid w:val="1BCF0086"/>
    <w:rsid w:val="1CC9529A"/>
    <w:rsid w:val="1D385D84"/>
    <w:rsid w:val="1F6D2587"/>
    <w:rsid w:val="1F724C78"/>
    <w:rsid w:val="20126D60"/>
    <w:rsid w:val="20AD3FFF"/>
    <w:rsid w:val="21EE1107"/>
    <w:rsid w:val="221E19EC"/>
    <w:rsid w:val="222F59A7"/>
    <w:rsid w:val="22741C4A"/>
    <w:rsid w:val="229254B9"/>
    <w:rsid w:val="22EA049D"/>
    <w:rsid w:val="23467F6F"/>
    <w:rsid w:val="241E2177"/>
    <w:rsid w:val="24FB6014"/>
    <w:rsid w:val="25474EFA"/>
    <w:rsid w:val="27580C09"/>
    <w:rsid w:val="29A749BD"/>
    <w:rsid w:val="2A197236"/>
    <w:rsid w:val="2A530089"/>
    <w:rsid w:val="2A8F1762"/>
    <w:rsid w:val="2B675630"/>
    <w:rsid w:val="2BD56553"/>
    <w:rsid w:val="2C957838"/>
    <w:rsid w:val="2DBA168B"/>
    <w:rsid w:val="2DBD655D"/>
    <w:rsid w:val="2E027B47"/>
    <w:rsid w:val="2E134AD8"/>
    <w:rsid w:val="2F0A58AD"/>
    <w:rsid w:val="2F1C4AB1"/>
    <w:rsid w:val="302979C1"/>
    <w:rsid w:val="30A42C4E"/>
    <w:rsid w:val="318F0ECE"/>
    <w:rsid w:val="32D4291E"/>
    <w:rsid w:val="341205E5"/>
    <w:rsid w:val="35D54660"/>
    <w:rsid w:val="35F2623D"/>
    <w:rsid w:val="369630F2"/>
    <w:rsid w:val="384B0D26"/>
    <w:rsid w:val="38826D6B"/>
    <w:rsid w:val="39B0341A"/>
    <w:rsid w:val="39CD3FCC"/>
    <w:rsid w:val="3BFF5F92"/>
    <w:rsid w:val="3C6D3AC3"/>
    <w:rsid w:val="3D927662"/>
    <w:rsid w:val="3E246851"/>
    <w:rsid w:val="3F1334EB"/>
    <w:rsid w:val="40EF2A79"/>
    <w:rsid w:val="432F24DE"/>
    <w:rsid w:val="43F22F06"/>
    <w:rsid w:val="44914F3B"/>
    <w:rsid w:val="47D45B23"/>
    <w:rsid w:val="48E8196A"/>
    <w:rsid w:val="49373EFA"/>
    <w:rsid w:val="493C198D"/>
    <w:rsid w:val="494055D5"/>
    <w:rsid w:val="4A221FC8"/>
    <w:rsid w:val="4A27131C"/>
    <w:rsid w:val="4A873D23"/>
    <w:rsid w:val="4AD40031"/>
    <w:rsid w:val="4BA6642B"/>
    <w:rsid w:val="4BC80BB3"/>
    <w:rsid w:val="4C6B2775"/>
    <w:rsid w:val="4CAA68F2"/>
    <w:rsid w:val="4D8219D6"/>
    <w:rsid w:val="4DEB281B"/>
    <w:rsid w:val="4E643CA3"/>
    <w:rsid w:val="51695F30"/>
    <w:rsid w:val="517337E3"/>
    <w:rsid w:val="520D7203"/>
    <w:rsid w:val="536846E4"/>
    <w:rsid w:val="5481241E"/>
    <w:rsid w:val="558407FA"/>
    <w:rsid w:val="57245B40"/>
    <w:rsid w:val="57AD1ACD"/>
    <w:rsid w:val="59424271"/>
    <w:rsid w:val="5AF64AD0"/>
    <w:rsid w:val="5B5C08B4"/>
    <w:rsid w:val="5BDF1238"/>
    <w:rsid w:val="5CAA5B89"/>
    <w:rsid w:val="5CC76201"/>
    <w:rsid w:val="5CEC5C67"/>
    <w:rsid w:val="5D4B44AF"/>
    <w:rsid w:val="5D5061F6"/>
    <w:rsid w:val="607C557C"/>
    <w:rsid w:val="60C211B9"/>
    <w:rsid w:val="60EA52A3"/>
    <w:rsid w:val="616B35FF"/>
    <w:rsid w:val="624C6651"/>
    <w:rsid w:val="629149FC"/>
    <w:rsid w:val="62B15989"/>
    <w:rsid w:val="62B611F1"/>
    <w:rsid w:val="62F35FA1"/>
    <w:rsid w:val="63573A25"/>
    <w:rsid w:val="64A532CB"/>
    <w:rsid w:val="64C80D68"/>
    <w:rsid w:val="64F102BF"/>
    <w:rsid w:val="663515B7"/>
    <w:rsid w:val="66805DB2"/>
    <w:rsid w:val="672134B3"/>
    <w:rsid w:val="682810BA"/>
    <w:rsid w:val="689412D1"/>
    <w:rsid w:val="68E65C61"/>
    <w:rsid w:val="694766FF"/>
    <w:rsid w:val="6A020035"/>
    <w:rsid w:val="6AAB7162"/>
    <w:rsid w:val="6AFE3056"/>
    <w:rsid w:val="6CB05D30"/>
    <w:rsid w:val="6DC24EEE"/>
    <w:rsid w:val="6EDC401A"/>
    <w:rsid w:val="6FF1617F"/>
    <w:rsid w:val="70A751E2"/>
    <w:rsid w:val="71BE59CD"/>
    <w:rsid w:val="7273724E"/>
    <w:rsid w:val="72D059B7"/>
    <w:rsid w:val="74A23383"/>
    <w:rsid w:val="74E514C2"/>
    <w:rsid w:val="750B356A"/>
    <w:rsid w:val="76C0074B"/>
    <w:rsid w:val="76D377C3"/>
    <w:rsid w:val="76EE58B6"/>
    <w:rsid w:val="77510E4D"/>
    <w:rsid w:val="779B6429"/>
    <w:rsid w:val="7889310D"/>
    <w:rsid w:val="79DB4678"/>
    <w:rsid w:val="7A824BA2"/>
    <w:rsid w:val="7AB006D4"/>
    <w:rsid w:val="7B62247C"/>
    <w:rsid w:val="7C937471"/>
    <w:rsid w:val="7CBB3234"/>
    <w:rsid w:val="7DB202E9"/>
    <w:rsid w:val="7F1E143F"/>
    <w:rsid w:val="7F2F75B4"/>
    <w:rsid w:val="7F581804"/>
    <w:rsid w:val="7FD308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eastAsia="宋体" w:asciiTheme="minorHAnsi" w:hAnsiTheme="minorHAnsi" w:cstheme="minorBidi"/>
      <w:kern w:val="2"/>
      <w:sz w:val="28"/>
      <w:szCs w:val="24"/>
      <w:lang w:val="en-US" w:eastAsia="zh-CN" w:bidi="ar-SA"/>
    </w:rPr>
  </w:style>
  <w:style w:type="paragraph" w:styleId="3">
    <w:name w:val="heading 1"/>
    <w:basedOn w:val="1"/>
    <w:next w:val="1"/>
    <w:link w:val="21"/>
    <w:autoRedefine/>
    <w:qFormat/>
    <w:uiPriority w:val="9"/>
    <w:pPr>
      <w:keepNext/>
      <w:keepLines/>
      <w:spacing w:before="340" w:after="330" w:line="578" w:lineRule="auto"/>
      <w:outlineLvl w:val="0"/>
    </w:pPr>
    <w:rPr>
      <w:b/>
      <w:bCs/>
      <w:kern w:val="44"/>
      <w:sz w:val="44"/>
      <w:szCs w:val="44"/>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Normal Indent"/>
    <w:basedOn w:val="1"/>
    <w:autoRedefine/>
    <w:qFormat/>
    <w:uiPriority w:val="0"/>
    <w:pPr>
      <w:spacing w:line="240" w:lineRule="atLeast"/>
      <w:ind w:firstLine="420"/>
    </w:pPr>
    <w:rPr>
      <w:rFonts w:ascii="Verdana" w:hAnsi="Verdana" w:eastAsia="仿宋_GB2312" w:cs="宋体"/>
      <w:sz w:val="32"/>
      <w:szCs w:val="32"/>
    </w:rPr>
  </w:style>
  <w:style w:type="paragraph" w:styleId="4">
    <w:name w:val="Body Text Indent"/>
    <w:basedOn w:val="1"/>
    <w:link w:val="20"/>
    <w:qFormat/>
    <w:uiPriority w:val="0"/>
    <w:pPr>
      <w:spacing w:line="240" w:lineRule="auto"/>
      <w:ind w:left="810"/>
    </w:pPr>
    <w:rPr>
      <w:rFonts w:ascii="仿宋_GB2312" w:hAnsi="Times New Roman" w:eastAsia="仿宋_GB2312" w:cs="Times New Roman"/>
      <w:sz w:val="32"/>
    </w:rPr>
  </w:style>
  <w:style w:type="paragraph" w:styleId="5">
    <w:name w:val="toc 3"/>
    <w:basedOn w:val="1"/>
    <w:next w:val="1"/>
    <w:unhideWhenUsed/>
    <w:qFormat/>
    <w:uiPriority w:val="39"/>
    <w:pPr>
      <w:ind w:left="840" w:leftChars="400"/>
    </w:pPr>
  </w:style>
  <w:style w:type="paragraph" w:styleId="6">
    <w:name w:val="footer"/>
    <w:basedOn w:val="1"/>
    <w:link w:val="17"/>
    <w:autoRedefine/>
    <w:unhideWhenUsed/>
    <w:qFormat/>
    <w:uiPriority w:val="99"/>
    <w:pPr>
      <w:tabs>
        <w:tab w:val="center" w:pos="4153"/>
        <w:tab w:val="right" w:pos="8306"/>
      </w:tabs>
      <w:snapToGrid w:val="0"/>
      <w:jc w:val="left"/>
    </w:pPr>
    <w:rPr>
      <w:sz w:val="18"/>
      <w:szCs w:val="18"/>
    </w:rPr>
  </w:style>
  <w:style w:type="paragraph" w:styleId="7">
    <w:name w:val="header"/>
    <w:basedOn w:val="1"/>
    <w:link w:val="1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autoRedefine/>
    <w:unhideWhenUsed/>
    <w:qFormat/>
    <w:uiPriority w:val="39"/>
    <w:pPr>
      <w:tabs>
        <w:tab w:val="right" w:leader="dot" w:pos="8296"/>
      </w:tabs>
    </w:pPr>
  </w:style>
  <w:style w:type="paragraph" w:styleId="9">
    <w:name w:val="toc 2"/>
    <w:basedOn w:val="1"/>
    <w:next w:val="1"/>
    <w:autoRedefine/>
    <w:unhideWhenUsed/>
    <w:qFormat/>
    <w:uiPriority w:val="39"/>
    <w:pPr>
      <w:ind w:left="420" w:leftChars="200"/>
    </w:pPr>
  </w:style>
  <w:style w:type="paragraph" w:styleId="10">
    <w:name w:val="Normal (Web)"/>
    <w:basedOn w:val="1"/>
    <w:autoRedefine/>
    <w:unhideWhenUsed/>
    <w:qFormat/>
    <w:uiPriority w:val="99"/>
    <w:pPr>
      <w:widowControl/>
      <w:spacing w:before="100" w:beforeAutospacing="1" w:after="100" w:afterAutospacing="1" w:line="240" w:lineRule="auto"/>
      <w:jc w:val="left"/>
    </w:pPr>
    <w:rPr>
      <w:rFonts w:ascii="宋体" w:hAnsi="宋体" w:cs="宋体"/>
      <w:kern w:val="0"/>
      <w:sz w:val="24"/>
    </w:rPr>
  </w:style>
  <w:style w:type="character" w:styleId="13">
    <w:name w:val="Strong"/>
    <w:basedOn w:val="12"/>
    <w:autoRedefine/>
    <w:qFormat/>
    <w:uiPriority w:val="22"/>
    <w:rPr>
      <w:b/>
    </w:rPr>
  </w:style>
  <w:style w:type="character" w:styleId="14">
    <w:name w:val="Emphasis"/>
    <w:basedOn w:val="12"/>
    <w:qFormat/>
    <w:uiPriority w:val="20"/>
    <w:rPr>
      <w:i/>
    </w:rPr>
  </w:style>
  <w:style w:type="character" w:styleId="15">
    <w:name w:val="Hyperlink"/>
    <w:basedOn w:val="12"/>
    <w:unhideWhenUsed/>
    <w:qFormat/>
    <w:uiPriority w:val="99"/>
    <w:rPr>
      <w:color w:val="0000FF"/>
      <w:u w:val="single"/>
    </w:rPr>
  </w:style>
  <w:style w:type="character" w:customStyle="1" w:styleId="16">
    <w:name w:val="页眉 字符"/>
    <w:basedOn w:val="12"/>
    <w:link w:val="7"/>
    <w:qFormat/>
    <w:uiPriority w:val="99"/>
    <w:rPr>
      <w:sz w:val="18"/>
      <w:szCs w:val="18"/>
    </w:rPr>
  </w:style>
  <w:style w:type="character" w:customStyle="1" w:styleId="17">
    <w:name w:val="页脚 字符"/>
    <w:basedOn w:val="12"/>
    <w:link w:val="6"/>
    <w:autoRedefine/>
    <w:qFormat/>
    <w:uiPriority w:val="99"/>
    <w:rPr>
      <w:sz w:val="18"/>
      <w:szCs w:val="18"/>
    </w:rPr>
  </w:style>
  <w:style w:type="character" w:customStyle="1" w:styleId="18">
    <w:name w:val="NormalCharacter"/>
    <w:semiHidden/>
    <w:qFormat/>
    <w:uiPriority w:val="0"/>
  </w:style>
  <w:style w:type="paragraph" w:styleId="19">
    <w:name w:val="List Paragraph"/>
    <w:basedOn w:val="1"/>
    <w:qFormat/>
    <w:uiPriority w:val="34"/>
    <w:pPr>
      <w:ind w:firstLine="420" w:firstLineChars="200"/>
    </w:pPr>
  </w:style>
  <w:style w:type="character" w:customStyle="1" w:styleId="20">
    <w:name w:val="正文文本缩进 字符"/>
    <w:basedOn w:val="12"/>
    <w:link w:val="4"/>
    <w:autoRedefine/>
    <w:qFormat/>
    <w:uiPriority w:val="0"/>
    <w:rPr>
      <w:rFonts w:ascii="仿宋_GB2312" w:hAnsi="Times New Roman" w:eastAsia="仿宋_GB2312" w:cs="Times New Roman"/>
      <w:sz w:val="32"/>
      <w:szCs w:val="24"/>
    </w:rPr>
  </w:style>
  <w:style w:type="character" w:customStyle="1" w:styleId="21">
    <w:name w:val="标题 1 字符"/>
    <w:basedOn w:val="12"/>
    <w:link w:val="3"/>
    <w:qFormat/>
    <w:uiPriority w:val="9"/>
    <w:rPr>
      <w:rFonts w:eastAsia="宋体"/>
      <w:b/>
      <w:bCs/>
      <w:kern w:val="44"/>
      <w:sz w:val="44"/>
      <w:szCs w:val="44"/>
    </w:rPr>
  </w:style>
  <w:style w:type="paragraph" w:customStyle="1" w:styleId="22">
    <w:name w:val="TOC 标题1"/>
    <w:basedOn w:val="3"/>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23">
    <w:name w:val="font61"/>
    <w:basedOn w:val="12"/>
    <w:autoRedefine/>
    <w:qFormat/>
    <w:uiPriority w:val="0"/>
    <w:rPr>
      <w:rFonts w:hint="default" w:ascii="Times New Roman" w:hAnsi="Times New Roman" w:cs="Times New Roman"/>
      <w:b/>
      <w:bCs/>
      <w:color w:val="000000"/>
      <w:sz w:val="24"/>
      <w:szCs w:val="24"/>
      <w:u w:val="none"/>
    </w:rPr>
  </w:style>
  <w:style w:type="character" w:customStyle="1" w:styleId="24">
    <w:name w:val="font11"/>
    <w:basedOn w:val="12"/>
    <w:autoRedefine/>
    <w:qFormat/>
    <w:uiPriority w:val="0"/>
    <w:rPr>
      <w:rFonts w:hint="eastAsia" w:ascii="宋体" w:hAnsi="宋体" w:eastAsia="宋体" w:cs="宋体"/>
      <w:b/>
      <w:bCs/>
      <w:color w:val="000000"/>
      <w:sz w:val="24"/>
      <w:szCs w:val="24"/>
      <w:u w:val="none"/>
    </w:rPr>
  </w:style>
  <w:style w:type="character" w:customStyle="1" w:styleId="25">
    <w:name w:val="font21"/>
    <w:basedOn w:val="12"/>
    <w:autoRedefine/>
    <w:qFormat/>
    <w:uiPriority w:val="0"/>
    <w:rPr>
      <w:rFonts w:hint="eastAsia" w:ascii="等线" w:hAnsi="等线" w:eastAsia="等线" w:cs="等线"/>
      <w:b/>
      <w:bCs/>
      <w:color w:val="000000"/>
      <w:sz w:val="22"/>
      <w:szCs w:val="22"/>
      <w:u w:val="none"/>
    </w:rPr>
  </w:style>
  <w:style w:type="character" w:customStyle="1" w:styleId="26">
    <w:name w:val="font71"/>
    <w:basedOn w:val="12"/>
    <w:autoRedefine/>
    <w:qFormat/>
    <w:uiPriority w:val="0"/>
    <w:rPr>
      <w:rFonts w:hint="eastAsia" w:ascii="宋体" w:hAnsi="宋体" w:eastAsia="宋体" w:cs="宋体"/>
      <w:b/>
      <w:bCs/>
      <w:color w:val="000000"/>
      <w:sz w:val="22"/>
      <w:szCs w:val="22"/>
      <w:u w:val="none"/>
    </w:rPr>
  </w:style>
  <w:style w:type="paragraph" w:customStyle="1" w:styleId="27">
    <w:name w:val="修订1"/>
    <w:autoRedefine/>
    <w:hidden/>
    <w:unhideWhenUsed/>
    <w:qFormat/>
    <w:uiPriority w:val="99"/>
    <w:rPr>
      <w:rFonts w:eastAsia="宋体" w:asciiTheme="minorHAnsi" w:hAnsiTheme="minorHAnsi" w:cstheme="minorBidi"/>
      <w:kern w:val="2"/>
      <w:sz w:val="28"/>
      <w:szCs w:val="24"/>
      <w:lang w:val="en-US" w:eastAsia="zh-CN" w:bidi="ar-SA"/>
    </w:rPr>
  </w:style>
  <w:style w:type="character" w:customStyle="1" w:styleId="28">
    <w:name w:val="font31"/>
    <w:basedOn w:val="12"/>
    <w:autoRedefine/>
    <w:qFormat/>
    <w:uiPriority w:val="0"/>
    <w:rPr>
      <w:rFonts w:hint="default" w:ascii="Times New Roman" w:hAnsi="Times New Roman" w:cs="Times New Roman"/>
      <w:b/>
      <w:bCs/>
      <w:color w:val="000000"/>
      <w:sz w:val="22"/>
      <w:szCs w:val="22"/>
      <w:u w:val="none"/>
    </w:rPr>
  </w:style>
  <w:style w:type="paragraph" w:customStyle="1" w:styleId="29">
    <w:name w:val="Revision"/>
    <w:autoRedefine/>
    <w:hidden/>
    <w:unhideWhenUsed/>
    <w:qFormat/>
    <w:uiPriority w:val="99"/>
    <w:rPr>
      <w:rFonts w:eastAsia="宋体" w:asciiTheme="minorHAnsi" w:hAnsiTheme="minorHAnsi" w:cstheme="minorBidi"/>
      <w:kern w:val="2"/>
      <w:sz w:val="28"/>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GIF"/><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38B635-0C58-4B4F-B670-D60595BDB78C}">
  <ds:schemaRefs/>
</ds:datastoreItem>
</file>

<file path=docProps/app.xml><?xml version="1.0" encoding="utf-8"?>
<Properties xmlns="http://schemas.openxmlformats.org/officeDocument/2006/extended-properties" xmlns:vt="http://schemas.openxmlformats.org/officeDocument/2006/docPropsVTypes">
  <Template>Normal</Template>
  <Pages>36</Pages>
  <Words>2834</Words>
  <Characters>16154</Characters>
  <Lines>134</Lines>
  <Paragraphs>37</Paragraphs>
  <TotalTime>2</TotalTime>
  <ScaleCrop>false</ScaleCrop>
  <LinksUpToDate>false</LinksUpToDate>
  <CharactersWithSpaces>18951</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2023-11-29T03:12:00Z</dcterms:created>
  <dc:creator>苏 晓</dc:creator>
  <cp:lastModifiedBy></cp:lastModifiedBy>
  <dcterms:modified xsi:type="dcterms:W3CDTF">2024-02-07T11:36:01Z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562B80A36FB249CD84D0E3DD927F9CCE_13</vt:lpwstr>
  </property>
</Properties>
</file>