
<file path=[Content_Types].xml><?xml version="1.0" encoding="utf-8"?>
<Types xmlns="http://schemas.openxmlformats.org/package/2006/content-types">
  <Default Extension="xml" ContentType="application/xml"/>
  <Default Extension="wmf" ContentType="image/x-wmf"/>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asciiTheme="minorEastAsia" w:hAnsiTheme="minorEastAsia"/>
          <w:color w:val="000000" w:themeColor="text1"/>
          <w:szCs w:val="28"/>
          <w14:textFill>
            <w14:solidFill>
              <w14:schemeClr w14:val="tx1"/>
            </w14:solidFill>
          </w14:textFill>
        </w:rPr>
      </w:pPr>
    </w:p>
    <w:p>
      <w:pPr>
        <w:ind w:firstLine="560" w:firstLineChars="200"/>
        <w:jc w:val="center"/>
        <w:rPr>
          <w:rFonts w:asciiTheme="minorEastAsia" w:hAnsiTheme="minorEastAsia"/>
          <w:color w:val="000000" w:themeColor="text1"/>
          <w:szCs w:val="28"/>
          <w14:textFill>
            <w14:solidFill>
              <w14:schemeClr w14:val="tx1"/>
            </w14:solidFill>
          </w14:textFill>
        </w:rPr>
      </w:pPr>
    </w:p>
    <w:p>
      <w:pPr>
        <w:ind w:firstLine="560" w:firstLineChars="200"/>
        <w:jc w:val="center"/>
        <w:rPr>
          <w:rFonts w:asciiTheme="minorEastAsia" w:hAnsiTheme="minorEastAsia"/>
          <w:color w:val="000000" w:themeColor="text1"/>
          <w:szCs w:val="28"/>
          <w14:textFill>
            <w14:solidFill>
              <w14:schemeClr w14:val="tx1"/>
            </w14:solidFill>
          </w14:textFill>
        </w:rPr>
      </w:pPr>
    </w:p>
    <w:p>
      <w:pPr>
        <w:ind w:firstLine="560" w:firstLineChars="200"/>
        <w:jc w:val="center"/>
        <w:rPr>
          <w:rFonts w:asciiTheme="minorEastAsia" w:hAnsiTheme="minorEastAsia"/>
          <w:color w:val="000000" w:themeColor="text1"/>
          <w:szCs w:val="28"/>
          <w14:textFill>
            <w14:solidFill>
              <w14:schemeClr w14:val="tx1"/>
            </w14:solidFill>
          </w14:textFill>
        </w:rPr>
      </w:pPr>
    </w:p>
    <w:p>
      <w:pPr>
        <w:ind w:firstLine="560" w:firstLineChars="200"/>
        <w:jc w:val="center"/>
        <w:rPr>
          <w:rFonts w:asciiTheme="minorEastAsia" w:hAnsiTheme="minorEastAsia"/>
          <w:color w:val="000000" w:themeColor="text1"/>
          <w:szCs w:val="28"/>
          <w14:textFill>
            <w14:solidFill>
              <w14:schemeClr w14:val="tx1"/>
            </w14:solidFill>
          </w14:textFill>
        </w:rPr>
      </w:pPr>
    </w:p>
    <w:p>
      <w:pPr>
        <w:jc w:val="center"/>
        <w:rPr>
          <w:rFonts w:ascii="仿宋" w:hAnsi="仿宋" w:eastAsia="仿宋" w:cs="Times New Roman"/>
          <w:b/>
          <w:bCs/>
          <w:color w:val="000000" w:themeColor="text1"/>
          <w:sz w:val="44"/>
          <w:szCs w:val="44"/>
          <w14:textFill>
            <w14:solidFill>
              <w14:schemeClr w14:val="tx1"/>
            </w14:solidFill>
          </w14:textFill>
        </w:rPr>
      </w:pPr>
      <w:r>
        <w:rPr>
          <w:rFonts w:hint="eastAsia" w:ascii="仿宋" w:hAnsi="仿宋" w:eastAsia="仿宋" w:cs="Times New Roman"/>
          <w:b/>
          <w:bCs/>
          <w:sz w:val="44"/>
          <w:szCs w:val="44"/>
        </w:rPr>
        <w:t>福建省惠安县</w:t>
      </w:r>
      <w:r>
        <w:rPr>
          <w:rFonts w:ascii="Times New Roman" w:hAnsi="Times New Roman" w:eastAsia="楷体" w:cs="Times New Roman"/>
          <w:b/>
          <w:bCs/>
          <w:color w:val="000000" w:themeColor="text1"/>
          <w:sz w:val="44"/>
          <w:szCs w:val="44"/>
          <w14:textFill>
            <w14:solidFill>
              <w14:schemeClr w14:val="tx1"/>
            </w14:solidFill>
          </w14:textFill>
        </w:rPr>
        <w:t>202</w:t>
      </w:r>
      <w:r>
        <w:rPr>
          <w:rFonts w:hint="eastAsia" w:ascii="Times New Roman" w:hAnsi="Times New Roman" w:eastAsia="楷体" w:cs="Times New Roman"/>
          <w:b/>
          <w:bCs/>
          <w:color w:val="000000" w:themeColor="text1"/>
          <w:sz w:val="44"/>
          <w:szCs w:val="44"/>
          <w14:textFill>
            <w14:solidFill>
              <w14:schemeClr w14:val="tx1"/>
            </w14:solidFill>
          </w14:textFill>
        </w:rPr>
        <w:t>1</w:t>
      </w:r>
      <w:r>
        <w:rPr>
          <w:rFonts w:hint="eastAsia" w:ascii="仿宋" w:hAnsi="仿宋" w:eastAsia="仿宋" w:cs="仿宋"/>
          <w:b/>
          <w:bCs/>
          <w:color w:val="000000" w:themeColor="text1"/>
          <w:sz w:val="44"/>
          <w:szCs w:val="44"/>
          <w14:textFill>
            <w14:solidFill>
              <w14:schemeClr w14:val="tx1"/>
            </w14:solidFill>
          </w14:textFill>
        </w:rPr>
        <w:t>-</w:t>
      </w:r>
      <w:r>
        <w:rPr>
          <w:rFonts w:ascii="Times New Roman" w:hAnsi="Times New Roman" w:eastAsia="楷体" w:cs="Times New Roman"/>
          <w:b/>
          <w:bCs/>
          <w:color w:val="000000" w:themeColor="text1"/>
          <w:sz w:val="44"/>
          <w:szCs w:val="44"/>
          <w14:textFill>
            <w14:solidFill>
              <w14:schemeClr w14:val="tx1"/>
            </w14:solidFill>
          </w14:textFill>
        </w:rPr>
        <w:t>202</w:t>
      </w:r>
      <w:r>
        <w:rPr>
          <w:rFonts w:hint="eastAsia" w:ascii="Times New Roman" w:hAnsi="Times New Roman" w:eastAsia="楷体" w:cs="Times New Roman"/>
          <w:b/>
          <w:bCs/>
          <w:color w:val="000000" w:themeColor="text1"/>
          <w:sz w:val="44"/>
          <w:szCs w:val="44"/>
          <w14:textFill>
            <w14:solidFill>
              <w14:schemeClr w14:val="tx1"/>
            </w14:solidFill>
          </w14:textFill>
        </w:rPr>
        <w:t>2</w:t>
      </w:r>
      <w:r>
        <w:rPr>
          <w:rFonts w:ascii="仿宋" w:hAnsi="仿宋" w:eastAsia="仿宋" w:cs="Times New Roman"/>
          <w:b/>
          <w:bCs/>
          <w:color w:val="000000" w:themeColor="text1"/>
          <w:sz w:val="44"/>
          <w:szCs w:val="44"/>
          <w14:textFill>
            <w14:solidFill>
              <w14:schemeClr w14:val="tx1"/>
            </w14:solidFill>
          </w14:textFill>
        </w:rPr>
        <w:t>年</w:t>
      </w:r>
      <w:r>
        <w:rPr>
          <w:rFonts w:hint="eastAsia" w:ascii="仿宋" w:hAnsi="仿宋" w:eastAsia="仿宋" w:cs="Times New Roman"/>
          <w:b/>
          <w:bCs/>
          <w:color w:val="000000" w:themeColor="text1"/>
          <w:sz w:val="44"/>
          <w:szCs w:val="44"/>
          <w14:textFill>
            <w14:solidFill>
              <w14:schemeClr w14:val="tx1"/>
            </w14:solidFill>
          </w14:textFill>
        </w:rPr>
        <w:t>度</w:t>
      </w:r>
    </w:p>
    <w:p>
      <w:pPr>
        <w:jc w:val="center"/>
        <w:rPr>
          <w:rFonts w:ascii="仿宋" w:hAnsi="仿宋" w:eastAsia="仿宋" w:cs="Times New Roman"/>
          <w:b/>
          <w:bCs/>
          <w:color w:val="000000" w:themeColor="text1"/>
          <w:sz w:val="44"/>
          <w:szCs w:val="44"/>
          <w14:textFill>
            <w14:solidFill>
              <w14:schemeClr w14:val="tx1"/>
            </w14:solidFill>
          </w14:textFill>
        </w:rPr>
      </w:pPr>
      <w:r>
        <w:rPr>
          <w:rFonts w:hint="eastAsia" w:ascii="仿宋" w:hAnsi="仿宋" w:eastAsia="仿宋" w:cs="Times New Roman"/>
          <w:b/>
          <w:bCs/>
          <w:color w:val="000000" w:themeColor="text1"/>
          <w:sz w:val="44"/>
          <w:szCs w:val="44"/>
          <w14:textFill>
            <w14:solidFill>
              <w14:schemeClr w14:val="tx1"/>
            </w14:solidFill>
          </w14:textFill>
        </w:rPr>
        <w:t>旅游</w:t>
      </w:r>
      <w:r>
        <w:rPr>
          <w:rFonts w:ascii="仿宋" w:hAnsi="仿宋" w:eastAsia="仿宋" w:cs="Times New Roman"/>
          <w:b/>
          <w:bCs/>
          <w:color w:val="000000" w:themeColor="text1"/>
          <w:sz w:val="44"/>
          <w:szCs w:val="44"/>
          <w14:textFill>
            <w14:solidFill>
              <w14:schemeClr w14:val="tx1"/>
            </w14:solidFill>
          </w14:textFill>
        </w:rPr>
        <w:t>发展</w:t>
      </w:r>
      <w:r>
        <w:rPr>
          <w:rFonts w:hint="eastAsia" w:ascii="仿宋" w:hAnsi="仿宋" w:eastAsia="仿宋" w:cs="Times New Roman"/>
          <w:b/>
          <w:bCs/>
          <w:color w:val="000000" w:themeColor="text1"/>
          <w:sz w:val="44"/>
          <w:szCs w:val="44"/>
          <w14:textFill>
            <w14:solidFill>
              <w14:schemeClr w14:val="tx1"/>
            </w14:solidFill>
          </w14:textFill>
        </w:rPr>
        <w:t>专项资金</w:t>
      </w:r>
    </w:p>
    <w:p>
      <w:pPr>
        <w:jc w:val="center"/>
        <w:rPr>
          <w:rFonts w:ascii="仿宋" w:hAnsi="仿宋" w:eastAsia="仿宋" w:cs="Times New Roman"/>
          <w:b/>
          <w:bCs/>
          <w:color w:val="000000" w:themeColor="text1"/>
          <w:sz w:val="44"/>
          <w:szCs w:val="44"/>
          <w14:textFill>
            <w14:solidFill>
              <w14:schemeClr w14:val="tx1"/>
            </w14:solidFill>
          </w14:textFill>
        </w:rPr>
      </w:pPr>
      <w:r>
        <w:rPr>
          <w:rFonts w:hint="eastAsia" w:ascii="仿宋" w:hAnsi="仿宋" w:eastAsia="仿宋" w:cs="Times New Roman"/>
          <w:b/>
          <w:bCs/>
          <w:color w:val="000000" w:themeColor="text1"/>
          <w:sz w:val="44"/>
          <w:szCs w:val="44"/>
          <w14:textFill>
            <w14:solidFill>
              <w14:schemeClr w14:val="tx1"/>
            </w14:solidFill>
          </w14:textFill>
        </w:rPr>
        <w:t>重点</w:t>
      </w:r>
      <w:r>
        <w:rPr>
          <w:rFonts w:ascii="仿宋" w:hAnsi="仿宋" w:eastAsia="仿宋" w:cs="Times New Roman"/>
          <w:b/>
          <w:bCs/>
          <w:color w:val="000000" w:themeColor="text1"/>
          <w:sz w:val="44"/>
          <w:szCs w:val="44"/>
          <w14:textFill>
            <w14:solidFill>
              <w14:schemeClr w14:val="tx1"/>
            </w14:solidFill>
          </w14:textFill>
        </w:rPr>
        <w:t>绩效评价报告</w:t>
      </w:r>
    </w:p>
    <w:p>
      <w:pPr>
        <w:ind w:firstLine="560" w:firstLineChars="200"/>
        <w:jc w:val="center"/>
        <w:rPr>
          <w:rFonts w:asciiTheme="minorEastAsia" w:hAnsiTheme="minorEastAsia"/>
          <w:color w:val="000000" w:themeColor="text1"/>
          <w:szCs w:val="28"/>
          <w14:textFill>
            <w14:solidFill>
              <w14:schemeClr w14:val="tx1"/>
            </w14:solidFill>
          </w14:textFill>
        </w:rPr>
      </w:pPr>
    </w:p>
    <w:p>
      <w:pPr>
        <w:ind w:firstLine="560" w:firstLineChars="200"/>
        <w:jc w:val="center"/>
        <w:rPr>
          <w:rFonts w:asciiTheme="minorEastAsia" w:hAnsiTheme="minorEastAsia"/>
          <w:color w:val="000000" w:themeColor="text1"/>
          <w:szCs w:val="28"/>
          <w14:textFill>
            <w14:solidFill>
              <w14:schemeClr w14:val="tx1"/>
            </w14:solidFill>
          </w14:textFill>
        </w:rPr>
      </w:pPr>
    </w:p>
    <w:p>
      <w:pPr>
        <w:ind w:firstLine="560" w:firstLineChars="200"/>
        <w:jc w:val="center"/>
        <w:rPr>
          <w:rFonts w:asciiTheme="minorEastAsia" w:hAnsiTheme="minorEastAsia"/>
          <w:color w:val="000000" w:themeColor="text1"/>
          <w:szCs w:val="28"/>
          <w14:textFill>
            <w14:solidFill>
              <w14:schemeClr w14:val="tx1"/>
            </w14:solidFill>
          </w14:textFill>
        </w:rPr>
      </w:pPr>
    </w:p>
    <w:p>
      <w:pPr>
        <w:ind w:firstLine="560" w:firstLineChars="200"/>
        <w:jc w:val="center"/>
        <w:rPr>
          <w:rFonts w:asciiTheme="minorEastAsia" w:hAnsiTheme="minorEastAsia"/>
          <w:color w:val="000000" w:themeColor="text1"/>
          <w:szCs w:val="28"/>
          <w14:textFill>
            <w14:solidFill>
              <w14:schemeClr w14:val="tx1"/>
            </w14:solidFill>
          </w14:textFill>
        </w:rPr>
      </w:pPr>
    </w:p>
    <w:p>
      <w:pPr>
        <w:ind w:firstLine="560" w:firstLineChars="200"/>
        <w:jc w:val="center"/>
        <w:rPr>
          <w:rFonts w:asciiTheme="minorEastAsia" w:hAnsiTheme="minorEastAsia"/>
          <w:color w:val="000000" w:themeColor="text1"/>
          <w:szCs w:val="28"/>
          <w14:textFill>
            <w14:solidFill>
              <w14:schemeClr w14:val="tx1"/>
            </w14:solidFill>
          </w14:textFill>
        </w:rPr>
      </w:pPr>
    </w:p>
    <w:p>
      <w:pPr>
        <w:ind w:firstLine="560" w:firstLineChars="200"/>
        <w:jc w:val="center"/>
        <w:rPr>
          <w:rFonts w:asciiTheme="minorEastAsia" w:hAnsiTheme="minorEastAsia"/>
          <w:color w:val="000000" w:themeColor="text1"/>
          <w:szCs w:val="28"/>
          <w14:textFill>
            <w14:solidFill>
              <w14:schemeClr w14:val="tx1"/>
            </w14:solidFill>
          </w14:textFill>
        </w:rPr>
      </w:pPr>
    </w:p>
    <w:p>
      <w:pPr>
        <w:ind w:firstLine="560" w:firstLineChars="200"/>
        <w:jc w:val="center"/>
        <w:rPr>
          <w:rFonts w:asciiTheme="minorEastAsia" w:hAnsiTheme="minorEastAsia"/>
          <w:color w:val="000000" w:themeColor="text1"/>
          <w:szCs w:val="28"/>
          <w14:textFill>
            <w14:solidFill>
              <w14:schemeClr w14:val="tx1"/>
            </w14:solidFill>
          </w14:textFill>
        </w:rPr>
      </w:pPr>
    </w:p>
    <w:p>
      <w:pPr>
        <w:ind w:firstLine="560" w:firstLineChars="200"/>
        <w:jc w:val="center"/>
        <w:rPr>
          <w:rFonts w:asciiTheme="minorEastAsia" w:hAnsiTheme="minorEastAsia"/>
          <w:color w:val="000000" w:themeColor="text1"/>
          <w:szCs w:val="28"/>
          <w14:textFill>
            <w14:solidFill>
              <w14:schemeClr w14:val="tx1"/>
            </w14:solidFill>
          </w14:textFill>
        </w:rPr>
      </w:pPr>
    </w:p>
    <w:p>
      <w:pPr>
        <w:spacing w:line="240" w:lineRule="auto"/>
        <w:jc w:val="center"/>
        <w:rPr>
          <w:rFonts w:ascii="仿宋" w:hAnsi="仿宋" w:eastAsia="仿宋" w:cs="楷体"/>
          <w:bCs/>
          <w:sz w:val="32"/>
          <w:szCs w:val="32"/>
        </w:rPr>
      </w:pPr>
      <w:r>
        <w:rPr>
          <w:rFonts w:hint="eastAsia" w:ascii="仿宋" w:hAnsi="仿宋" w:eastAsia="仿宋" w:cs="楷体"/>
          <w:bCs/>
          <w:sz w:val="32"/>
          <w:szCs w:val="32"/>
        </w:rPr>
        <w:t>福州市韦兰信息科技有限公司</w:t>
      </w:r>
    </w:p>
    <w:p>
      <w:pPr>
        <w:jc w:val="center"/>
        <w:rPr>
          <w:rFonts w:ascii="仿宋" w:hAnsi="仿宋" w:eastAsia="仿宋" w:cs="Times New Roman"/>
          <w:color w:val="000000" w:themeColor="text1"/>
          <w:sz w:val="32"/>
          <w:szCs w:val="40"/>
          <w14:textFill>
            <w14:solidFill>
              <w14:schemeClr w14:val="tx1"/>
            </w14:solidFill>
          </w14:textFill>
        </w:rPr>
      </w:pPr>
      <w:r>
        <w:rPr>
          <w:rFonts w:hint="eastAsia" w:ascii="仿宋" w:hAnsi="仿宋" w:eastAsia="仿宋" w:cs="楷体"/>
          <w:bCs/>
          <w:sz w:val="32"/>
          <w:szCs w:val="32"/>
        </w:rPr>
        <w:t>2023年11月</w:t>
      </w:r>
    </w:p>
    <w:p>
      <w:pPr>
        <w:jc w:val="center"/>
        <w:rPr>
          <w:rFonts w:ascii="仿宋" w:hAnsi="仿宋" w:eastAsia="仿宋" w:cs="Times New Roman"/>
          <w:color w:val="000000" w:themeColor="text1"/>
          <w:sz w:val="32"/>
          <w:szCs w:val="40"/>
          <w14:textFill>
            <w14:solidFill>
              <w14:schemeClr w14:val="tx1"/>
            </w14:solidFill>
          </w14:textFill>
        </w:rPr>
      </w:pPr>
    </w:p>
    <w:p>
      <w:pPr>
        <w:jc w:val="center"/>
        <w:rPr>
          <w:rFonts w:ascii="仿宋" w:hAnsi="仿宋" w:eastAsia="仿宋" w:cs="Times New Roman"/>
          <w:color w:val="000000" w:themeColor="text1"/>
          <w:sz w:val="32"/>
          <w:szCs w:val="40"/>
          <w14:textFill>
            <w14:solidFill>
              <w14:schemeClr w14:val="tx1"/>
            </w14:solidFill>
          </w14:textFill>
        </w:rPr>
      </w:pPr>
    </w:p>
    <w:p>
      <w:pPr>
        <w:jc w:val="center"/>
        <w:rPr>
          <w:rFonts w:ascii="仿宋" w:hAnsi="仿宋" w:eastAsia="仿宋" w:cs="Times New Roman"/>
          <w:color w:val="000000" w:themeColor="text1"/>
          <w:sz w:val="32"/>
          <w:szCs w:val="40"/>
          <w14:textFill>
            <w14:solidFill>
              <w14:schemeClr w14:val="tx1"/>
            </w14:solidFill>
          </w14:textFill>
        </w:rPr>
      </w:pPr>
    </w:p>
    <w:p>
      <w:pPr>
        <w:adjustRightInd w:val="0"/>
        <w:snapToGrid w:val="0"/>
        <w:rPr>
          <w:rFonts w:ascii="仿宋" w:hAnsi="仿宋" w:eastAsia="仿宋" w:cs="Times New Roman"/>
          <w:color w:val="000000" w:themeColor="text1"/>
          <w:sz w:val="24"/>
          <w14:textFill>
            <w14:solidFill>
              <w14:schemeClr w14:val="tx1"/>
            </w14:solidFill>
          </w14:textFill>
        </w:rPr>
        <w:sectPr>
          <w:pgSz w:w="11906" w:h="16838"/>
          <w:pgMar w:top="1440" w:right="1800" w:bottom="1440" w:left="1800" w:header="851" w:footer="992" w:gutter="0"/>
          <w:cols w:space="425" w:num="1"/>
          <w:titlePg/>
          <w:docGrid w:type="lines" w:linePitch="381" w:charSpace="0"/>
        </w:sectPr>
      </w:pPr>
      <w:r>
        <w:rPr>
          <w:rFonts w:ascii="仿宋" w:hAnsi="仿宋" w:eastAsia="仿宋" w:cs="Times New Roman"/>
          <w:color w:val="000000" w:themeColor="text1"/>
          <w:sz w:val="24"/>
          <w14:textFill>
            <w14:solidFill>
              <w14:schemeClr w14:val="tx1"/>
            </w14:solidFill>
          </w14:textFill>
        </w:rPr>
        <w:br w:type="page"/>
      </w:r>
    </w:p>
    <w:p>
      <w:pPr>
        <w:adjustRightInd w:val="0"/>
        <w:snapToGrid w:val="0"/>
        <w:rPr>
          <w:rFonts w:ascii="仿宋" w:hAnsi="仿宋" w:eastAsia="仿宋" w:cs="Times New Roman"/>
          <w:color w:val="000000" w:themeColor="text1"/>
          <w:sz w:val="20"/>
          <w:szCs w:val="20"/>
          <w14:textFill>
            <w14:solidFill>
              <w14:schemeClr w14:val="tx1"/>
            </w14:solidFill>
          </w14:textFill>
        </w:rPr>
        <w:sectPr>
          <w:pgSz w:w="11906" w:h="16838"/>
          <w:pgMar w:top="1440" w:right="1800" w:bottom="1440" w:left="1800" w:header="851" w:footer="992" w:gutter="0"/>
          <w:cols w:space="425" w:num="1"/>
          <w:titlePg/>
          <w:docGrid w:type="lines" w:linePitch="381" w:charSpace="0"/>
        </w:sectPr>
      </w:pPr>
    </w:p>
    <w:p>
      <w:pPr>
        <w:adjustRightInd w:val="0"/>
        <w:snapToGrid w:val="0"/>
        <w:rPr>
          <w:rFonts w:ascii="仿宋" w:hAnsi="仿宋" w:eastAsia="仿宋" w:cs="Times New Roman"/>
          <w:b/>
          <w:color w:val="000000" w:themeColor="text1"/>
          <w:sz w:val="36"/>
          <w:szCs w:val="36"/>
          <w14:textFill>
            <w14:solidFill>
              <w14:schemeClr w14:val="tx1"/>
            </w14:solidFill>
          </w14:textFill>
        </w:rPr>
      </w:pPr>
      <w:r>
        <w:rPr>
          <w:rFonts w:ascii="仿宋" w:hAnsi="仿宋" w:eastAsia="仿宋" w:cs="Times New Roman"/>
          <w:color w:val="000000" w:themeColor="text1"/>
          <w:sz w:val="20"/>
          <w:szCs w:val="20"/>
          <w14:textFill>
            <w14:solidFill>
              <w14:schemeClr w14:val="tx1"/>
            </w14:solidFill>
          </w14:textFill>
        </w:rPr>
        <w:t xml:space="preserve">                                                 </w:t>
      </w:r>
      <w:r>
        <w:rPr>
          <w:rFonts w:hint="eastAsia" w:ascii="仿宋" w:hAnsi="仿宋" w:eastAsia="仿宋" w:cs="Times New Roman"/>
          <w:color w:val="000000" w:themeColor="text1"/>
          <w:sz w:val="20"/>
          <w:szCs w:val="20"/>
          <w14:textFill>
            <w14:solidFill>
              <w14:schemeClr w14:val="tx1"/>
            </w14:solidFill>
          </w14:textFill>
        </w:rPr>
        <w:t xml:space="preserve">  </w:t>
      </w:r>
    </w:p>
    <w:p>
      <w:pPr>
        <w:adjustRightInd w:val="0"/>
        <w:snapToGrid w:val="0"/>
        <w:jc w:val="left"/>
        <w:rPr>
          <w:rFonts w:ascii="仿宋" w:hAnsi="仿宋" w:eastAsia="仿宋" w:cs="宋体"/>
          <w:color w:val="000000" w:themeColor="text1"/>
          <w:sz w:val="24"/>
          <w14:textFill>
            <w14:solidFill>
              <w14:schemeClr w14:val="tx1"/>
            </w14:solidFill>
          </w14:textFill>
        </w:rPr>
      </w:pPr>
      <w:r>
        <w:rPr>
          <w:rFonts w:ascii="仿宋" w:hAnsi="仿宋" w:eastAsia="仿宋" w:cs="宋体"/>
          <w:color w:val="000000" w:themeColor="text1"/>
          <w:sz w:val="24"/>
          <w14:textFill>
            <w14:solidFill>
              <w14:schemeClr w14:val="tx1"/>
            </w14:solidFill>
          </w14:textFill>
        </w:rPr>
        <w:drawing>
          <wp:inline distT="0" distB="0" distL="114300" distR="114300">
            <wp:extent cx="38100" cy="76200"/>
            <wp:effectExtent l="0" t="0" r="0" b="0"/>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10"/>
                    <a:stretch>
                      <a:fillRect/>
                    </a:stretch>
                  </pic:blipFill>
                  <pic:spPr>
                    <a:xfrm>
                      <a:off x="0" y="0"/>
                      <a:ext cx="38100" cy="76200"/>
                    </a:xfrm>
                    <a:prstGeom prst="rect">
                      <a:avLst/>
                    </a:prstGeom>
                    <a:noFill/>
                    <a:ln w="9525">
                      <a:noFill/>
                    </a:ln>
                  </pic:spPr>
                </pic:pic>
              </a:graphicData>
            </a:graphic>
          </wp:inline>
        </w:drawing>
      </w:r>
      <w:r>
        <w:rPr>
          <w:rFonts w:ascii="仿宋" w:hAnsi="仿宋" w:eastAsia="仿宋" w:cs="宋体"/>
          <w:color w:val="000000" w:themeColor="text1"/>
          <w:sz w:val="24"/>
          <w14:textFill>
            <w14:solidFill>
              <w14:schemeClr w14:val="tx1"/>
            </w14:solidFill>
          </w14:textFill>
        </w:rPr>
        <w:drawing>
          <wp:inline distT="0" distB="0" distL="114300" distR="114300">
            <wp:extent cx="38100" cy="76200"/>
            <wp:effectExtent l="0" t="0" r="0" b="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10"/>
                    <a:stretch>
                      <a:fillRect/>
                    </a:stretch>
                  </pic:blipFill>
                  <pic:spPr>
                    <a:xfrm>
                      <a:off x="0" y="0"/>
                      <a:ext cx="38100" cy="76200"/>
                    </a:xfrm>
                    <a:prstGeom prst="rect">
                      <a:avLst/>
                    </a:prstGeom>
                    <a:noFill/>
                    <a:ln w="9525">
                      <a:noFill/>
                    </a:ln>
                  </pic:spPr>
                </pic:pic>
              </a:graphicData>
            </a:graphic>
          </wp:inline>
        </w:drawing>
      </w:r>
    </w:p>
    <w:p>
      <w:pPr>
        <w:adjustRightInd w:val="0"/>
        <w:snapToGrid w:val="0"/>
        <w:jc w:val="left"/>
        <w:rPr>
          <w:rFonts w:ascii="仿宋" w:hAnsi="仿宋" w:eastAsia="仿宋" w:cs="宋体"/>
          <w:color w:val="000000" w:themeColor="text1"/>
          <w:sz w:val="24"/>
          <w14:textFill>
            <w14:solidFill>
              <w14:schemeClr w14:val="tx1"/>
            </w14:solidFill>
          </w14:textFill>
        </w:rPr>
      </w:pPr>
    </w:p>
    <w:p>
      <w:pPr>
        <w:adjustRightInd w:val="0"/>
        <w:snapToGrid w:val="0"/>
        <w:jc w:val="left"/>
        <w:rPr>
          <w:rFonts w:ascii="仿宋" w:hAnsi="仿宋" w:eastAsia="仿宋" w:cs="宋体"/>
          <w:color w:val="000000" w:themeColor="text1"/>
          <w:sz w:val="24"/>
          <w14:textFill>
            <w14:solidFill>
              <w14:schemeClr w14:val="tx1"/>
            </w14:solidFill>
          </w14:textFill>
        </w:rPr>
      </w:pPr>
    </w:p>
    <w:p>
      <w:pPr>
        <w:adjustRightInd w:val="0"/>
        <w:snapToGrid w:val="0"/>
        <w:ind w:firstLine="1400" w:firstLineChars="500"/>
        <w:jc w:val="left"/>
        <w:rPr>
          <w:rFonts w:ascii="仿宋" w:hAnsi="仿宋" w:eastAsia="仿宋" w:cs="华光楷体一_CNKI"/>
          <w:bCs/>
          <w:color w:val="000000" w:themeColor="text1"/>
          <w:szCs w:val="28"/>
          <w14:textFill>
            <w14:solidFill>
              <w14:schemeClr w14:val="tx1"/>
            </w14:solidFill>
          </w14:textFill>
        </w:rPr>
      </w:pPr>
      <w:r>
        <w:rPr>
          <w:rFonts w:hint="eastAsia" w:ascii="仿宋" w:hAnsi="仿宋" w:eastAsia="仿宋" w:cs="华光楷体一_CNKI"/>
          <w:bCs/>
          <w:color w:val="000000" w:themeColor="text1"/>
          <w:szCs w:val="28"/>
          <w14:textFill>
            <w14:solidFill>
              <w14:schemeClr w14:val="tx1"/>
            </w14:solidFill>
          </w14:textFill>
        </w:rPr>
        <w:drawing>
          <wp:inline distT="0" distB="0" distL="114300" distR="114300">
            <wp:extent cx="922020" cy="854710"/>
            <wp:effectExtent l="0" t="0" r="5080" b="8890"/>
            <wp:docPr id="3" name="图片 3" descr="1701352455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01352455002"/>
                    <pic:cNvPicPr>
                      <a:picLocks noChangeAspect="1"/>
                    </pic:cNvPicPr>
                  </pic:nvPicPr>
                  <pic:blipFill>
                    <a:blip r:embed="rId11"/>
                    <a:stretch>
                      <a:fillRect/>
                    </a:stretch>
                  </pic:blipFill>
                  <pic:spPr>
                    <a:xfrm>
                      <a:off x="0" y="0"/>
                      <a:ext cx="922020" cy="854710"/>
                    </a:xfrm>
                    <a:prstGeom prst="rect">
                      <a:avLst/>
                    </a:prstGeom>
                  </pic:spPr>
                </pic:pic>
              </a:graphicData>
            </a:graphic>
          </wp:inline>
        </w:drawing>
      </w:r>
      <w:bookmarkStart w:id="124" w:name="_GoBack"/>
      <w:r>
        <w:rPr>
          <w:rFonts w:hint="eastAsia" w:ascii="仿宋" w:hAnsi="仿宋" w:eastAsia="仿宋" w:cs="华光楷体一_CNKI"/>
          <w:bCs/>
          <w:color w:val="000000" w:themeColor="text1"/>
          <w:szCs w:val="28"/>
          <w14:textFill>
            <w14:solidFill>
              <w14:schemeClr w14:val="tx1"/>
            </w14:solidFill>
          </w14:textFill>
        </w:rPr>
        <w:drawing>
          <wp:inline distT="0" distB="0" distL="114300" distR="114300">
            <wp:extent cx="3230880" cy="377190"/>
            <wp:effectExtent l="0" t="0" r="7620" b="3810"/>
            <wp:docPr id="4" name="图片 4" descr="1701352479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01352479443"/>
                    <pic:cNvPicPr>
                      <a:picLocks noChangeAspect="1"/>
                    </pic:cNvPicPr>
                  </pic:nvPicPr>
                  <pic:blipFill>
                    <a:blip r:embed="rId12"/>
                    <a:stretch>
                      <a:fillRect/>
                    </a:stretch>
                  </pic:blipFill>
                  <pic:spPr>
                    <a:xfrm>
                      <a:off x="0" y="0"/>
                      <a:ext cx="3230880" cy="377190"/>
                    </a:xfrm>
                    <a:prstGeom prst="rect">
                      <a:avLst/>
                    </a:prstGeom>
                  </pic:spPr>
                </pic:pic>
              </a:graphicData>
            </a:graphic>
          </wp:inline>
        </w:drawing>
      </w:r>
      <w:bookmarkEnd w:id="124"/>
    </w:p>
    <w:p>
      <w:pPr>
        <w:adjustRightInd w:val="0"/>
        <w:snapToGrid w:val="0"/>
        <w:ind w:firstLine="1400" w:firstLineChars="500"/>
        <w:jc w:val="left"/>
        <w:rPr>
          <w:rFonts w:ascii="仿宋" w:hAnsi="仿宋" w:eastAsia="仿宋" w:cs="华光楷体一_CNKI"/>
          <w:bCs/>
          <w:color w:val="000000" w:themeColor="text1"/>
          <w:szCs w:val="28"/>
          <w14:textFill>
            <w14:solidFill>
              <w14:schemeClr w14:val="tx1"/>
            </w14:solidFill>
          </w14:textFill>
        </w:rPr>
      </w:pPr>
    </w:p>
    <w:p>
      <w:pPr>
        <w:adjustRightInd w:val="0"/>
        <w:snapToGrid w:val="0"/>
        <w:ind w:firstLine="1400" w:firstLineChars="500"/>
        <w:jc w:val="left"/>
        <w:rPr>
          <w:rFonts w:ascii="仿宋" w:hAnsi="仿宋" w:eastAsia="仿宋" w:cs="华光楷体一_CNKI"/>
          <w:bCs/>
          <w:szCs w:val="28"/>
        </w:rPr>
      </w:pPr>
    </w:p>
    <w:p>
      <w:pPr>
        <w:adjustRightInd w:val="0"/>
        <w:snapToGrid w:val="0"/>
        <w:jc w:val="left"/>
        <w:rPr>
          <w:rFonts w:ascii="仿宋" w:hAnsi="仿宋" w:eastAsia="仿宋" w:cs="华光楷体一_CNKI"/>
          <w:bCs/>
          <w:color w:val="000000" w:themeColor="text1"/>
          <w:szCs w:val="28"/>
          <w14:textFill>
            <w14:solidFill>
              <w14:schemeClr w14:val="tx1"/>
            </w14:solidFill>
          </w14:textFill>
        </w:rPr>
      </w:pPr>
    </w:p>
    <w:p>
      <w:pPr>
        <w:adjustRightInd w:val="0"/>
        <w:snapToGrid w:val="0"/>
        <w:ind w:firstLine="1400" w:firstLineChars="500"/>
        <w:jc w:val="left"/>
        <w:rPr>
          <w:rFonts w:ascii="仿宋" w:hAnsi="仿宋" w:eastAsia="仿宋" w:cs="华光楷体一_CNKI"/>
          <w:bCs/>
          <w:color w:val="000000" w:themeColor="text1"/>
          <w:szCs w:val="28"/>
          <w14:textFill>
            <w14:solidFill>
              <w14:schemeClr w14:val="tx1"/>
            </w14:solidFill>
          </w14:textFill>
        </w:rPr>
      </w:pPr>
    </w:p>
    <w:p>
      <w:pPr>
        <w:pStyle w:val="2"/>
      </w:pPr>
    </w:p>
    <w:p>
      <w:pPr>
        <w:adjustRightInd w:val="0"/>
        <w:snapToGrid w:val="0"/>
        <w:ind w:firstLine="1400" w:firstLineChars="500"/>
        <w:jc w:val="left"/>
        <w:rPr>
          <w:rFonts w:ascii="仿宋" w:hAnsi="仿宋" w:eastAsia="仿宋" w:cs="华光楷体一_CNKI"/>
          <w:bCs/>
          <w:color w:val="000000" w:themeColor="text1"/>
          <w:szCs w:val="28"/>
          <w14:textFill>
            <w14:solidFill>
              <w14:schemeClr w14:val="tx1"/>
            </w14:solidFill>
          </w14:textFill>
        </w:rPr>
      </w:pPr>
    </w:p>
    <w:p>
      <w:pPr>
        <w:adjustRightInd w:val="0"/>
        <w:snapToGrid w:val="0"/>
        <w:ind w:firstLine="1400" w:firstLineChars="500"/>
        <w:jc w:val="left"/>
        <w:rPr>
          <w:rFonts w:ascii="仿宋" w:hAnsi="仿宋" w:eastAsia="仿宋" w:cs="华光楷体一_CNKI"/>
          <w:bCs/>
          <w:color w:val="000000" w:themeColor="text1"/>
          <w:szCs w:val="28"/>
          <w14:textFill>
            <w14:solidFill>
              <w14:schemeClr w14:val="tx1"/>
            </w14:solidFill>
          </w14:textFill>
        </w:rPr>
      </w:pPr>
    </w:p>
    <w:p>
      <w:pPr>
        <w:adjustRightInd w:val="0"/>
        <w:snapToGrid w:val="0"/>
        <w:ind w:firstLine="1400" w:firstLineChars="500"/>
        <w:jc w:val="left"/>
        <w:rPr>
          <w:rFonts w:ascii="仿宋" w:hAnsi="仿宋" w:eastAsia="仿宋" w:cs="华光楷体一_CNKI"/>
          <w:bCs/>
          <w:color w:val="000000" w:themeColor="text1"/>
          <w:szCs w:val="28"/>
          <w14:textFill>
            <w14:solidFill>
              <w14:schemeClr w14:val="tx1"/>
            </w14:solidFill>
          </w14:textFill>
        </w:rPr>
      </w:pPr>
    </w:p>
    <w:p>
      <w:pPr>
        <w:adjustRightInd w:val="0"/>
        <w:snapToGrid w:val="0"/>
        <w:ind w:firstLine="1400" w:firstLineChars="500"/>
        <w:jc w:val="left"/>
        <w:rPr>
          <w:rFonts w:ascii="仿宋" w:hAnsi="仿宋" w:eastAsia="仿宋" w:cs="华光楷体一_CNKI"/>
          <w:bCs/>
          <w:color w:val="000000" w:themeColor="text1"/>
          <w:szCs w:val="28"/>
          <w14:textFill>
            <w14:solidFill>
              <w14:schemeClr w14:val="tx1"/>
            </w14:solidFill>
          </w14:textFill>
        </w:rPr>
      </w:pPr>
    </w:p>
    <w:p>
      <w:pPr>
        <w:adjustRightInd w:val="0"/>
        <w:snapToGrid w:val="0"/>
        <w:ind w:firstLine="1400" w:firstLineChars="500"/>
        <w:jc w:val="left"/>
        <w:rPr>
          <w:rFonts w:ascii="仿宋" w:hAnsi="仿宋" w:eastAsia="仿宋" w:cs="华光楷体一_CNKI"/>
          <w:bCs/>
          <w:color w:val="000000" w:themeColor="text1"/>
          <w:szCs w:val="28"/>
          <w14:textFill>
            <w14:solidFill>
              <w14:schemeClr w14:val="tx1"/>
            </w14:solidFill>
          </w14:textFill>
        </w:rPr>
      </w:pPr>
    </w:p>
    <w:p>
      <w:pPr>
        <w:adjustRightInd w:val="0"/>
        <w:snapToGrid w:val="0"/>
        <w:ind w:firstLine="1200" w:firstLineChars="500"/>
        <w:jc w:val="left"/>
        <w:rPr>
          <w:rFonts w:ascii="仿宋" w:hAnsi="仿宋" w:eastAsia="仿宋" w:cs="仿宋"/>
          <w:bCs/>
          <w:sz w:val="24"/>
        </w:rPr>
      </w:pPr>
      <w:r>
        <w:rPr>
          <w:rFonts w:hint="eastAsia" w:ascii="仿宋" w:hAnsi="仿宋" w:eastAsia="仿宋" w:cs="仿宋"/>
          <w:bCs/>
          <w:sz w:val="24"/>
        </w:rPr>
        <w:t xml:space="preserve">主评人签字：刘琨  </w:t>
      </w:r>
    </w:p>
    <w:p>
      <w:pPr>
        <w:adjustRightInd w:val="0"/>
        <w:snapToGrid w:val="0"/>
        <w:ind w:firstLine="1200" w:firstLineChars="500"/>
        <w:jc w:val="center"/>
        <w:rPr>
          <w:rFonts w:ascii="仿宋" w:hAnsi="仿宋" w:eastAsia="仿宋" w:cs="仿宋"/>
          <w:bCs/>
          <w:sz w:val="24"/>
        </w:rPr>
      </w:pPr>
    </w:p>
    <w:p>
      <w:pPr>
        <w:adjustRightInd w:val="0"/>
        <w:snapToGrid w:val="0"/>
        <w:ind w:firstLine="1200" w:firstLineChars="500"/>
        <w:jc w:val="left"/>
        <w:rPr>
          <w:rFonts w:ascii="仿宋" w:hAnsi="仿宋" w:eastAsia="仿宋" w:cs="Times New Roman"/>
          <w:b/>
          <w:sz w:val="24"/>
          <w:szCs w:val="32"/>
        </w:rPr>
      </w:pPr>
      <w:r>
        <w:rPr>
          <w:rFonts w:hint="eastAsia" w:ascii="仿宋" w:hAnsi="仿宋" w:eastAsia="仿宋" w:cs="仿宋"/>
          <w:bCs/>
          <w:sz w:val="24"/>
        </w:rPr>
        <w:t>组       员：</w:t>
      </w:r>
      <w:r>
        <w:rPr>
          <w:rFonts w:hint="eastAsia" w:ascii="仿宋" w:hAnsi="仿宋" w:eastAsia="仿宋" w:cs="楷体"/>
          <w:bCs/>
          <w:sz w:val="24"/>
        </w:rPr>
        <w:t xml:space="preserve">朱瑛 李桐 </w:t>
      </w:r>
      <w:r>
        <w:rPr>
          <w:rFonts w:ascii="仿宋" w:hAnsi="仿宋" w:eastAsia="仿宋" w:cs="楷体"/>
          <w:bCs/>
          <w:sz w:val="24"/>
        </w:rPr>
        <w:t xml:space="preserve">苏晓 </w:t>
      </w:r>
      <w:r>
        <w:rPr>
          <w:rFonts w:hint="eastAsia" w:ascii="仿宋" w:hAnsi="仿宋" w:eastAsia="仿宋" w:cs="楷体"/>
          <w:bCs/>
          <w:sz w:val="24"/>
        </w:rPr>
        <w:t>江萍 赖浏安 廖昕怡 潘键群</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Arial"/>
          <w:b/>
          <w:color w:val="000000" w:themeColor="text1"/>
          <w:kern w:val="0"/>
          <w:sz w:val="20"/>
          <w:szCs w:val="20"/>
          <w14:textFill>
            <w14:solidFill>
              <w14:schemeClr w14:val="tx1"/>
            </w14:solidFill>
          </w14:textFill>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Arial"/>
          <w:b/>
          <w:color w:val="000000" w:themeColor="text1"/>
          <w:kern w:val="0"/>
          <w:sz w:val="20"/>
          <w:szCs w:val="20"/>
          <w14:textFill>
            <w14:solidFill>
              <w14:schemeClr w14:val="tx1"/>
            </w14:solidFill>
          </w14:textFill>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Arial"/>
          <w:b/>
          <w:color w:val="000000" w:themeColor="text1"/>
          <w:kern w:val="0"/>
          <w:sz w:val="20"/>
          <w:szCs w:val="20"/>
          <w14:textFill>
            <w14:solidFill>
              <w14:schemeClr w14:val="tx1"/>
            </w14:solidFill>
          </w14:textFill>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Arial"/>
          <w:b/>
          <w:color w:val="000000" w:themeColor="text1"/>
          <w:kern w:val="0"/>
          <w:sz w:val="20"/>
          <w:szCs w:val="20"/>
          <w14:textFill>
            <w14:solidFill>
              <w14:schemeClr w14:val="tx1"/>
            </w14:solidFill>
          </w14:textFill>
        </w:rPr>
      </w:pPr>
      <w:r>
        <w:rPr>
          <w:rFonts w:ascii="仿宋" w:hAnsi="仿宋" w:eastAsia="仿宋" w:cs="宋体"/>
          <w:color w:val="000000" w:themeColor="text1"/>
          <w:kern w:val="0"/>
          <w:sz w:val="20"/>
          <w:szCs w:val="20"/>
          <w14:textFill>
            <w14:solidFill>
              <w14:schemeClr w14:val="tx1"/>
            </w14:solidFill>
          </w14:textFill>
        </w:rPr>
        <w:t>　</w:t>
      </w:r>
    </w:p>
    <w:p>
      <w:pPr>
        <w:widowControl/>
        <w:adjustRightInd w:val="0"/>
        <w:snapToGrid w:val="0"/>
        <w:jc w:val="left"/>
        <w:rPr>
          <w:rFonts w:ascii="仿宋" w:hAnsi="仿宋" w:eastAsia="仿宋" w:cs="宋体"/>
          <w:color w:val="000000" w:themeColor="text1"/>
          <w:kern w:val="0"/>
          <w:sz w:val="20"/>
          <w:szCs w:val="20"/>
          <w14:textFill>
            <w14:solidFill>
              <w14:schemeClr w14:val="tx1"/>
            </w14:solidFill>
          </w14:textFill>
        </w:rPr>
      </w:pPr>
      <w:r>
        <w:rPr>
          <w:rFonts w:ascii="仿宋" w:hAnsi="仿宋" w:eastAsia="仿宋" w:cs="宋体"/>
          <w:color w:val="000000" w:themeColor="text1"/>
          <w:sz w:val="20"/>
          <w:szCs w:val="20"/>
          <w14:textFill>
            <w14:solidFill>
              <w14:schemeClr w14:val="tx1"/>
            </w14:solidFill>
          </w14:textFill>
        </w:rPr>
        <w:br w:type="page"/>
      </w:r>
    </w:p>
    <w:p>
      <w:pPr>
        <w:ind w:firstLine="480" w:firstLineChars="200"/>
        <w:jc w:val="center"/>
        <w:rPr>
          <w:rFonts w:asciiTheme="minorEastAsia" w:hAnsiTheme="minorEastAsia"/>
          <w:color w:val="000000" w:themeColor="text1"/>
          <w:szCs w:val="28"/>
          <w14:textFill>
            <w14:solidFill>
              <w14:schemeClr w14:val="tx1"/>
            </w14:solidFill>
          </w14:textFill>
        </w:rPr>
        <w:sectPr>
          <w:pgSz w:w="11906" w:h="16838"/>
          <w:pgMar w:top="1440" w:right="1800" w:bottom="1440" w:left="1800" w:header="851" w:footer="992" w:gutter="0"/>
          <w:cols w:space="425" w:num="1"/>
          <w:titlePg/>
          <w:docGrid w:type="lines" w:linePitch="381" w:charSpace="0"/>
        </w:sectPr>
      </w:pPr>
      <w:r>
        <w:rPr>
          <w:rFonts w:ascii="仿宋" w:hAnsi="仿宋" w:eastAsia="仿宋" w:cs="Times New Roman"/>
          <w:color w:val="000000" w:themeColor="text1"/>
          <w:sz w:val="24"/>
          <w14:textFill>
            <w14:solidFill>
              <w14:schemeClr w14:val="tx1"/>
            </w14:solidFill>
          </w14:textFill>
        </w:rPr>
        <w:br w:type="page"/>
      </w:r>
    </w:p>
    <w:sdt>
      <w:sdtPr>
        <w:rPr>
          <w:rFonts w:ascii="Times New Roman" w:hAnsi="Times New Roman" w:eastAsia="仿宋" w:cs="Times New Roman"/>
          <w:color w:val="000000" w:themeColor="text1"/>
          <w:sz w:val="21"/>
          <w14:textFill>
            <w14:solidFill>
              <w14:schemeClr w14:val="tx1"/>
            </w14:solidFill>
          </w14:textFill>
        </w:rPr>
        <w:id w:val="147461624"/>
        <w:docPartObj>
          <w:docPartGallery w:val="Table of Contents"/>
          <w:docPartUnique/>
        </w:docPartObj>
      </w:sdtPr>
      <w:sdtEndPr>
        <w:rPr>
          <w:rFonts w:ascii="Times New Roman" w:hAnsi="Times New Roman" w:eastAsia="仿宋" w:cs="Times New Roman"/>
          <w:color w:val="000000" w:themeColor="text1"/>
          <w:sz w:val="28"/>
          <w:szCs w:val="28"/>
          <w14:textFill>
            <w14:solidFill>
              <w14:schemeClr w14:val="tx1"/>
            </w14:solidFill>
          </w14:textFill>
        </w:rPr>
      </w:sdtEndPr>
      <w:sdtContent>
        <w:p>
          <w:pPr>
            <w:spacing w:line="240" w:lineRule="auto"/>
            <w:jc w:val="center"/>
            <w:rPr>
              <w:rFonts w:ascii="Times New Roman" w:hAnsi="Times New Roman" w:eastAsia="仿宋" w:cs="Times New Roman"/>
              <w:b/>
              <w:color w:val="000000" w:themeColor="text1"/>
              <w:sz w:val="36"/>
              <w:szCs w:val="36"/>
              <w14:textFill>
                <w14:solidFill>
                  <w14:schemeClr w14:val="tx1"/>
                </w14:solidFill>
              </w14:textFill>
            </w:rPr>
          </w:pPr>
          <w:r>
            <w:rPr>
              <w:rFonts w:ascii="Times New Roman" w:hAnsi="Times New Roman" w:eastAsia="仿宋" w:cs="Times New Roman"/>
              <w:b/>
              <w:color w:val="000000" w:themeColor="text1"/>
              <w:sz w:val="36"/>
              <w:szCs w:val="36"/>
              <w14:textFill>
                <w14:solidFill>
                  <w14:schemeClr w14:val="tx1"/>
                </w14:solidFill>
              </w14:textFill>
            </w:rPr>
            <w:t>目录</w:t>
          </w:r>
        </w:p>
        <w:p>
          <w:pPr>
            <w:pStyle w:val="10"/>
            <w:tabs>
              <w:tab w:val="right" w:leader="dot" w:pos="8306"/>
            </w:tabs>
          </w:pPr>
          <w:r>
            <w:rPr>
              <w:rFonts w:ascii="Times New Roman" w:hAnsi="Times New Roman" w:eastAsia="仿宋" w:cs="Times New Roman"/>
              <w:color w:val="000000" w:themeColor="text1"/>
              <w:szCs w:val="28"/>
              <w14:textFill>
                <w14:solidFill>
                  <w14:schemeClr w14:val="tx1"/>
                </w14:solidFill>
              </w14:textFill>
            </w:rPr>
            <w:fldChar w:fldCharType="begin"/>
          </w:r>
          <w:r>
            <w:rPr>
              <w:rFonts w:ascii="Times New Roman" w:hAnsi="Times New Roman" w:eastAsia="仿宋" w:cs="Times New Roman"/>
              <w:color w:val="000000" w:themeColor="text1"/>
              <w:szCs w:val="28"/>
              <w14:textFill>
                <w14:solidFill>
                  <w14:schemeClr w14:val="tx1"/>
                </w14:solidFill>
              </w14:textFill>
            </w:rPr>
            <w:instrText xml:space="preserve">TOC \o "1-3" \h \u </w:instrText>
          </w:r>
          <w:r>
            <w:rPr>
              <w:rFonts w:ascii="Times New Roman" w:hAnsi="Times New Roman" w:eastAsia="仿宋" w:cs="Times New Roman"/>
              <w:color w:val="000000" w:themeColor="text1"/>
              <w:szCs w:val="28"/>
              <w14:textFill>
                <w14:solidFill>
                  <w14:schemeClr w14:val="tx1"/>
                </w14:solidFill>
              </w14:textFill>
            </w:rPr>
            <w:fldChar w:fldCharType="separate"/>
          </w:r>
          <w:r>
            <w:fldChar w:fldCharType="begin"/>
          </w:r>
          <w:r>
            <w:instrText xml:space="preserve"> HYPERLINK \l "_Toc1523" </w:instrText>
          </w:r>
          <w:r>
            <w:fldChar w:fldCharType="separate"/>
          </w:r>
          <w:r>
            <w:rPr>
              <w:rFonts w:ascii="Times New Roman" w:hAnsi="Times New Roman" w:eastAsia="仿宋" w:cs="Times New Roman"/>
              <w:kern w:val="0"/>
              <w:szCs w:val="36"/>
              <w:lang w:bidi="ar"/>
            </w:rPr>
            <w:t>第一部分 专项资金基本概况</w:t>
          </w:r>
          <w:r>
            <w:tab/>
          </w:r>
          <w:r>
            <w:fldChar w:fldCharType="begin"/>
          </w:r>
          <w:r>
            <w:instrText xml:space="preserve"> PAGEREF _Toc1523 \h </w:instrText>
          </w:r>
          <w:r>
            <w:fldChar w:fldCharType="separate"/>
          </w:r>
          <w:r>
            <w:t>1</w:t>
          </w:r>
          <w:r>
            <w:fldChar w:fldCharType="end"/>
          </w:r>
          <w:r>
            <w:fldChar w:fldCharType="end"/>
          </w:r>
        </w:p>
        <w:p>
          <w:pPr>
            <w:pStyle w:val="11"/>
            <w:tabs>
              <w:tab w:val="right" w:leader="dot" w:pos="8306"/>
            </w:tabs>
            <w:ind w:left="560"/>
          </w:pPr>
          <w:r>
            <w:fldChar w:fldCharType="begin"/>
          </w:r>
          <w:r>
            <w:instrText xml:space="preserve"> HYPERLINK \l "_Toc8350" </w:instrText>
          </w:r>
          <w:r>
            <w:fldChar w:fldCharType="separate"/>
          </w:r>
          <w:r>
            <w:rPr>
              <w:rFonts w:ascii="Times New Roman" w:hAnsi="Times New Roman" w:eastAsia="仿宋" w:cs="Times New Roman"/>
              <w:kern w:val="0"/>
              <w:szCs w:val="32"/>
              <w:lang w:bidi="ar"/>
            </w:rPr>
            <w:t>一、专项资金实施背景</w:t>
          </w:r>
          <w:r>
            <w:tab/>
          </w:r>
          <w:r>
            <w:fldChar w:fldCharType="begin"/>
          </w:r>
          <w:r>
            <w:instrText xml:space="preserve"> PAGEREF _Toc8350 \h </w:instrText>
          </w:r>
          <w:r>
            <w:fldChar w:fldCharType="separate"/>
          </w:r>
          <w:r>
            <w:t>1</w:t>
          </w:r>
          <w:r>
            <w:fldChar w:fldCharType="end"/>
          </w:r>
          <w:r>
            <w:fldChar w:fldCharType="end"/>
          </w:r>
        </w:p>
        <w:p>
          <w:pPr>
            <w:pStyle w:val="11"/>
            <w:tabs>
              <w:tab w:val="right" w:leader="dot" w:pos="8306"/>
            </w:tabs>
            <w:ind w:left="560"/>
          </w:pPr>
          <w:r>
            <w:fldChar w:fldCharType="begin"/>
          </w:r>
          <w:r>
            <w:instrText xml:space="preserve"> HYPERLINK \l "_Toc30818" </w:instrText>
          </w:r>
          <w:r>
            <w:fldChar w:fldCharType="separate"/>
          </w:r>
          <w:r>
            <w:rPr>
              <w:rFonts w:ascii="Times New Roman" w:hAnsi="Times New Roman" w:eastAsia="仿宋" w:cs="Times New Roman"/>
              <w:kern w:val="0"/>
              <w:szCs w:val="32"/>
              <w:lang w:bidi="ar"/>
            </w:rPr>
            <w:t>二、专项资金实施依据</w:t>
          </w:r>
          <w:r>
            <w:tab/>
          </w:r>
          <w:r>
            <w:fldChar w:fldCharType="begin"/>
          </w:r>
          <w:r>
            <w:instrText xml:space="preserve"> PAGEREF _Toc30818 \h </w:instrText>
          </w:r>
          <w:r>
            <w:fldChar w:fldCharType="separate"/>
          </w:r>
          <w:r>
            <w:t>1</w:t>
          </w:r>
          <w:r>
            <w:fldChar w:fldCharType="end"/>
          </w:r>
          <w:r>
            <w:fldChar w:fldCharType="end"/>
          </w:r>
        </w:p>
        <w:p>
          <w:pPr>
            <w:pStyle w:val="11"/>
            <w:tabs>
              <w:tab w:val="right" w:leader="dot" w:pos="8306"/>
            </w:tabs>
            <w:ind w:left="560"/>
          </w:pPr>
          <w:r>
            <w:fldChar w:fldCharType="begin"/>
          </w:r>
          <w:r>
            <w:instrText xml:space="preserve"> HYPERLINK \l "_Toc6523" </w:instrText>
          </w:r>
          <w:r>
            <w:fldChar w:fldCharType="separate"/>
          </w:r>
          <w:r>
            <w:rPr>
              <w:rFonts w:ascii="Times New Roman" w:hAnsi="Times New Roman" w:eastAsia="仿宋" w:cs="Times New Roman"/>
              <w:kern w:val="0"/>
              <w:szCs w:val="32"/>
              <w:lang w:bidi="ar"/>
            </w:rPr>
            <w:t>三、专项资金实施目标</w:t>
          </w:r>
          <w:r>
            <w:tab/>
          </w:r>
          <w:r>
            <w:fldChar w:fldCharType="begin"/>
          </w:r>
          <w:r>
            <w:instrText xml:space="preserve"> PAGEREF _Toc6523 \h </w:instrText>
          </w:r>
          <w:r>
            <w:fldChar w:fldCharType="separate"/>
          </w:r>
          <w:r>
            <w:t>2</w:t>
          </w:r>
          <w:r>
            <w:fldChar w:fldCharType="end"/>
          </w:r>
          <w:r>
            <w:fldChar w:fldCharType="end"/>
          </w:r>
        </w:p>
        <w:p>
          <w:pPr>
            <w:pStyle w:val="11"/>
            <w:tabs>
              <w:tab w:val="right" w:leader="dot" w:pos="8306"/>
            </w:tabs>
            <w:ind w:left="560"/>
          </w:pPr>
          <w:r>
            <w:fldChar w:fldCharType="begin"/>
          </w:r>
          <w:r>
            <w:instrText xml:space="preserve"> HYPERLINK \l "_Toc7669" </w:instrText>
          </w:r>
          <w:r>
            <w:fldChar w:fldCharType="separate"/>
          </w:r>
          <w:r>
            <w:rPr>
              <w:rFonts w:ascii="Times New Roman" w:hAnsi="Times New Roman" w:eastAsia="仿宋" w:cs="Times New Roman"/>
              <w:kern w:val="0"/>
              <w:szCs w:val="32"/>
              <w:lang w:bidi="ar"/>
            </w:rPr>
            <w:t>四、专项资金执行情况</w:t>
          </w:r>
          <w:r>
            <w:tab/>
          </w:r>
          <w:r>
            <w:fldChar w:fldCharType="begin"/>
          </w:r>
          <w:r>
            <w:instrText xml:space="preserve"> PAGEREF _Toc7669 \h </w:instrText>
          </w:r>
          <w:r>
            <w:fldChar w:fldCharType="separate"/>
          </w:r>
          <w:r>
            <w:t>3</w:t>
          </w:r>
          <w:r>
            <w:fldChar w:fldCharType="end"/>
          </w:r>
          <w:r>
            <w:fldChar w:fldCharType="end"/>
          </w:r>
        </w:p>
        <w:p>
          <w:pPr>
            <w:pStyle w:val="11"/>
            <w:tabs>
              <w:tab w:val="right" w:leader="dot" w:pos="8306"/>
            </w:tabs>
            <w:ind w:left="560"/>
          </w:pPr>
          <w:r>
            <w:fldChar w:fldCharType="begin"/>
          </w:r>
          <w:r>
            <w:instrText xml:space="preserve"> HYPERLINK \l "_Toc30311" </w:instrText>
          </w:r>
          <w:r>
            <w:fldChar w:fldCharType="separate"/>
          </w:r>
          <w:r>
            <w:rPr>
              <w:rFonts w:ascii="Times New Roman" w:hAnsi="Times New Roman" w:eastAsia="仿宋" w:cs="Times New Roman"/>
              <w:kern w:val="0"/>
              <w:szCs w:val="32"/>
              <w:lang w:bidi="ar"/>
            </w:rPr>
            <w:t>五、专项资金管理流程</w:t>
          </w:r>
          <w:r>
            <w:tab/>
          </w:r>
          <w:r>
            <w:fldChar w:fldCharType="begin"/>
          </w:r>
          <w:r>
            <w:instrText xml:space="preserve"> PAGEREF _Toc30311 \h </w:instrText>
          </w:r>
          <w:r>
            <w:fldChar w:fldCharType="separate"/>
          </w:r>
          <w:r>
            <w:t>3</w:t>
          </w:r>
          <w:r>
            <w:fldChar w:fldCharType="end"/>
          </w:r>
          <w:r>
            <w:fldChar w:fldCharType="end"/>
          </w:r>
        </w:p>
        <w:p>
          <w:pPr>
            <w:pStyle w:val="10"/>
            <w:tabs>
              <w:tab w:val="right" w:leader="dot" w:pos="8306"/>
            </w:tabs>
          </w:pPr>
          <w:r>
            <w:fldChar w:fldCharType="begin"/>
          </w:r>
          <w:r>
            <w:instrText xml:space="preserve"> HYPERLINK \l "_Toc9187" </w:instrText>
          </w:r>
          <w:r>
            <w:fldChar w:fldCharType="separate"/>
          </w:r>
          <w:r>
            <w:rPr>
              <w:rFonts w:ascii="Times New Roman" w:hAnsi="Times New Roman" w:eastAsia="仿宋" w:cs="Times New Roman"/>
              <w:szCs w:val="36"/>
            </w:rPr>
            <w:t>第二部分 绩效评价工作开展情况</w:t>
          </w:r>
          <w:r>
            <w:tab/>
          </w:r>
          <w:r>
            <w:fldChar w:fldCharType="begin"/>
          </w:r>
          <w:r>
            <w:instrText xml:space="preserve"> PAGEREF _Toc9187 \h </w:instrText>
          </w:r>
          <w:r>
            <w:fldChar w:fldCharType="separate"/>
          </w:r>
          <w:r>
            <w:t>5</w:t>
          </w:r>
          <w:r>
            <w:fldChar w:fldCharType="end"/>
          </w:r>
          <w:r>
            <w:fldChar w:fldCharType="end"/>
          </w:r>
        </w:p>
        <w:p>
          <w:pPr>
            <w:pStyle w:val="11"/>
            <w:tabs>
              <w:tab w:val="right" w:leader="dot" w:pos="8306"/>
            </w:tabs>
            <w:ind w:left="560"/>
          </w:pPr>
          <w:r>
            <w:fldChar w:fldCharType="begin"/>
          </w:r>
          <w:r>
            <w:instrText xml:space="preserve"> HYPERLINK \l "_Toc32168" </w:instrText>
          </w:r>
          <w:r>
            <w:fldChar w:fldCharType="separate"/>
          </w:r>
          <w:r>
            <w:rPr>
              <w:rFonts w:ascii="Times New Roman" w:hAnsi="Times New Roman" w:eastAsia="仿宋" w:cs="Times New Roman"/>
              <w:szCs w:val="32"/>
            </w:rPr>
            <w:t>一、评价工作组介绍</w:t>
          </w:r>
          <w:r>
            <w:tab/>
          </w:r>
          <w:r>
            <w:fldChar w:fldCharType="begin"/>
          </w:r>
          <w:r>
            <w:instrText xml:space="preserve"> PAGEREF _Toc32168 \h </w:instrText>
          </w:r>
          <w:r>
            <w:fldChar w:fldCharType="separate"/>
          </w:r>
          <w:r>
            <w:t>5</w:t>
          </w:r>
          <w:r>
            <w:fldChar w:fldCharType="end"/>
          </w:r>
          <w:r>
            <w:fldChar w:fldCharType="end"/>
          </w:r>
        </w:p>
        <w:p>
          <w:pPr>
            <w:pStyle w:val="11"/>
            <w:tabs>
              <w:tab w:val="right" w:leader="dot" w:pos="8306"/>
            </w:tabs>
            <w:ind w:left="560"/>
          </w:pPr>
          <w:r>
            <w:fldChar w:fldCharType="begin"/>
          </w:r>
          <w:r>
            <w:instrText xml:space="preserve"> HYPERLINK \l "_Toc30107" </w:instrText>
          </w:r>
          <w:r>
            <w:fldChar w:fldCharType="separate"/>
          </w:r>
          <w:r>
            <w:rPr>
              <w:rFonts w:ascii="Times New Roman" w:hAnsi="Times New Roman" w:eastAsia="仿宋" w:cs="Times New Roman"/>
              <w:szCs w:val="32"/>
            </w:rPr>
            <w:t>二、评价目的</w:t>
          </w:r>
          <w:r>
            <w:tab/>
          </w:r>
          <w:r>
            <w:fldChar w:fldCharType="begin"/>
          </w:r>
          <w:r>
            <w:instrText xml:space="preserve"> PAGEREF _Toc30107 \h </w:instrText>
          </w:r>
          <w:r>
            <w:fldChar w:fldCharType="separate"/>
          </w:r>
          <w:r>
            <w:t>5</w:t>
          </w:r>
          <w:r>
            <w:fldChar w:fldCharType="end"/>
          </w:r>
          <w:r>
            <w:fldChar w:fldCharType="end"/>
          </w:r>
        </w:p>
        <w:p>
          <w:pPr>
            <w:pStyle w:val="5"/>
            <w:tabs>
              <w:tab w:val="right" w:leader="dot" w:pos="8306"/>
            </w:tabs>
            <w:ind w:left="1120"/>
          </w:pPr>
          <w:r>
            <w:fldChar w:fldCharType="begin"/>
          </w:r>
          <w:r>
            <w:instrText xml:space="preserve"> HYPERLINK \l "_Toc14895" </w:instrText>
          </w:r>
          <w:r>
            <w:fldChar w:fldCharType="separate"/>
          </w:r>
          <w:r>
            <w:rPr>
              <w:rFonts w:ascii="Times New Roman" w:hAnsi="Times New Roman" w:eastAsia="仿宋" w:cs="Times New Roman"/>
              <w:bCs/>
              <w:szCs w:val="28"/>
            </w:rPr>
            <w:t>（一）评价专项资金管理的规范性和合理性</w:t>
          </w:r>
          <w:r>
            <w:tab/>
          </w:r>
          <w:r>
            <w:fldChar w:fldCharType="begin"/>
          </w:r>
          <w:r>
            <w:instrText xml:space="preserve"> PAGEREF _Toc14895 \h </w:instrText>
          </w:r>
          <w:r>
            <w:fldChar w:fldCharType="separate"/>
          </w:r>
          <w:r>
            <w:t>5</w:t>
          </w:r>
          <w:r>
            <w:fldChar w:fldCharType="end"/>
          </w:r>
          <w:r>
            <w:fldChar w:fldCharType="end"/>
          </w:r>
        </w:p>
        <w:p>
          <w:pPr>
            <w:pStyle w:val="5"/>
            <w:tabs>
              <w:tab w:val="right" w:leader="dot" w:pos="8306"/>
            </w:tabs>
            <w:ind w:left="1120"/>
          </w:pPr>
          <w:r>
            <w:fldChar w:fldCharType="begin"/>
          </w:r>
          <w:r>
            <w:instrText xml:space="preserve"> HYPERLINK \l "_Toc29342" </w:instrText>
          </w:r>
          <w:r>
            <w:fldChar w:fldCharType="separate"/>
          </w:r>
          <w:r>
            <w:rPr>
              <w:rFonts w:hint="eastAsia" w:ascii="仿宋" w:hAnsi="仿宋" w:eastAsia="仿宋" w:cs="仿宋"/>
              <w:bCs/>
              <w:szCs w:val="28"/>
            </w:rPr>
            <w:t>（二）评价专项资金的产出和效果</w:t>
          </w:r>
          <w:r>
            <w:tab/>
          </w:r>
          <w:r>
            <w:fldChar w:fldCharType="begin"/>
          </w:r>
          <w:r>
            <w:instrText xml:space="preserve"> PAGEREF _Toc29342 \h </w:instrText>
          </w:r>
          <w:r>
            <w:fldChar w:fldCharType="separate"/>
          </w:r>
          <w:r>
            <w:t>5</w:t>
          </w:r>
          <w:r>
            <w:fldChar w:fldCharType="end"/>
          </w:r>
          <w:r>
            <w:fldChar w:fldCharType="end"/>
          </w:r>
        </w:p>
        <w:p>
          <w:pPr>
            <w:pStyle w:val="5"/>
            <w:tabs>
              <w:tab w:val="right" w:leader="dot" w:pos="8306"/>
            </w:tabs>
            <w:ind w:left="1120"/>
          </w:pPr>
          <w:r>
            <w:fldChar w:fldCharType="begin"/>
          </w:r>
          <w:r>
            <w:instrText xml:space="preserve"> HYPERLINK \l "_Toc21631" </w:instrText>
          </w:r>
          <w:r>
            <w:fldChar w:fldCharType="separate"/>
          </w:r>
          <w:r>
            <w:rPr>
              <w:rFonts w:hint="eastAsia" w:ascii="仿宋" w:hAnsi="仿宋" w:eastAsia="仿宋" w:cs="仿宋"/>
              <w:bCs/>
              <w:szCs w:val="28"/>
            </w:rPr>
            <w:t>（三）促进旅游业改革发展，推动全域化文旅建设</w:t>
          </w:r>
          <w:r>
            <w:tab/>
          </w:r>
          <w:r>
            <w:fldChar w:fldCharType="begin"/>
          </w:r>
          <w:r>
            <w:instrText xml:space="preserve"> PAGEREF _Toc21631 \h </w:instrText>
          </w:r>
          <w:r>
            <w:fldChar w:fldCharType="separate"/>
          </w:r>
          <w:r>
            <w:t>6</w:t>
          </w:r>
          <w:r>
            <w:fldChar w:fldCharType="end"/>
          </w:r>
          <w:r>
            <w:fldChar w:fldCharType="end"/>
          </w:r>
        </w:p>
        <w:p>
          <w:pPr>
            <w:pStyle w:val="11"/>
            <w:tabs>
              <w:tab w:val="right" w:leader="dot" w:pos="8306"/>
            </w:tabs>
            <w:ind w:left="560"/>
          </w:pPr>
          <w:r>
            <w:fldChar w:fldCharType="begin"/>
          </w:r>
          <w:r>
            <w:instrText xml:space="preserve"> HYPERLINK \l "_Toc29764" </w:instrText>
          </w:r>
          <w:r>
            <w:fldChar w:fldCharType="separate"/>
          </w:r>
          <w:r>
            <w:rPr>
              <w:rFonts w:ascii="Times New Roman" w:hAnsi="Times New Roman" w:eastAsia="仿宋" w:cs="Times New Roman"/>
              <w:szCs w:val="32"/>
            </w:rPr>
            <w:t>三、评价对象</w:t>
          </w:r>
          <w:r>
            <w:tab/>
          </w:r>
          <w:r>
            <w:fldChar w:fldCharType="begin"/>
          </w:r>
          <w:r>
            <w:instrText xml:space="preserve"> PAGEREF _Toc29764 \h </w:instrText>
          </w:r>
          <w:r>
            <w:fldChar w:fldCharType="separate"/>
          </w:r>
          <w:r>
            <w:t>6</w:t>
          </w:r>
          <w:r>
            <w:fldChar w:fldCharType="end"/>
          </w:r>
          <w:r>
            <w:fldChar w:fldCharType="end"/>
          </w:r>
        </w:p>
        <w:p>
          <w:pPr>
            <w:pStyle w:val="11"/>
            <w:tabs>
              <w:tab w:val="right" w:leader="dot" w:pos="8306"/>
            </w:tabs>
            <w:ind w:left="560"/>
          </w:pPr>
          <w:r>
            <w:fldChar w:fldCharType="begin"/>
          </w:r>
          <w:r>
            <w:instrText xml:space="preserve"> HYPERLINK \l "_Toc20457" </w:instrText>
          </w:r>
          <w:r>
            <w:fldChar w:fldCharType="separate"/>
          </w:r>
          <w:r>
            <w:rPr>
              <w:rFonts w:ascii="Times New Roman" w:hAnsi="Times New Roman" w:eastAsia="仿宋" w:cs="Times New Roman"/>
              <w:szCs w:val="32"/>
            </w:rPr>
            <w:t>四、评价范围</w:t>
          </w:r>
          <w:r>
            <w:tab/>
          </w:r>
          <w:r>
            <w:fldChar w:fldCharType="begin"/>
          </w:r>
          <w:r>
            <w:instrText xml:space="preserve"> PAGEREF _Toc20457 \h </w:instrText>
          </w:r>
          <w:r>
            <w:fldChar w:fldCharType="separate"/>
          </w:r>
          <w:r>
            <w:t>6</w:t>
          </w:r>
          <w:r>
            <w:fldChar w:fldCharType="end"/>
          </w:r>
          <w:r>
            <w:fldChar w:fldCharType="end"/>
          </w:r>
        </w:p>
        <w:p>
          <w:pPr>
            <w:pStyle w:val="11"/>
            <w:tabs>
              <w:tab w:val="right" w:leader="dot" w:pos="8306"/>
            </w:tabs>
            <w:ind w:left="560"/>
          </w:pPr>
          <w:r>
            <w:fldChar w:fldCharType="begin"/>
          </w:r>
          <w:r>
            <w:instrText xml:space="preserve"> HYPERLINK \l "_Toc10890" </w:instrText>
          </w:r>
          <w:r>
            <w:fldChar w:fldCharType="separate"/>
          </w:r>
          <w:r>
            <w:rPr>
              <w:rFonts w:ascii="Times New Roman" w:hAnsi="Times New Roman" w:eastAsia="仿宋" w:cs="Times New Roman"/>
              <w:szCs w:val="32"/>
            </w:rPr>
            <w:t>五、评价原则</w:t>
          </w:r>
          <w:r>
            <w:tab/>
          </w:r>
          <w:r>
            <w:fldChar w:fldCharType="begin"/>
          </w:r>
          <w:r>
            <w:instrText xml:space="preserve"> PAGEREF _Toc10890 \h </w:instrText>
          </w:r>
          <w:r>
            <w:fldChar w:fldCharType="separate"/>
          </w:r>
          <w:r>
            <w:t>6</w:t>
          </w:r>
          <w:r>
            <w:fldChar w:fldCharType="end"/>
          </w:r>
          <w:r>
            <w:fldChar w:fldCharType="end"/>
          </w:r>
        </w:p>
        <w:p>
          <w:pPr>
            <w:pStyle w:val="5"/>
            <w:tabs>
              <w:tab w:val="right" w:leader="dot" w:pos="8306"/>
            </w:tabs>
            <w:ind w:left="1120"/>
          </w:pPr>
          <w:r>
            <w:fldChar w:fldCharType="begin"/>
          </w:r>
          <w:r>
            <w:instrText xml:space="preserve"> HYPERLINK \l "_Toc13987" </w:instrText>
          </w:r>
          <w:r>
            <w:fldChar w:fldCharType="separate"/>
          </w:r>
          <w:r>
            <w:rPr>
              <w:rFonts w:hint="eastAsia" w:ascii="仿宋" w:hAnsi="仿宋" w:eastAsia="仿宋" w:cs="仿宋"/>
              <w:bCs/>
              <w:szCs w:val="28"/>
            </w:rPr>
            <w:t>（一）服务大局原则</w:t>
          </w:r>
          <w:r>
            <w:tab/>
          </w:r>
          <w:r>
            <w:fldChar w:fldCharType="begin"/>
          </w:r>
          <w:r>
            <w:instrText xml:space="preserve"> PAGEREF _Toc13987 \h </w:instrText>
          </w:r>
          <w:r>
            <w:fldChar w:fldCharType="separate"/>
          </w:r>
          <w:r>
            <w:t>6</w:t>
          </w:r>
          <w:r>
            <w:fldChar w:fldCharType="end"/>
          </w:r>
          <w:r>
            <w:fldChar w:fldCharType="end"/>
          </w:r>
        </w:p>
        <w:p>
          <w:pPr>
            <w:pStyle w:val="5"/>
            <w:tabs>
              <w:tab w:val="right" w:leader="dot" w:pos="8306"/>
            </w:tabs>
            <w:ind w:left="1120"/>
          </w:pPr>
          <w:r>
            <w:fldChar w:fldCharType="begin"/>
          </w:r>
          <w:r>
            <w:instrText xml:space="preserve"> HYPERLINK \l "_Toc20565" </w:instrText>
          </w:r>
          <w:r>
            <w:fldChar w:fldCharType="separate"/>
          </w:r>
          <w:r>
            <w:rPr>
              <w:rFonts w:hint="eastAsia" w:ascii="仿宋" w:hAnsi="仿宋" w:eastAsia="仿宋" w:cs="仿宋"/>
              <w:bCs/>
              <w:szCs w:val="28"/>
            </w:rPr>
            <w:t>（二）科学规范原则</w:t>
          </w:r>
          <w:r>
            <w:tab/>
          </w:r>
          <w:r>
            <w:fldChar w:fldCharType="begin"/>
          </w:r>
          <w:r>
            <w:instrText xml:space="preserve"> PAGEREF _Toc20565 \h </w:instrText>
          </w:r>
          <w:r>
            <w:fldChar w:fldCharType="separate"/>
          </w:r>
          <w:r>
            <w:t>6</w:t>
          </w:r>
          <w:r>
            <w:fldChar w:fldCharType="end"/>
          </w:r>
          <w:r>
            <w:fldChar w:fldCharType="end"/>
          </w:r>
        </w:p>
        <w:p>
          <w:pPr>
            <w:pStyle w:val="5"/>
            <w:tabs>
              <w:tab w:val="right" w:leader="dot" w:pos="8306"/>
            </w:tabs>
            <w:ind w:left="1120"/>
          </w:pPr>
          <w:r>
            <w:fldChar w:fldCharType="begin"/>
          </w:r>
          <w:r>
            <w:instrText xml:space="preserve"> HYPERLINK \l "_Toc21369" </w:instrText>
          </w:r>
          <w:r>
            <w:fldChar w:fldCharType="separate"/>
          </w:r>
          <w:r>
            <w:rPr>
              <w:rFonts w:ascii="Times New Roman" w:hAnsi="Times New Roman" w:eastAsia="仿宋" w:cs="Times New Roman"/>
              <w:bCs/>
              <w:szCs w:val="28"/>
            </w:rPr>
            <w:t>（三）公正公开原则</w:t>
          </w:r>
          <w:r>
            <w:tab/>
          </w:r>
          <w:r>
            <w:fldChar w:fldCharType="begin"/>
          </w:r>
          <w:r>
            <w:instrText xml:space="preserve"> PAGEREF _Toc21369 \h </w:instrText>
          </w:r>
          <w:r>
            <w:fldChar w:fldCharType="separate"/>
          </w:r>
          <w:r>
            <w:t>6</w:t>
          </w:r>
          <w:r>
            <w:fldChar w:fldCharType="end"/>
          </w:r>
          <w:r>
            <w:fldChar w:fldCharType="end"/>
          </w:r>
        </w:p>
        <w:p>
          <w:pPr>
            <w:pStyle w:val="5"/>
            <w:tabs>
              <w:tab w:val="right" w:leader="dot" w:pos="8306"/>
            </w:tabs>
            <w:ind w:left="1120"/>
          </w:pPr>
          <w:r>
            <w:fldChar w:fldCharType="begin"/>
          </w:r>
          <w:r>
            <w:instrText xml:space="preserve"> HYPERLINK \l "_Toc31442" </w:instrText>
          </w:r>
          <w:r>
            <w:fldChar w:fldCharType="separate"/>
          </w:r>
          <w:r>
            <w:rPr>
              <w:rFonts w:ascii="Times New Roman" w:hAnsi="Times New Roman" w:eastAsia="仿宋" w:cs="Times New Roman"/>
              <w:bCs/>
              <w:szCs w:val="28"/>
            </w:rPr>
            <w:t>（四）问题导向原则</w:t>
          </w:r>
          <w:r>
            <w:tab/>
          </w:r>
          <w:r>
            <w:fldChar w:fldCharType="begin"/>
          </w:r>
          <w:r>
            <w:instrText xml:space="preserve"> PAGEREF _Toc31442 \h </w:instrText>
          </w:r>
          <w:r>
            <w:fldChar w:fldCharType="separate"/>
          </w:r>
          <w:r>
            <w:t>7</w:t>
          </w:r>
          <w:r>
            <w:fldChar w:fldCharType="end"/>
          </w:r>
          <w:r>
            <w:fldChar w:fldCharType="end"/>
          </w:r>
        </w:p>
        <w:p>
          <w:pPr>
            <w:pStyle w:val="5"/>
            <w:tabs>
              <w:tab w:val="right" w:leader="dot" w:pos="8306"/>
            </w:tabs>
            <w:ind w:left="1120"/>
          </w:pPr>
          <w:r>
            <w:fldChar w:fldCharType="begin"/>
          </w:r>
          <w:r>
            <w:instrText xml:space="preserve"> HYPERLINK \l "_Toc20011" </w:instrText>
          </w:r>
          <w:r>
            <w:fldChar w:fldCharType="separate"/>
          </w:r>
          <w:r>
            <w:rPr>
              <w:rFonts w:ascii="Times New Roman" w:hAnsi="Times New Roman" w:eastAsia="仿宋" w:cs="Times New Roman"/>
              <w:bCs/>
              <w:szCs w:val="28"/>
            </w:rPr>
            <w:t>（五）绩效相关原则</w:t>
          </w:r>
          <w:r>
            <w:tab/>
          </w:r>
          <w:r>
            <w:fldChar w:fldCharType="begin"/>
          </w:r>
          <w:r>
            <w:instrText xml:space="preserve"> PAGEREF _Toc20011 \h </w:instrText>
          </w:r>
          <w:r>
            <w:fldChar w:fldCharType="separate"/>
          </w:r>
          <w:r>
            <w:t>7</w:t>
          </w:r>
          <w:r>
            <w:fldChar w:fldCharType="end"/>
          </w:r>
          <w:r>
            <w:fldChar w:fldCharType="end"/>
          </w:r>
        </w:p>
        <w:p>
          <w:pPr>
            <w:pStyle w:val="11"/>
            <w:tabs>
              <w:tab w:val="right" w:leader="dot" w:pos="8306"/>
            </w:tabs>
            <w:ind w:left="560"/>
          </w:pPr>
          <w:r>
            <w:fldChar w:fldCharType="begin"/>
          </w:r>
          <w:r>
            <w:instrText xml:space="preserve"> HYPERLINK \l "_Toc9437" </w:instrText>
          </w:r>
          <w:r>
            <w:fldChar w:fldCharType="separate"/>
          </w:r>
          <w:r>
            <w:rPr>
              <w:rFonts w:ascii="Times New Roman" w:hAnsi="Times New Roman" w:eastAsia="仿宋" w:cs="Times New Roman"/>
              <w:szCs w:val="32"/>
            </w:rPr>
            <w:t>六、评价指标体系</w:t>
          </w:r>
          <w:r>
            <w:tab/>
          </w:r>
          <w:r>
            <w:fldChar w:fldCharType="begin"/>
          </w:r>
          <w:r>
            <w:instrText xml:space="preserve"> PAGEREF _Toc9437 \h </w:instrText>
          </w:r>
          <w:r>
            <w:fldChar w:fldCharType="separate"/>
          </w:r>
          <w:r>
            <w:t>7</w:t>
          </w:r>
          <w:r>
            <w:fldChar w:fldCharType="end"/>
          </w:r>
          <w:r>
            <w:fldChar w:fldCharType="end"/>
          </w:r>
        </w:p>
        <w:p>
          <w:pPr>
            <w:pStyle w:val="11"/>
            <w:tabs>
              <w:tab w:val="right" w:leader="dot" w:pos="8306"/>
            </w:tabs>
            <w:ind w:left="560"/>
          </w:pPr>
          <w:r>
            <w:fldChar w:fldCharType="begin"/>
          </w:r>
          <w:r>
            <w:instrText xml:space="preserve"> HYPERLINK \l "_Toc26563" </w:instrText>
          </w:r>
          <w:r>
            <w:fldChar w:fldCharType="separate"/>
          </w:r>
          <w:r>
            <w:rPr>
              <w:rFonts w:ascii="Times New Roman" w:hAnsi="Times New Roman" w:eastAsia="仿宋" w:cs="Times New Roman"/>
              <w:szCs w:val="32"/>
            </w:rPr>
            <w:t>七、评价方法</w:t>
          </w:r>
          <w:r>
            <w:tab/>
          </w:r>
          <w:r>
            <w:fldChar w:fldCharType="begin"/>
          </w:r>
          <w:r>
            <w:instrText xml:space="preserve"> PAGEREF _Toc26563 \h </w:instrText>
          </w:r>
          <w:r>
            <w:fldChar w:fldCharType="separate"/>
          </w:r>
          <w:r>
            <w:t>8</w:t>
          </w:r>
          <w:r>
            <w:fldChar w:fldCharType="end"/>
          </w:r>
          <w:r>
            <w:fldChar w:fldCharType="end"/>
          </w:r>
        </w:p>
        <w:p>
          <w:pPr>
            <w:pStyle w:val="5"/>
            <w:tabs>
              <w:tab w:val="right" w:leader="dot" w:pos="8306"/>
            </w:tabs>
            <w:ind w:left="1120"/>
          </w:pPr>
          <w:r>
            <w:fldChar w:fldCharType="begin"/>
          </w:r>
          <w:r>
            <w:instrText xml:space="preserve"> HYPERLINK \l "_Toc24209" </w:instrText>
          </w:r>
          <w:r>
            <w:fldChar w:fldCharType="separate"/>
          </w:r>
          <w:r>
            <w:rPr>
              <w:rFonts w:ascii="Times New Roman" w:hAnsi="Times New Roman" w:eastAsia="仿宋" w:cs="Times New Roman"/>
              <w:bCs/>
              <w:szCs w:val="28"/>
            </w:rPr>
            <w:t>（一）成效分析法</w:t>
          </w:r>
          <w:r>
            <w:tab/>
          </w:r>
          <w:r>
            <w:fldChar w:fldCharType="begin"/>
          </w:r>
          <w:r>
            <w:instrText xml:space="preserve"> PAGEREF _Toc24209 \h </w:instrText>
          </w:r>
          <w:r>
            <w:fldChar w:fldCharType="separate"/>
          </w:r>
          <w:r>
            <w:t>9</w:t>
          </w:r>
          <w:r>
            <w:fldChar w:fldCharType="end"/>
          </w:r>
          <w:r>
            <w:fldChar w:fldCharType="end"/>
          </w:r>
        </w:p>
        <w:p>
          <w:pPr>
            <w:pStyle w:val="5"/>
            <w:tabs>
              <w:tab w:val="right" w:leader="dot" w:pos="8306"/>
            </w:tabs>
            <w:ind w:left="1120"/>
          </w:pPr>
          <w:r>
            <w:fldChar w:fldCharType="begin"/>
          </w:r>
          <w:r>
            <w:instrText xml:space="preserve"> HYPERLINK \l "_Toc15956" </w:instrText>
          </w:r>
          <w:r>
            <w:fldChar w:fldCharType="separate"/>
          </w:r>
          <w:r>
            <w:rPr>
              <w:rFonts w:ascii="Times New Roman" w:hAnsi="Times New Roman" w:eastAsia="仿宋" w:cs="Times New Roman"/>
              <w:bCs/>
              <w:szCs w:val="28"/>
            </w:rPr>
            <w:t>（</w:t>
          </w:r>
          <w:r>
            <w:rPr>
              <w:rFonts w:hint="eastAsia" w:ascii="Times New Roman" w:hAnsi="Times New Roman" w:eastAsia="仿宋" w:cs="Times New Roman"/>
              <w:bCs/>
              <w:szCs w:val="28"/>
            </w:rPr>
            <w:t>二</w:t>
          </w:r>
          <w:r>
            <w:rPr>
              <w:rFonts w:ascii="Times New Roman" w:hAnsi="Times New Roman" w:eastAsia="仿宋" w:cs="Times New Roman"/>
              <w:bCs/>
              <w:szCs w:val="28"/>
            </w:rPr>
            <w:t>）案卷研究法</w:t>
          </w:r>
          <w:r>
            <w:tab/>
          </w:r>
          <w:r>
            <w:fldChar w:fldCharType="begin"/>
          </w:r>
          <w:r>
            <w:instrText xml:space="preserve"> PAGEREF _Toc15956 \h </w:instrText>
          </w:r>
          <w:r>
            <w:fldChar w:fldCharType="separate"/>
          </w:r>
          <w:r>
            <w:t>9</w:t>
          </w:r>
          <w:r>
            <w:fldChar w:fldCharType="end"/>
          </w:r>
          <w:r>
            <w:fldChar w:fldCharType="end"/>
          </w:r>
        </w:p>
        <w:p>
          <w:pPr>
            <w:pStyle w:val="5"/>
            <w:tabs>
              <w:tab w:val="right" w:leader="dot" w:pos="8306"/>
            </w:tabs>
            <w:ind w:left="1120"/>
          </w:pPr>
          <w:r>
            <w:fldChar w:fldCharType="begin"/>
          </w:r>
          <w:r>
            <w:instrText xml:space="preserve"> HYPERLINK \l "_Toc2677" </w:instrText>
          </w:r>
          <w:r>
            <w:fldChar w:fldCharType="separate"/>
          </w:r>
          <w:r>
            <w:rPr>
              <w:rFonts w:ascii="Times New Roman" w:hAnsi="Times New Roman" w:eastAsia="仿宋" w:cs="Times New Roman"/>
              <w:bCs/>
              <w:szCs w:val="28"/>
            </w:rPr>
            <w:t>（</w:t>
          </w:r>
          <w:r>
            <w:rPr>
              <w:rFonts w:hint="eastAsia" w:ascii="Times New Roman" w:hAnsi="Times New Roman" w:eastAsia="仿宋" w:cs="Times New Roman"/>
              <w:bCs/>
              <w:szCs w:val="28"/>
            </w:rPr>
            <w:t>三</w:t>
          </w:r>
          <w:r>
            <w:rPr>
              <w:rFonts w:ascii="Times New Roman" w:hAnsi="Times New Roman" w:eastAsia="仿宋" w:cs="Times New Roman"/>
              <w:bCs/>
              <w:szCs w:val="28"/>
            </w:rPr>
            <w:t>）因素分析法</w:t>
          </w:r>
          <w:r>
            <w:tab/>
          </w:r>
          <w:r>
            <w:fldChar w:fldCharType="begin"/>
          </w:r>
          <w:r>
            <w:instrText xml:space="preserve"> PAGEREF _Toc2677 \h </w:instrText>
          </w:r>
          <w:r>
            <w:fldChar w:fldCharType="separate"/>
          </w:r>
          <w:r>
            <w:t>9</w:t>
          </w:r>
          <w:r>
            <w:fldChar w:fldCharType="end"/>
          </w:r>
          <w:r>
            <w:fldChar w:fldCharType="end"/>
          </w:r>
        </w:p>
        <w:p>
          <w:pPr>
            <w:pStyle w:val="5"/>
            <w:tabs>
              <w:tab w:val="right" w:leader="dot" w:pos="8306"/>
            </w:tabs>
            <w:ind w:left="1120"/>
          </w:pPr>
          <w:r>
            <w:fldChar w:fldCharType="begin"/>
          </w:r>
          <w:r>
            <w:instrText xml:space="preserve"> HYPERLINK \l "_Toc31752" </w:instrText>
          </w:r>
          <w:r>
            <w:fldChar w:fldCharType="separate"/>
          </w:r>
          <w:r>
            <w:rPr>
              <w:rFonts w:ascii="Times New Roman" w:hAnsi="Times New Roman" w:eastAsia="仿宋" w:cs="Times New Roman"/>
              <w:bCs/>
              <w:szCs w:val="28"/>
            </w:rPr>
            <w:t>（</w:t>
          </w:r>
          <w:r>
            <w:rPr>
              <w:rFonts w:hint="eastAsia" w:ascii="Times New Roman" w:hAnsi="Times New Roman" w:eastAsia="仿宋" w:cs="Times New Roman"/>
              <w:bCs/>
              <w:szCs w:val="28"/>
            </w:rPr>
            <w:t>四</w:t>
          </w:r>
          <w:r>
            <w:rPr>
              <w:rFonts w:ascii="Times New Roman" w:hAnsi="Times New Roman" w:eastAsia="仿宋" w:cs="Times New Roman"/>
              <w:bCs/>
              <w:szCs w:val="28"/>
            </w:rPr>
            <w:t>）公众评判法</w:t>
          </w:r>
          <w:r>
            <w:tab/>
          </w:r>
          <w:r>
            <w:fldChar w:fldCharType="begin"/>
          </w:r>
          <w:r>
            <w:instrText xml:space="preserve"> PAGEREF _Toc31752 \h </w:instrText>
          </w:r>
          <w:r>
            <w:fldChar w:fldCharType="separate"/>
          </w:r>
          <w:r>
            <w:t>9</w:t>
          </w:r>
          <w:r>
            <w:fldChar w:fldCharType="end"/>
          </w:r>
          <w:r>
            <w:fldChar w:fldCharType="end"/>
          </w:r>
        </w:p>
        <w:p>
          <w:pPr>
            <w:pStyle w:val="11"/>
            <w:tabs>
              <w:tab w:val="right" w:leader="dot" w:pos="8306"/>
            </w:tabs>
            <w:ind w:left="560"/>
          </w:pPr>
          <w:r>
            <w:fldChar w:fldCharType="begin"/>
          </w:r>
          <w:r>
            <w:instrText xml:space="preserve"> HYPERLINK \l "_Toc7386" </w:instrText>
          </w:r>
          <w:r>
            <w:fldChar w:fldCharType="separate"/>
          </w:r>
          <w:r>
            <w:rPr>
              <w:rFonts w:ascii="Times New Roman" w:hAnsi="Times New Roman" w:eastAsia="仿宋" w:cs="Times New Roman"/>
              <w:szCs w:val="32"/>
            </w:rPr>
            <w:t>八、评价标准</w:t>
          </w:r>
          <w:r>
            <w:tab/>
          </w:r>
          <w:r>
            <w:fldChar w:fldCharType="begin"/>
          </w:r>
          <w:r>
            <w:instrText xml:space="preserve"> PAGEREF _Toc7386 \h </w:instrText>
          </w:r>
          <w:r>
            <w:fldChar w:fldCharType="separate"/>
          </w:r>
          <w:r>
            <w:t>9</w:t>
          </w:r>
          <w:r>
            <w:fldChar w:fldCharType="end"/>
          </w:r>
          <w:r>
            <w:fldChar w:fldCharType="end"/>
          </w:r>
        </w:p>
        <w:p>
          <w:pPr>
            <w:pStyle w:val="5"/>
            <w:tabs>
              <w:tab w:val="right" w:leader="dot" w:pos="8306"/>
            </w:tabs>
            <w:ind w:left="1120"/>
          </w:pPr>
          <w:r>
            <w:fldChar w:fldCharType="begin"/>
          </w:r>
          <w:r>
            <w:instrText xml:space="preserve"> HYPERLINK \l "_Toc13170" </w:instrText>
          </w:r>
          <w:r>
            <w:fldChar w:fldCharType="separate"/>
          </w:r>
          <w:r>
            <w:rPr>
              <w:rFonts w:ascii="Times New Roman" w:hAnsi="Times New Roman" w:eastAsia="仿宋" w:cs="Times New Roman"/>
              <w:bCs/>
              <w:szCs w:val="28"/>
            </w:rPr>
            <w:t>（一）评价标准</w:t>
          </w:r>
          <w:r>
            <w:tab/>
          </w:r>
          <w:r>
            <w:fldChar w:fldCharType="begin"/>
          </w:r>
          <w:r>
            <w:instrText xml:space="preserve"> PAGEREF _Toc13170 \h </w:instrText>
          </w:r>
          <w:r>
            <w:fldChar w:fldCharType="separate"/>
          </w:r>
          <w:r>
            <w:t>9</w:t>
          </w:r>
          <w:r>
            <w:fldChar w:fldCharType="end"/>
          </w:r>
          <w:r>
            <w:fldChar w:fldCharType="end"/>
          </w:r>
        </w:p>
        <w:p>
          <w:pPr>
            <w:pStyle w:val="5"/>
            <w:tabs>
              <w:tab w:val="right" w:leader="dot" w:pos="8306"/>
            </w:tabs>
            <w:ind w:left="1120"/>
          </w:pPr>
          <w:r>
            <w:fldChar w:fldCharType="begin"/>
          </w:r>
          <w:r>
            <w:instrText xml:space="preserve"> HYPERLINK \l "_Toc14187" </w:instrText>
          </w:r>
          <w:r>
            <w:fldChar w:fldCharType="separate"/>
          </w:r>
          <w:r>
            <w:rPr>
              <w:rFonts w:hint="eastAsia" w:ascii="仿宋" w:hAnsi="仿宋" w:eastAsia="仿宋" w:cs="仿宋"/>
              <w:bCs/>
              <w:szCs w:val="28"/>
            </w:rPr>
            <w:t>（二）评价依据</w:t>
          </w:r>
          <w:r>
            <w:tab/>
          </w:r>
          <w:r>
            <w:fldChar w:fldCharType="begin"/>
          </w:r>
          <w:r>
            <w:instrText xml:space="preserve"> PAGEREF _Toc14187 \h </w:instrText>
          </w:r>
          <w:r>
            <w:fldChar w:fldCharType="separate"/>
          </w:r>
          <w:r>
            <w:t>10</w:t>
          </w:r>
          <w:r>
            <w:fldChar w:fldCharType="end"/>
          </w:r>
          <w:r>
            <w:fldChar w:fldCharType="end"/>
          </w:r>
        </w:p>
        <w:p>
          <w:pPr>
            <w:pStyle w:val="11"/>
            <w:tabs>
              <w:tab w:val="right" w:leader="dot" w:pos="8306"/>
            </w:tabs>
            <w:ind w:left="560"/>
          </w:pPr>
          <w:r>
            <w:fldChar w:fldCharType="begin"/>
          </w:r>
          <w:r>
            <w:instrText xml:space="preserve"> HYPERLINK \l "_Toc31602" </w:instrText>
          </w:r>
          <w:r>
            <w:fldChar w:fldCharType="separate"/>
          </w:r>
          <w:r>
            <w:rPr>
              <w:rFonts w:ascii="Times New Roman" w:hAnsi="Times New Roman" w:eastAsia="仿宋" w:cs="Times New Roman"/>
              <w:szCs w:val="32"/>
            </w:rPr>
            <w:t>九、评价开展过程</w:t>
          </w:r>
          <w:r>
            <w:tab/>
          </w:r>
          <w:r>
            <w:fldChar w:fldCharType="begin"/>
          </w:r>
          <w:r>
            <w:instrText xml:space="preserve"> PAGEREF _Toc31602 \h </w:instrText>
          </w:r>
          <w:r>
            <w:fldChar w:fldCharType="separate"/>
          </w:r>
          <w:r>
            <w:t>11</w:t>
          </w:r>
          <w:r>
            <w:fldChar w:fldCharType="end"/>
          </w:r>
          <w:r>
            <w:fldChar w:fldCharType="end"/>
          </w:r>
        </w:p>
        <w:p>
          <w:pPr>
            <w:pStyle w:val="5"/>
            <w:tabs>
              <w:tab w:val="right" w:leader="dot" w:pos="8306"/>
            </w:tabs>
            <w:ind w:left="1120"/>
          </w:pPr>
          <w:r>
            <w:fldChar w:fldCharType="begin"/>
          </w:r>
          <w:r>
            <w:instrText xml:space="preserve"> HYPERLINK \l "_Toc2556" </w:instrText>
          </w:r>
          <w:r>
            <w:fldChar w:fldCharType="separate"/>
          </w:r>
          <w:r>
            <w:rPr>
              <w:rFonts w:ascii="Times New Roman" w:hAnsi="Times New Roman" w:eastAsia="仿宋" w:cs="Times New Roman"/>
              <w:bCs/>
              <w:szCs w:val="28"/>
            </w:rPr>
            <w:t>（一）前期准备阶段</w:t>
          </w:r>
          <w:r>
            <w:tab/>
          </w:r>
          <w:r>
            <w:fldChar w:fldCharType="begin"/>
          </w:r>
          <w:r>
            <w:instrText xml:space="preserve"> PAGEREF _Toc2556 \h </w:instrText>
          </w:r>
          <w:r>
            <w:fldChar w:fldCharType="separate"/>
          </w:r>
          <w:r>
            <w:t>11</w:t>
          </w:r>
          <w:r>
            <w:fldChar w:fldCharType="end"/>
          </w:r>
          <w:r>
            <w:fldChar w:fldCharType="end"/>
          </w:r>
        </w:p>
        <w:p>
          <w:pPr>
            <w:pStyle w:val="5"/>
            <w:tabs>
              <w:tab w:val="right" w:leader="dot" w:pos="8306"/>
            </w:tabs>
            <w:ind w:left="1120"/>
          </w:pPr>
          <w:r>
            <w:fldChar w:fldCharType="begin"/>
          </w:r>
          <w:r>
            <w:instrText xml:space="preserve"> HYPERLINK \l "_Toc12077" </w:instrText>
          </w:r>
          <w:r>
            <w:fldChar w:fldCharType="separate"/>
          </w:r>
          <w:r>
            <w:rPr>
              <w:rFonts w:hint="eastAsia" w:ascii="仿宋" w:hAnsi="仿宋" w:eastAsia="仿宋" w:cs="仿宋"/>
              <w:bCs/>
              <w:szCs w:val="28"/>
            </w:rPr>
            <w:t>（二）组织实施阶段</w:t>
          </w:r>
          <w:r>
            <w:tab/>
          </w:r>
          <w:r>
            <w:fldChar w:fldCharType="begin"/>
          </w:r>
          <w:r>
            <w:instrText xml:space="preserve"> PAGEREF _Toc12077 \h </w:instrText>
          </w:r>
          <w:r>
            <w:fldChar w:fldCharType="separate"/>
          </w:r>
          <w:r>
            <w:t>12</w:t>
          </w:r>
          <w:r>
            <w:fldChar w:fldCharType="end"/>
          </w:r>
          <w:r>
            <w:fldChar w:fldCharType="end"/>
          </w:r>
        </w:p>
        <w:p>
          <w:pPr>
            <w:pStyle w:val="5"/>
            <w:tabs>
              <w:tab w:val="right" w:leader="dot" w:pos="8306"/>
            </w:tabs>
            <w:ind w:left="1120"/>
          </w:pPr>
          <w:r>
            <w:fldChar w:fldCharType="begin"/>
          </w:r>
          <w:r>
            <w:instrText xml:space="preserve"> HYPERLINK \l "_Toc27423" </w:instrText>
          </w:r>
          <w:r>
            <w:fldChar w:fldCharType="separate"/>
          </w:r>
          <w:r>
            <w:rPr>
              <w:rFonts w:hint="eastAsia" w:ascii="仿宋" w:hAnsi="仿宋" w:eastAsia="仿宋" w:cs="仿宋"/>
              <w:bCs/>
              <w:szCs w:val="28"/>
            </w:rPr>
            <w:t>（三）报告形成阶段</w:t>
          </w:r>
          <w:r>
            <w:tab/>
          </w:r>
          <w:r>
            <w:fldChar w:fldCharType="begin"/>
          </w:r>
          <w:r>
            <w:instrText xml:space="preserve"> PAGEREF _Toc27423 \h </w:instrText>
          </w:r>
          <w:r>
            <w:fldChar w:fldCharType="separate"/>
          </w:r>
          <w:r>
            <w:t>13</w:t>
          </w:r>
          <w:r>
            <w:fldChar w:fldCharType="end"/>
          </w:r>
          <w:r>
            <w:fldChar w:fldCharType="end"/>
          </w:r>
        </w:p>
        <w:p>
          <w:pPr>
            <w:pStyle w:val="10"/>
            <w:tabs>
              <w:tab w:val="right" w:leader="dot" w:pos="8306"/>
            </w:tabs>
          </w:pPr>
          <w:r>
            <w:fldChar w:fldCharType="begin"/>
          </w:r>
          <w:r>
            <w:instrText xml:space="preserve"> HYPERLINK \l "_Toc6893" </w:instrText>
          </w:r>
          <w:r>
            <w:fldChar w:fldCharType="separate"/>
          </w:r>
          <w:r>
            <w:rPr>
              <w:rFonts w:ascii="Times New Roman" w:hAnsi="Times New Roman" w:eastAsia="仿宋" w:cs="Times New Roman"/>
              <w:szCs w:val="36"/>
            </w:rPr>
            <w:t>第三部分 评价结果</w:t>
          </w:r>
          <w:r>
            <w:tab/>
          </w:r>
          <w:r>
            <w:fldChar w:fldCharType="begin"/>
          </w:r>
          <w:r>
            <w:instrText xml:space="preserve"> PAGEREF _Toc6893 \h </w:instrText>
          </w:r>
          <w:r>
            <w:fldChar w:fldCharType="separate"/>
          </w:r>
          <w:r>
            <w:t>14</w:t>
          </w:r>
          <w:r>
            <w:fldChar w:fldCharType="end"/>
          </w:r>
          <w:r>
            <w:fldChar w:fldCharType="end"/>
          </w:r>
        </w:p>
        <w:p>
          <w:pPr>
            <w:pStyle w:val="11"/>
            <w:tabs>
              <w:tab w:val="right" w:leader="dot" w:pos="8306"/>
            </w:tabs>
            <w:ind w:left="560"/>
          </w:pPr>
          <w:r>
            <w:fldChar w:fldCharType="begin"/>
          </w:r>
          <w:r>
            <w:instrText xml:space="preserve"> HYPERLINK \l "_Toc28164" </w:instrText>
          </w:r>
          <w:r>
            <w:fldChar w:fldCharType="separate"/>
          </w:r>
          <w:r>
            <w:rPr>
              <w:rFonts w:ascii="Times New Roman" w:hAnsi="Times New Roman" w:eastAsia="仿宋" w:cs="Times New Roman"/>
              <w:szCs w:val="32"/>
            </w:rPr>
            <w:t>一、绩效评价得分情况</w:t>
          </w:r>
          <w:r>
            <w:tab/>
          </w:r>
          <w:r>
            <w:fldChar w:fldCharType="begin"/>
          </w:r>
          <w:r>
            <w:instrText xml:space="preserve"> PAGEREF _Toc28164 \h </w:instrText>
          </w:r>
          <w:r>
            <w:fldChar w:fldCharType="separate"/>
          </w:r>
          <w:r>
            <w:t>14</w:t>
          </w:r>
          <w:r>
            <w:fldChar w:fldCharType="end"/>
          </w:r>
          <w:r>
            <w:fldChar w:fldCharType="end"/>
          </w:r>
        </w:p>
        <w:p>
          <w:pPr>
            <w:pStyle w:val="11"/>
            <w:tabs>
              <w:tab w:val="right" w:leader="dot" w:pos="8306"/>
            </w:tabs>
            <w:ind w:left="560"/>
          </w:pPr>
          <w:r>
            <w:fldChar w:fldCharType="begin"/>
          </w:r>
          <w:r>
            <w:instrText xml:space="preserve"> HYPERLINK \l "_Toc25833" </w:instrText>
          </w:r>
          <w:r>
            <w:fldChar w:fldCharType="separate"/>
          </w:r>
          <w:r>
            <w:rPr>
              <w:rFonts w:ascii="Times New Roman" w:hAnsi="Times New Roman" w:eastAsia="仿宋" w:cs="Times New Roman"/>
              <w:szCs w:val="32"/>
            </w:rPr>
            <w:t>二、绩效评价指标分析</w:t>
          </w:r>
          <w:r>
            <w:tab/>
          </w:r>
          <w:r>
            <w:fldChar w:fldCharType="begin"/>
          </w:r>
          <w:r>
            <w:instrText xml:space="preserve"> PAGEREF _Toc25833 \h </w:instrText>
          </w:r>
          <w:r>
            <w:fldChar w:fldCharType="separate"/>
          </w:r>
          <w:r>
            <w:t>15</w:t>
          </w:r>
          <w:r>
            <w:fldChar w:fldCharType="end"/>
          </w:r>
          <w:r>
            <w:fldChar w:fldCharType="end"/>
          </w:r>
        </w:p>
        <w:p>
          <w:pPr>
            <w:pStyle w:val="5"/>
            <w:tabs>
              <w:tab w:val="right" w:leader="dot" w:pos="8306"/>
            </w:tabs>
            <w:ind w:left="1120"/>
          </w:pPr>
          <w:r>
            <w:fldChar w:fldCharType="begin"/>
          </w:r>
          <w:r>
            <w:instrText xml:space="preserve"> HYPERLINK \l "_Toc10412" </w:instrText>
          </w:r>
          <w:r>
            <w:fldChar w:fldCharType="separate"/>
          </w:r>
          <w:r>
            <w:rPr>
              <w:rFonts w:hint="eastAsia" w:ascii="仿宋" w:hAnsi="仿宋" w:eastAsia="仿宋" w:cs="仿宋"/>
              <w:bCs/>
              <w:szCs w:val="28"/>
            </w:rPr>
            <w:t>（一）项目决策情况</w:t>
          </w:r>
          <w:r>
            <w:tab/>
          </w:r>
          <w:r>
            <w:fldChar w:fldCharType="begin"/>
          </w:r>
          <w:r>
            <w:instrText xml:space="preserve"> PAGEREF _Toc10412 \h </w:instrText>
          </w:r>
          <w:r>
            <w:fldChar w:fldCharType="separate"/>
          </w:r>
          <w:r>
            <w:t>15</w:t>
          </w:r>
          <w:r>
            <w:fldChar w:fldCharType="end"/>
          </w:r>
          <w:r>
            <w:fldChar w:fldCharType="end"/>
          </w:r>
        </w:p>
        <w:p>
          <w:pPr>
            <w:pStyle w:val="5"/>
            <w:tabs>
              <w:tab w:val="right" w:leader="dot" w:pos="8306"/>
            </w:tabs>
            <w:ind w:left="1120"/>
          </w:pPr>
          <w:r>
            <w:fldChar w:fldCharType="begin"/>
          </w:r>
          <w:r>
            <w:instrText xml:space="preserve"> HYPERLINK \l "_Toc14649" </w:instrText>
          </w:r>
          <w:r>
            <w:fldChar w:fldCharType="separate"/>
          </w:r>
          <w:r>
            <w:rPr>
              <w:rFonts w:hint="eastAsia" w:ascii="仿宋" w:hAnsi="仿宋" w:eastAsia="仿宋" w:cs="仿宋"/>
              <w:bCs/>
            </w:rPr>
            <w:t>（二）项目过程情况</w:t>
          </w:r>
          <w:r>
            <w:tab/>
          </w:r>
          <w:r>
            <w:fldChar w:fldCharType="begin"/>
          </w:r>
          <w:r>
            <w:instrText xml:space="preserve"> PAGEREF _Toc14649 \h </w:instrText>
          </w:r>
          <w:r>
            <w:fldChar w:fldCharType="separate"/>
          </w:r>
          <w:r>
            <w:t>16</w:t>
          </w:r>
          <w:r>
            <w:fldChar w:fldCharType="end"/>
          </w:r>
          <w:r>
            <w:fldChar w:fldCharType="end"/>
          </w:r>
        </w:p>
        <w:p>
          <w:pPr>
            <w:pStyle w:val="5"/>
            <w:tabs>
              <w:tab w:val="right" w:leader="dot" w:pos="8306"/>
            </w:tabs>
            <w:ind w:left="1120"/>
          </w:pPr>
          <w:r>
            <w:fldChar w:fldCharType="begin"/>
          </w:r>
          <w:r>
            <w:instrText xml:space="preserve"> HYPERLINK \l "_Toc13443" </w:instrText>
          </w:r>
          <w:r>
            <w:fldChar w:fldCharType="separate"/>
          </w:r>
          <w:r>
            <w:rPr>
              <w:rFonts w:hint="eastAsia" w:ascii="仿宋" w:hAnsi="仿宋" w:eastAsia="仿宋" w:cs="仿宋"/>
              <w:bCs/>
            </w:rPr>
            <w:t>（三）项目产出情况</w:t>
          </w:r>
          <w:r>
            <w:tab/>
          </w:r>
          <w:r>
            <w:fldChar w:fldCharType="begin"/>
          </w:r>
          <w:r>
            <w:instrText xml:space="preserve"> PAGEREF _Toc13443 \h </w:instrText>
          </w:r>
          <w:r>
            <w:fldChar w:fldCharType="separate"/>
          </w:r>
          <w:r>
            <w:t>17</w:t>
          </w:r>
          <w:r>
            <w:fldChar w:fldCharType="end"/>
          </w:r>
          <w:r>
            <w:fldChar w:fldCharType="end"/>
          </w:r>
        </w:p>
        <w:p>
          <w:pPr>
            <w:pStyle w:val="5"/>
            <w:tabs>
              <w:tab w:val="right" w:leader="dot" w:pos="8306"/>
            </w:tabs>
            <w:ind w:left="1120"/>
          </w:pPr>
          <w:r>
            <w:fldChar w:fldCharType="begin"/>
          </w:r>
          <w:r>
            <w:instrText xml:space="preserve"> HYPERLINK \l "_Toc14982" </w:instrText>
          </w:r>
          <w:r>
            <w:fldChar w:fldCharType="separate"/>
          </w:r>
          <w:r>
            <w:rPr>
              <w:rFonts w:hint="eastAsia" w:ascii="仿宋" w:hAnsi="仿宋" w:eastAsia="仿宋" w:cs="仿宋"/>
              <w:bCs/>
            </w:rPr>
            <w:t>（四）项目效益情况</w:t>
          </w:r>
          <w:r>
            <w:tab/>
          </w:r>
          <w:r>
            <w:fldChar w:fldCharType="begin"/>
          </w:r>
          <w:r>
            <w:instrText xml:space="preserve"> PAGEREF _Toc14982 \h </w:instrText>
          </w:r>
          <w:r>
            <w:fldChar w:fldCharType="separate"/>
          </w:r>
          <w:r>
            <w:t>19</w:t>
          </w:r>
          <w:r>
            <w:fldChar w:fldCharType="end"/>
          </w:r>
          <w:r>
            <w:fldChar w:fldCharType="end"/>
          </w:r>
        </w:p>
        <w:p>
          <w:pPr>
            <w:pStyle w:val="10"/>
            <w:tabs>
              <w:tab w:val="right" w:leader="dot" w:pos="8306"/>
            </w:tabs>
          </w:pPr>
          <w:r>
            <w:fldChar w:fldCharType="begin"/>
          </w:r>
          <w:r>
            <w:instrText xml:space="preserve"> HYPERLINK \l "_Toc1227" </w:instrText>
          </w:r>
          <w:r>
            <w:fldChar w:fldCharType="separate"/>
          </w:r>
          <w:r>
            <w:rPr>
              <w:rFonts w:hint="eastAsia" w:ascii="仿宋" w:hAnsi="仿宋" w:eastAsia="仿宋" w:cs="仿宋"/>
              <w:bCs/>
              <w:szCs w:val="36"/>
              <w:lang w:bidi="ar"/>
            </w:rPr>
            <w:t>第四部分 存在主要问题</w:t>
          </w:r>
          <w:r>
            <w:tab/>
          </w:r>
          <w:r>
            <w:fldChar w:fldCharType="begin"/>
          </w:r>
          <w:r>
            <w:instrText xml:space="preserve"> PAGEREF _Toc1227 \h </w:instrText>
          </w:r>
          <w:r>
            <w:fldChar w:fldCharType="separate"/>
          </w:r>
          <w:r>
            <w:t>21</w:t>
          </w:r>
          <w:r>
            <w:fldChar w:fldCharType="end"/>
          </w:r>
          <w:r>
            <w:fldChar w:fldCharType="end"/>
          </w:r>
        </w:p>
        <w:p>
          <w:pPr>
            <w:pStyle w:val="11"/>
            <w:tabs>
              <w:tab w:val="right" w:leader="dot" w:pos="8306"/>
            </w:tabs>
            <w:ind w:left="560"/>
          </w:pPr>
          <w:r>
            <w:fldChar w:fldCharType="begin"/>
          </w:r>
          <w:r>
            <w:instrText xml:space="preserve"> HYPERLINK \l "_Toc1341" </w:instrText>
          </w:r>
          <w:r>
            <w:fldChar w:fldCharType="separate"/>
          </w:r>
          <w:r>
            <w:rPr>
              <w:rFonts w:hint="eastAsia" w:ascii="仿宋" w:hAnsi="仿宋" w:eastAsia="仿宋" w:cs="仿宋"/>
              <w:bCs/>
              <w:szCs w:val="32"/>
              <w:lang w:bidi="ar"/>
            </w:rPr>
            <w:t>一、预算编制对于项目的实际情况考虑不足</w:t>
          </w:r>
          <w:r>
            <w:tab/>
          </w:r>
          <w:r>
            <w:fldChar w:fldCharType="begin"/>
          </w:r>
          <w:r>
            <w:instrText xml:space="preserve"> PAGEREF _Toc1341 \h </w:instrText>
          </w:r>
          <w:r>
            <w:fldChar w:fldCharType="separate"/>
          </w:r>
          <w:r>
            <w:t>21</w:t>
          </w:r>
          <w:r>
            <w:fldChar w:fldCharType="end"/>
          </w:r>
          <w:r>
            <w:fldChar w:fldCharType="end"/>
          </w:r>
        </w:p>
        <w:p>
          <w:pPr>
            <w:pStyle w:val="11"/>
            <w:tabs>
              <w:tab w:val="right" w:leader="dot" w:pos="8306"/>
            </w:tabs>
            <w:ind w:left="560"/>
          </w:pPr>
          <w:r>
            <w:fldChar w:fldCharType="begin"/>
          </w:r>
          <w:r>
            <w:instrText xml:space="preserve"> HYPERLINK \l "_Toc18833" </w:instrText>
          </w:r>
          <w:r>
            <w:fldChar w:fldCharType="separate"/>
          </w:r>
          <w:r>
            <w:rPr>
              <w:rFonts w:hint="eastAsia" w:ascii="仿宋" w:hAnsi="仿宋" w:eastAsia="仿宋" w:cs="仿宋"/>
              <w:bCs/>
              <w:szCs w:val="32"/>
              <w:lang w:bidi="ar"/>
            </w:rPr>
            <w:t>二、旅游产业链结构合理性有待提升</w:t>
          </w:r>
          <w:r>
            <w:tab/>
          </w:r>
          <w:r>
            <w:fldChar w:fldCharType="begin"/>
          </w:r>
          <w:r>
            <w:instrText xml:space="preserve"> PAGEREF _Toc18833 \h </w:instrText>
          </w:r>
          <w:r>
            <w:fldChar w:fldCharType="separate"/>
          </w:r>
          <w:r>
            <w:t>21</w:t>
          </w:r>
          <w:r>
            <w:fldChar w:fldCharType="end"/>
          </w:r>
          <w:r>
            <w:fldChar w:fldCharType="end"/>
          </w:r>
        </w:p>
        <w:p>
          <w:pPr>
            <w:pStyle w:val="11"/>
            <w:tabs>
              <w:tab w:val="right" w:leader="dot" w:pos="8306"/>
            </w:tabs>
            <w:ind w:left="560"/>
          </w:pPr>
          <w:r>
            <w:fldChar w:fldCharType="begin"/>
          </w:r>
          <w:r>
            <w:instrText xml:space="preserve"> HYPERLINK \l "_Toc16714" </w:instrText>
          </w:r>
          <w:r>
            <w:fldChar w:fldCharType="separate"/>
          </w:r>
          <w:r>
            <w:rPr>
              <w:rFonts w:hint="eastAsia" w:ascii="仿宋" w:hAnsi="仿宋" w:eastAsia="仿宋" w:cs="仿宋"/>
              <w:bCs/>
              <w:szCs w:val="32"/>
              <w:lang w:bidi="ar"/>
            </w:rPr>
            <w:t>三、绩效指标的目标值设定考虑不够全面</w:t>
          </w:r>
          <w:r>
            <w:tab/>
          </w:r>
          <w:r>
            <w:fldChar w:fldCharType="begin"/>
          </w:r>
          <w:r>
            <w:instrText xml:space="preserve"> PAGEREF _Toc16714 \h </w:instrText>
          </w:r>
          <w:r>
            <w:fldChar w:fldCharType="separate"/>
          </w:r>
          <w:r>
            <w:t>21</w:t>
          </w:r>
          <w:r>
            <w:fldChar w:fldCharType="end"/>
          </w:r>
          <w:r>
            <w:fldChar w:fldCharType="end"/>
          </w:r>
        </w:p>
        <w:p>
          <w:pPr>
            <w:pStyle w:val="10"/>
            <w:tabs>
              <w:tab w:val="right" w:leader="dot" w:pos="8306"/>
            </w:tabs>
          </w:pPr>
          <w:r>
            <w:fldChar w:fldCharType="begin"/>
          </w:r>
          <w:r>
            <w:instrText xml:space="preserve"> HYPERLINK \l "_Toc2805" </w:instrText>
          </w:r>
          <w:r>
            <w:fldChar w:fldCharType="separate"/>
          </w:r>
          <w:r>
            <w:rPr>
              <w:rFonts w:hint="eastAsia" w:ascii="仿宋" w:hAnsi="仿宋" w:eastAsia="仿宋" w:cs="楷体"/>
              <w:szCs w:val="36"/>
            </w:rPr>
            <w:t>第五部分 改进措施与管理建议</w:t>
          </w:r>
          <w:r>
            <w:tab/>
          </w:r>
          <w:r>
            <w:fldChar w:fldCharType="begin"/>
          </w:r>
          <w:r>
            <w:instrText xml:space="preserve"> PAGEREF _Toc2805 \h </w:instrText>
          </w:r>
          <w:r>
            <w:fldChar w:fldCharType="separate"/>
          </w:r>
          <w:r>
            <w:t>23</w:t>
          </w:r>
          <w:r>
            <w:fldChar w:fldCharType="end"/>
          </w:r>
          <w:r>
            <w:fldChar w:fldCharType="end"/>
          </w:r>
        </w:p>
        <w:p>
          <w:pPr>
            <w:pStyle w:val="11"/>
            <w:tabs>
              <w:tab w:val="right" w:leader="dot" w:pos="8306"/>
            </w:tabs>
            <w:ind w:left="560"/>
          </w:pPr>
          <w:r>
            <w:fldChar w:fldCharType="begin"/>
          </w:r>
          <w:r>
            <w:instrText xml:space="preserve"> HYPERLINK \l "_Toc24223" </w:instrText>
          </w:r>
          <w:r>
            <w:fldChar w:fldCharType="separate"/>
          </w:r>
          <w:r>
            <w:rPr>
              <w:rFonts w:hint="eastAsia" w:ascii="仿宋" w:hAnsi="仿宋" w:eastAsia="仿宋" w:cs="Times New Roman"/>
              <w:szCs w:val="32"/>
            </w:rPr>
            <w:t>一、努力提升项目资金的使用效益</w:t>
          </w:r>
          <w:r>
            <w:tab/>
          </w:r>
          <w:r>
            <w:fldChar w:fldCharType="begin"/>
          </w:r>
          <w:r>
            <w:instrText xml:space="preserve"> PAGEREF _Toc24223 \h </w:instrText>
          </w:r>
          <w:r>
            <w:fldChar w:fldCharType="separate"/>
          </w:r>
          <w:r>
            <w:t>23</w:t>
          </w:r>
          <w:r>
            <w:fldChar w:fldCharType="end"/>
          </w:r>
          <w:r>
            <w:fldChar w:fldCharType="end"/>
          </w:r>
        </w:p>
        <w:p>
          <w:pPr>
            <w:pStyle w:val="11"/>
            <w:tabs>
              <w:tab w:val="right" w:leader="dot" w:pos="8306"/>
            </w:tabs>
            <w:ind w:left="560"/>
          </w:pPr>
          <w:r>
            <w:fldChar w:fldCharType="begin"/>
          </w:r>
          <w:r>
            <w:instrText xml:space="preserve"> HYPERLINK \l "_Toc18449" </w:instrText>
          </w:r>
          <w:r>
            <w:fldChar w:fldCharType="separate"/>
          </w:r>
          <w:r>
            <w:rPr>
              <w:rFonts w:hint="eastAsia" w:ascii="仿宋" w:hAnsi="仿宋" w:eastAsia="仿宋" w:cs="黑体"/>
              <w:szCs w:val="32"/>
            </w:rPr>
            <w:t>二、执行相关管理制度，做好资料归档工作</w:t>
          </w:r>
          <w:r>
            <w:tab/>
          </w:r>
          <w:r>
            <w:fldChar w:fldCharType="begin"/>
          </w:r>
          <w:r>
            <w:instrText xml:space="preserve"> PAGEREF _Toc18449 \h </w:instrText>
          </w:r>
          <w:r>
            <w:fldChar w:fldCharType="separate"/>
          </w:r>
          <w:r>
            <w:t>23</w:t>
          </w:r>
          <w:r>
            <w:fldChar w:fldCharType="end"/>
          </w:r>
          <w:r>
            <w:fldChar w:fldCharType="end"/>
          </w:r>
        </w:p>
        <w:p>
          <w:pPr>
            <w:pStyle w:val="11"/>
            <w:tabs>
              <w:tab w:val="right" w:leader="dot" w:pos="8306"/>
            </w:tabs>
            <w:ind w:left="560"/>
          </w:pPr>
          <w:r>
            <w:fldChar w:fldCharType="begin"/>
          </w:r>
          <w:r>
            <w:instrText xml:space="preserve"> HYPERLINK \l "_Toc15131" </w:instrText>
          </w:r>
          <w:r>
            <w:fldChar w:fldCharType="separate"/>
          </w:r>
          <w:r>
            <w:rPr>
              <w:rFonts w:hint="eastAsia" w:ascii="仿宋" w:hAnsi="仿宋" w:eastAsia="仿宋" w:cs="黑体"/>
              <w:szCs w:val="32"/>
            </w:rPr>
            <w:t>三、提高政策预算绩效目标的合理性</w:t>
          </w:r>
          <w:r>
            <w:tab/>
          </w:r>
          <w:r>
            <w:fldChar w:fldCharType="begin"/>
          </w:r>
          <w:r>
            <w:instrText xml:space="preserve"> PAGEREF _Toc15131 \h </w:instrText>
          </w:r>
          <w:r>
            <w:fldChar w:fldCharType="separate"/>
          </w:r>
          <w:r>
            <w:t>23</w:t>
          </w:r>
          <w:r>
            <w:fldChar w:fldCharType="end"/>
          </w:r>
          <w:r>
            <w:fldChar w:fldCharType="end"/>
          </w:r>
        </w:p>
        <w:p>
          <w:pPr>
            <w:pStyle w:val="10"/>
            <w:tabs>
              <w:tab w:val="right" w:leader="dot" w:pos="8306"/>
            </w:tabs>
          </w:pPr>
          <w:r>
            <w:fldChar w:fldCharType="begin"/>
          </w:r>
          <w:r>
            <w:instrText xml:space="preserve"> HYPERLINK \l "_Toc32200" </w:instrText>
          </w:r>
          <w:r>
            <w:fldChar w:fldCharType="separate"/>
          </w:r>
          <w:r>
            <w:rPr>
              <w:rFonts w:hint="eastAsia" w:ascii="仿宋" w:hAnsi="仿宋" w:eastAsia="仿宋" w:cs="仿宋"/>
              <w:szCs w:val="36"/>
            </w:rPr>
            <w:t>附件：</w:t>
          </w:r>
          <w:r>
            <w:tab/>
          </w:r>
          <w:r>
            <w:fldChar w:fldCharType="begin"/>
          </w:r>
          <w:r>
            <w:instrText xml:space="preserve"> PAGEREF _Toc32200 \h </w:instrText>
          </w:r>
          <w:r>
            <w:fldChar w:fldCharType="separate"/>
          </w:r>
          <w:r>
            <w:t>25</w:t>
          </w:r>
          <w:r>
            <w:fldChar w:fldCharType="end"/>
          </w:r>
          <w:r>
            <w:fldChar w:fldCharType="end"/>
          </w:r>
        </w:p>
        <w:p>
          <w:pPr>
            <w:ind w:firstLine="560" w:firstLineChars="200"/>
            <w:jc w:val="center"/>
            <w:rPr>
              <w:rFonts w:ascii="Times New Roman" w:hAnsi="Times New Roman" w:eastAsia="仿宋" w:cs="Times New Roman"/>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fldChar w:fldCharType="end"/>
          </w:r>
        </w:p>
      </w:sdtContent>
    </w:sdt>
    <w:p>
      <w:pPr>
        <w:jc w:val="center"/>
        <w:outlineLvl w:val="0"/>
        <w:rPr>
          <w:rFonts w:ascii="Times New Roman" w:hAnsi="Times New Roman" w:eastAsia="仿宋" w:cs="Times New Roman"/>
          <w:b/>
          <w:color w:val="000000" w:themeColor="text1"/>
          <w:kern w:val="0"/>
          <w:szCs w:val="28"/>
          <w:lang w:bidi="ar"/>
          <w14:textFill>
            <w14:solidFill>
              <w14:schemeClr w14:val="tx1"/>
            </w14:solidFill>
          </w14:textFill>
        </w:rPr>
        <w:sectPr>
          <w:footerReference r:id="rId6" w:type="first"/>
          <w:footerReference r:id="rId5" w:type="default"/>
          <w:pgSz w:w="11906" w:h="16838"/>
          <w:pgMar w:top="1440" w:right="1800" w:bottom="1440" w:left="1800" w:header="851" w:footer="992" w:gutter="0"/>
          <w:pgNumType w:start="1"/>
          <w:cols w:space="425" w:num="1"/>
          <w:docGrid w:type="lines" w:linePitch="381" w:charSpace="0"/>
        </w:sectPr>
      </w:pPr>
      <w:bookmarkStart w:id="0" w:name="_Toc126353939"/>
      <w:bookmarkStart w:id="1" w:name="_Toc649299437"/>
    </w:p>
    <w:p>
      <w:pPr>
        <w:rPr>
          <w:rFonts w:ascii="Times New Roman" w:hAnsi="Times New Roman" w:eastAsia="仿宋" w:cs="Times New Roman"/>
          <w:color w:val="000000" w:themeColor="text1"/>
          <w:lang w:bidi="ar"/>
          <w14:textFill>
            <w14:solidFill>
              <w14:schemeClr w14:val="tx1"/>
            </w14:solidFill>
          </w14:textFill>
        </w:rPr>
      </w:pPr>
    </w:p>
    <w:p>
      <w:pPr>
        <w:jc w:val="center"/>
        <w:outlineLvl w:val="0"/>
        <w:rPr>
          <w:rFonts w:ascii="Times New Roman" w:hAnsi="Times New Roman" w:eastAsia="仿宋" w:cs="Times New Roman"/>
          <w:b/>
          <w:color w:val="000000" w:themeColor="text1"/>
          <w:kern w:val="0"/>
          <w:sz w:val="36"/>
          <w:szCs w:val="36"/>
          <w:lang w:bidi="ar"/>
          <w14:textFill>
            <w14:solidFill>
              <w14:schemeClr w14:val="tx1"/>
            </w14:solidFill>
          </w14:textFill>
        </w:rPr>
      </w:pPr>
      <w:bookmarkStart w:id="2" w:name="_Toc1523"/>
      <w:r>
        <w:rPr>
          <w:rFonts w:ascii="Times New Roman" w:hAnsi="Times New Roman" w:eastAsia="仿宋" w:cs="Times New Roman"/>
          <w:b/>
          <w:color w:val="000000" w:themeColor="text1"/>
          <w:kern w:val="0"/>
          <w:sz w:val="36"/>
          <w:szCs w:val="36"/>
          <w:lang w:bidi="ar"/>
          <w14:textFill>
            <w14:solidFill>
              <w14:schemeClr w14:val="tx1"/>
            </w14:solidFill>
          </w14:textFill>
        </w:rPr>
        <w:t>第一部分 专项资金基本概况</w:t>
      </w:r>
      <w:bookmarkEnd w:id="2"/>
    </w:p>
    <w:p>
      <w:pPr>
        <w:rPr>
          <w:rFonts w:ascii="Times New Roman" w:hAnsi="Times New Roman" w:eastAsia="仿宋" w:cs="Times New Roman"/>
          <w:color w:val="000000" w:themeColor="text1"/>
          <w:lang w:bidi="ar"/>
          <w14:textFill>
            <w14:solidFill>
              <w14:schemeClr w14:val="tx1"/>
            </w14:solidFill>
          </w14:textFill>
        </w:rPr>
      </w:pPr>
    </w:p>
    <w:p>
      <w:pPr>
        <w:spacing w:before="190" w:beforeLines="50" w:after="190" w:afterLines="50"/>
        <w:ind w:firstLine="643" w:firstLineChars="200"/>
        <w:outlineLvl w:val="1"/>
        <w:rPr>
          <w:rFonts w:ascii="Times New Roman" w:hAnsi="Times New Roman" w:eastAsia="仿宋" w:cs="Times New Roman"/>
          <w:b/>
          <w:color w:val="000000" w:themeColor="text1"/>
          <w:kern w:val="0"/>
          <w:sz w:val="32"/>
          <w:szCs w:val="32"/>
          <w:lang w:bidi="ar"/>
          <w14:textFill>
            <w14:solidFill>
              <w14:schemeClr w14:val="tx1"/>
            </w14:solidFill>
          </w14:textFill>
        </w:rPr>
      </w:pPr>
      <w:bookmarkStart w:id="3" w:name="_Toc8350"/>
      <w:r>
        <w:rPr>
          <w:rFonts w:ascii="Times New Roman" w:hAnsi="Times New Roman" w:eastAsia="仿宋" w:cs="Times New Roman"/>
          <w:b/>
          <w:color w:val="000000" w:themeColor="text1"/>
          <w:kern w:val="0"/>
          <w:sz w:val="32"/>
          <w:szCs w:val="32"/>
          <w:lang w:bidi="ar"/>
          <w14:textFill>
            <w14:solidFill>
              <w14:schemeClr w14:val="tx1"/>
            </w14:solidFill>
          </w14:textFill>
        </w:rPr>
        <w:t>一、专项资金实施背景</w:t>
      </w:r>
      <w:bookmarkEnd w:id="3"/>
    </w:p>
    <w:p>
      <w:pPr>
        <w:ind w:firstLine="560" w:firstLineChars="200"/>
        <w:rPr>
          <w:rFonts w:ascii="仿宋" w:hAnsi="仿宋" w:eastAsia="仿宋" w:cs="仿宋"/>
          <w:color w:val="000000" w:themeColor="text1"/>
          <w:kern w:val="0"/>
          <w:szCs w:val="28"/>
          <w:lang w:bidi="ar"/>
          <w14:textFill>
            <w14:solidFill>
              <w14:schemeClr w14:val="tx1"/>
            </w14:solidFill>
          </w14:textFill>
        </w:rPr>
      </w:pPr>
      <w:r>
        <w:rPr>
          <w:rFonts w:hint="eastAsia" w:ascii="仿宋" w:hAnsi="仿宋" w:eastAsia="仿宋" w:cs="仿宋"/>
          <w:color w:val="000000" w:themeColor="text1"/>
          <w:kern w:val="0"/>
          <w:szCs w:val="28"/>
          <w:lang w:bidi="ar"/>
          <w14:textFill>
            <w14:solidFill>
              <w14:schemeClr w14:val="tx1"/>
            </w14:solidFill>
          </w14:textFill>
        </w:rPr>
        <w:t>以习近平新时代中国特色社会主义思想为指导，按照建设中国特色社会主义事业“五位一体”总体布局的要求，遵循国家“一带一路”战略规划，积极融入泉州市“</w:t>
      </w:r>
      <w:r>
        <w:rPr>
          <w:rFonts w:ascii="Times New Roman" w:hAnsi="Times New Roman" w:eastAsia="仿宋" w:cs="Times New Roman"/>
          <w:color w:val="000000" w:themeColor="text1"/>
          <w:kern w:val="0"/>
          <w:szCs w:val="28"/>
          <w:lang w:bidi="ar"/>
          <w14:textFill>
            <w14:solidFill>
              <w14:schemeClr w14:val="tx1"/>
            </w14:solidFill>
          </w14:textFill>
        </w:rPr>
        <w:t>21</w:t>
      </w:r>
      <w:r>
        <w:rPr>
          <w:rFonts w:hint="eastAsia" w:ascii="仿宋" w:hAnsi="仿宋" w:eastAsia="仿宋" w:cs="仿宋"/>
          <w:color w:val="000000" w:themeColor="text1"/>
          <w:kern w:val="0"/>
          <w:szCs w:val="28"/>
          <w:lang w:bidi="ar"/>
          <w14:textFill>
            <w14:solidFill>
              <w14:schemeClr w14:val="tx1"/>
            </w14:solidFill>
          </w14:textFill>
        </w:rPr>
        <w:t>世纪海上丝绸之路先行区”建设内容，根据《惠安县国民经济和社会发展第十四个五年规划和二</w:t>
      </w:r>
      <w:r>
        <w:rPr>
          <w:rFonts w:ascii="Times New Roman" w:hAnsi="Times New Roman" w:eastAsia="仿宋" w:cs="Times New Roman"/>
          <w:color w:val="000000" w:themeColor="text1"/>
          <w:kern w:val="0"/>
          <w:szCs w:val="28"/>
          <w:lang w:bidi="ar"/>
          <w14:textFill>
            <w14:solidFill>
              <w14:schemeClr w14:val="tx1"/>
            </w14:solidFill>
          </w14:textFill>
        </w:rPr>
        <w:t>O</w:t>
      </w:r>
      <w:r>
        <w:rPr>
          <w:rFonts w:hint="eastAsia" w:ascii="仿宋" w:hAnsi="仿宋" w:eastAsia="仿宋" w:cs="仿宋"/>
          <w:color w:val="000000" w:themeColor="text1"/>
          <w:kern w:val="0"/>
          <w:szCs w:val="28"/>
          <w:lang w:bidi="ar"/>
          <w14:textFill>
            <w14:solidFill>
              <w14:schemeClr w14:val="tx1"/>
            </w14:solidFill>
          </w14:textFill>
        </w:rPr>
        <w:t>三五年远景目标纲要》要求，积极引进战略合作伙伴，加快整合旅游资源、完善旅游设施、优化旅游服务，丰富旅游产品供给，全面提升“风情惠安”品牌影响力，努力把旅游业培育成我县国民经济战略性支柱产业和创造幸福的综合社会事业。实现旅游发展全域化、旅游供给品质化、旅游治理规范化、旅游效益最大化的水平和层次显著提升，旅游产业支撑力、综合带动力、市场竞争力、区域影响力显著增强，满足大众旅游多层次、个性化需求，让游客乐意来、留得住、购得欢、体验好，努力把惠安打造成为“全国知名滨海生态康养旅游胜地”。</w:t>
      </w:r>
    </w:p>
    <w:p>
      <w:pPr>
        <w:spacing w:before="190" w:beforeLines="50" w:after="190" w:afterLines="50"/>
        <w:ind w:firstLine="643" w:firstLineChars="200"/>
        <w:outlineLvl w:val="1"/>
        <w:rPr>
          <w:rFonts w:ascii="Times New Roman" w:hAnsi="Times New Roman" w:eastAsia="仿宋" w:cs="Times New Roman"/>
          <w:b/>
          <w:color w:val="000000" w:themeColor="text1"/>
          <w:kern w:val="0"/>
          <w:sz w:val="32"/>
          <w:szCs w:val="32"/>
          <w:lang w:bidi="ar"/>
          <w14:textFill>
            <w14:solidFill>
              <w14:schemeClr w14:val="tx1"/>
            </w14:solidFill>
          </w14:textFill>
        </w:rPr>
      </w:pPr>
      <w:bookmarkStart w:id="4" w:name="_Toc30818"/>
      <w:r>
        <w:rPr>
          <w:rFonts w:ascii="Times New Roman" w:hAnsi="Times New Roman" w:eastAsia="仿宋" w:cs="Times New Roman"/>
          <w:b/>
          <w:color w:val="000000" w:themeColor="text1"/>
          <w:kern w:val="0"/>
          <w:sz w:val="32"/>
          <w:szCs w:val="32"/>
          <w:lang w:bidi="ar"/>
          <w14:textFill>
            <w14:solidFill>
              <w14:schemeClr w14:val="tx1"/>
            </w14:solidFill>
          </w14:textFill>
        </w:rPr>
        <w:t>二、专项资金实施依据</w:t>
      </w:r>
      <w:bookmarkEnd w:id="4"/>
    </w:p>
    <w:p>
      <w:pPr>
        <w:ind w:firstLine="560" w:firstLineChars="200"/>
        <w:rPr>
          <w:rFonts w:ascii="仿宋" w:hAnsi="仿宋" w:eastAsia="仿宋" w:cs="仿宋"/>
          <w:color w:val="000000" w:themeColor="text1"/>
          <w:shd w:val="clear" w:color="auto" w:fill="FFFFFF"/>
          <w14:textFill>
            <w14:solidFill>
              <w14:schemeClr w14:val="tx1"/>
            </w14:solidFill>
          </w14:textFill>
        </w:rPr>
      </w:pPr>
      <w:r>
        <w:rPr>
          <w:rFonts w:hint="eastAsia" w:ascii="仿宋" w:hAnsi="仿宋" w:eastAsia="仿宋" w:cs="仿宋"/>
          <w:color w:val="000000" w:themeColor="text1"/>
          <w:shd w:val="clear" w:color="auto" w:fill="FFFFFF"/>
          <w:lang w:bidi="ar"/>
          <w14:textFill>
            <w14:solidFill>
              <w14:schemeClr w14:val="tx1"/>
            </w14:solidFill>
          </w14:textFill>
        </w:rPr>
        <w:t>本专项资金立项依据为:</w:t>
      </w:r>
      <w:r>
        <w:rPr>
          <w:rFonts w:hint="eastAsia" w:ascii="仿宋" w:hAnsi="仿宋" w:eastAsia="仿宋" w:cs="仿宋"/>
          <w:color w:val="000000" w:themeColor="text1"/>
          <w:kern w:val="0"/>
          <w:szCs w:val="28"/>
          <w:lang w:bidi="ar"/>
          <w14:textFill>
            <w14:solidFill>
              <w14:schemeClr w14:val="tx1"/>
            </w14:solidFill>
          </w14:textFill>
        </w:rPr>
        <w:t>《福建省“十四五”文化和旅游改革发展专项规划》（闽政办〔</w:t>
      </w:r>
      <w:r>
        <w:rPr>
          <w:rFonts w:ascii="Times New Roman" w:hAnsi="Times New Roman" w:eastAsia="仿宋" w:cs="Times New Roman"/>
          <w:color w:val="000000" w:themeColor="text1"/>
          <w:kern w:val="0"/>
          <w:szCs w:val="28"/>
          <w:lang w:bidi="ar"/>
          <w14:textFill>
            <w14:solidFill>
              <w14:schemeClr w14:val="tx1"/>
            </w14:solidFill>
          </w14:textFill>
        </w:rPr>
        <w:t>2021</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45</w:t>
      </w:r>
      <w:r>
        <w:rPr>
          <w:rFonts w:hint="eastAsia" w:ascii="仿宋" w:hAnsi="仿宋" w:eastAsia="仿宋" w:cs="仿宋"/>
          <w:color w:val="000000" w:themeColor="text1"/>
          <w:kern w:val="0"/>
          <w:szCs w:val="28"/>
          <w:lang w:bidi="ar"/>
          <w14:textFill>
            <w14:solidFill>
              <w14:schemeClr w14:val="tx1"/>
            </w14:solidFill>
          </w14:textFill>
        </w:rPr>
        <w:t>号）、《福建省人民政府关于进一步深化旅游业改革发展的实施意见》（闽政〔</w:t>
      </w:r>
      <w:r>
        <w:rPr>
          <w:rFonts w:ascii="Times New Roman" w:hAnsi="Times New Roman" w:eastAsia="仿宋" w:cs="Times New Roman"/>
          <w:color w:val="000000" w:themeColor="text1"/>
          <w:kern w:val="0"/>
          <w:szCs w:val="28"/>
          <w:lang w:bidi="ar"/>
          <w14:textFill>
            <w14:solidFill>
              <w14:schemeClr w14:val="tx1"/>
            </w14:solidFill>
          </w14:textFill>
        </w:rPr>
        <w:t>2015</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23</w:t>
      </w:r>
      <w:r>
        <w:rPr>
          <w:rFonts w:hint="eastAsia" w:ascii="仿宋" w:hAnsi="仿宋" w:eastAsia="仿宋" w:cs="仿宋"/>
          <w:color w:val="000000" w:themeColor="text1"/>
          <w:kern w:val="0"/>
          <w:szCs w:val="28"/>
          <w:lang w:bidi="ar"/>
          <w14:textFill>
            <w14:solidFill>
              <w14:schemeClr w14:val="tx1"/>
            </w14:solidFill>
          </w14:textFill>
        </w:rPr>
        <w:t>号）、《福建省人民政府关于促进旅游业高质量发展的意见》（闽政〔</w:t>
      </w:r>
      <w:r>
        <w:rPr>
          <w:rFonts w:ascii="Times New Roman" w:hAnsi="Times New Roman" w:eastAsia="仿宋" w:cs="Times New Roman"/>
          <w:color w:val="000000" w:themeColor="text1"/>
          <w:kern w:val="0"/>
          <w:szCs w:val="28"/>
          <w:lang w:bidi="ar"/>
          <w14:textFill>
            <w14:solidFill>
              <w14:schemeClr w14:val="tx1"/>
            </w14:solidFill>
          </w14:textFill>
        </w:rPr>
        <w:t>2021</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8</w:t>
      </w:r>
      <w:r>
        <w:rPr>
          <w:rFonts w:hint="eastAsia" w:ascii="仿宋" w:hAnsi="仿宋" w:eastAsia="仿宋" w:cs="仿宋"/>
          <w:color w:val="000000" w:themeColor="text1"/>
          <w:kern w:val="0"/>
          <w:szCs w:val="28"/>
          <w:lang w:bidi="ar"/>
          <w14:textFill>
            <w14:solidFill>
              <w14:schemeClr w14:val="tx1"/>
            </w14:solidFill>
          </w14:textFill>
        </w:rPr>
        <w:t>号）、《惠安县人民政府办公室关于印发&lt;惠安县推动旅游业高质量发展的意见&gt;及&lt;惠安县旅游业高质量发展奖励措施&gt;的通知》（惠政办〔</w:t>
      </w:r>
      <w:r>
        <w:rPr>
          <w:rFonts w:ascii="Times New Roman" w:hAnsi="Times New Roman" w:eastAsia="仿宋" w:cs="Times New Roman"/>
          <w:color w:val="000000" w:themeColor="text1"/>
          <w:kern w:val="0"/>
          <w:szCs w:val="28"/>
          <w:lang w:bidi="ar"/>
          <w14:textFill>
            <w14:solidFill>
              <w14:schemeClr w14:val="tx1"/>
            </w14:solidFill>
          </w14:textFill>
        </w:rPr>
        <w:t>2021</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51</w:t>
      </w:r>
      <w:r>
        <w:rPr>
          <w:rFonts w:hint="eastAsia" w:ascii="仿宋" w:hAnsi="仿宋" w:eastAsia="仿宋" w:cs="仿宋"/>
          <w:color w:val="000000" w:themeColor="text1"/>
          <w:kern w:val="0"/>
          <w:szCs w:val="28"/>
          <w:lang w:bidi="ar"/>
          <w14:textFill>
            <w14:solidFill>
              <w14:schemeClr w14:val="tx1"/>
            </w14:solidFill>
          </w14:textFill>
        </w:rPr>
        <w:t>号）、《惠安县促进旅游业改革发展实施意见》（惠政文〔</w:t>
      </w:r>
      <w:r>
        <w:rPr>
          <w:rFonts w:ascii="Times New Roman" w:hAnsi="Times New Roman" w:eastAsia="仿宋" w:cs="Times New Roman"/>
          <w:color w:val="000000" w:themeColor="text1"/>
          <w:kern w:val="0"/>
          <w:szCs w:val="28"/>
          <w:lang w:bidi="ar"/>
          <w14:textFill>
            <w14:solidFill>
              <w14:schemeClr w14:val="tx1"/>
            </w14:solidFill>
          </w14:textFill>
        </w:rPr>
        <w:t>2015</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149</w:t>
      </w:r>
      <w:r>
        <w:rPr>
          <w:rFonts w:hint="eastAsia" w:ascii="仿宋" w:hAnsi="仿宋" w:eastAsia="仿宋" w:cs="仿宋"/>
          <w:color w:val="000000" w:themeColor="text1"/>
          <w:kern w:val="0"/>
          <w:szCs w:val="28"/>
          <w:lang w:bidi="ar"/>
          <w14:textFill>
            <w14:solidFill>
              <w14:schemeClr w14:val="tx1"/>
            </w14:solidFill>
          </w14:textFill>
        </w:rPr>
        <w:t>号）、《惠安县人民政府办公室关于印发&lt;加快惠安县酒店服务业发展优惠政策&gt;的通知》（惠政办〔</w:t>
      </w:r>
      <w:r>
        <w:rPr>
          <w:rFonts w:ascii="Times New Roman" w:hAnsi="Times New Roman" w:eastAsia="仿宋" w:cs="Times New Roman"/>
          <w:color w:val="000000" w:themeColor="text1"/>
          <w:kern w:val="0"/>
          <w:szCs w:val="28"/>
          <w:lang w:bidi="ar"/>
          <w14:textFill>
            <w14:solidFill>
              <w14:schemeClr w14:val="tx1"/>
            </w14:solidFill>
          </w14:textFill>
        </w:rPr>
        <w:t>2017</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129</w:t>
      </w:r>
      <w:r>
        <w:rPr>
          <w:rFonts w:hint="eastAsia" w:ascii="仿宋" w:hAnsi="仿宋" w:eastAsia="仿宋" w:cs="仿宋"/>
          <w:color w:val="000000" w:themeColor="text1"/>
          <w:kern w:val="0"/>
          <w:szCs w:val="28"/>
          <w:lang w:bidi="ar"/>
          <w14:textFill>
            <w14:solidFill>
              <w14:schemeClr w14:val="tx1"/>
            </w14:solidFill>
          </w14:textFill>
        </w:rPr>
        <w:t>号）、惠安县人民政府办公室关于印发惠安县促进民宿规范发展意见的通知（惠政办〔</w:t>
      </w:r>
      <w:r>
        <w:rPr>
          <w:rFonts w:ascii="Times New Roman" w:hAnsi="Times New Roman" w:eastAsia="仿宋" w:cs="Times New Roman"/>
          <w:color w:val="000000" w:themeColor="text1"/>
          <w:kern w:val="0"/>
          <w:szCs w:val="28"/>
          <w:lang w:bidi="ar"/>
          <w14:textFill>
            <w14:solidFill>
              <w14:schemeClr w14:val="tx1"/>
            </w14:solidFill>
          </w14:textFill>
        </w:rPr>
        <w:t>2021</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43</w:t>
      </w:r>
      <w:r>
        <w:rPr>
          <w:rFonts w:hint="eastAsia" w:ascii="仿宋" w:hAnsi="仿宋" w:eastAsia="仿宋" w:cs="仿宋"/>
          <w:color w:val="000000" w:themeColor="text1"/>
          <w:kern w:val="0"/>
          <w:szCs w:val="28"/>
          <w:lang w:bidi="ar"/>
          <w14:textFill>
            <w14:solidFill>
              <w14:schemeClr w14:val="tx1"/>
            </w14:solidFill>
          </w14:textFill>
        </w:rPr>
        <w:t>号）</w:t>
      </w:r>
      <w:r>
        <w:rPr>
          <w:rFonts w:hint="eastAsia" w:ascii="仿宋" w:hAnsi="仿宋" w:eastAsia="仿宋" w:cs="仿宋"/>
          <w:color w:val="000000" w:themeColor="text1"/>
          <w:shd w:val="clear" w:color="auto" w:fill="FFFFFF"/>
          <w:lang w:bidi="ar"/>
          <w14:textFill>
            <w14:solidFill>
              <w14:schemeClr w14:val="tx1"/>
            </w14:solidFill>
          </w14:textFill>
        </w:rPr>
        <w:t>等政策文件。</w:t>
      </w:r>
    </w:p>
    <w:p>
      <w:pPr>
        <w:ind w:firstLine="560" w:firstLineChars="200"/>
        <w:rPr>
          <w:rFonts w:ascii="仿宋" w:hAnsi="仿宋" w:eastAsia="仿宋" w:cs="仿宋"/>
          <w:color w:val="000000" w:themeColor="text1"/>
          <w:shd w:val="clear" w:color="auto" w:fill="FFFFFF"/>
          <w14:textFill>
            <w14:solidFill>
              <w14:schemeClr w14:val="tx1"/>
            </w14:solidFill>
          </w14:textFill>
        </w:rPr>
      </w:pPr>
      <w:r>
        <w:rPr>
          <w:rFonts w:hint="eastAsia" w:ascii="仿宋" w:hAnsi="仿宋" w:eastAsia="仿宋" w:cs="仿宋"/>
          <w:color w:val="000000" w:themeColor="text1"/>
          <w:shd w:val="clear" w:color="auto" w:fill="FFFFFF"/>
          <w:lang w:bidi="ar"/>
          <w14:textFill>
            <w14:solidFill>
              <w14:schemeClr w14:val="tx1"/>
            </w14:solidFill>
          </w14:textFill>
        </w:rPr>
        <w:t>本专项资金经费批复与实施的过程文件为</w:t>
      </w:r>
      <w:r>
        <w:rPr>
          <w:rFonts w:hint="eastAsia" w:ascii="仿宋" w:hAnsi="仿宋" w:eastAsia="仿宋" w:cs="仿宋"/>
          <w:color w:val="000000" w:themeColor="text1"/>
          <w:kern w:val="0"/>
          <w:szCs w:val="28"/>
          <w:lang w:bidi="ar"/>
          <w14:textFill>
            <w14:solidFill>
              <w14:schemeClr w14:val="tx1"/>
            </w14:solidFill>
          </w14:textFill>
        </w:rPr>
        <w:t>《惠安县旅游发展专项资金管理办法》（惠文旅〔</w:t>
      </w:r>
      <w:r>
        <w:rPr>
          <w:rFonts w:ascii="Times New Roman" w:hAnsi="Times New Roman" w:eastAsia="仿宋" w:cs="Times New Roman"/>
          <w:color w:val="000000" w:themeColor="text1"/>
          <w:kern w:val="0"/>
          <w:szCs w:val="28"/>
          <w:lang w:bidi="ar"/>
          <w14:textFill>
            <w14:solidFill>
              <w14:schemeClr w14:val="tx1"/>
            </w14:solidFill>
          </w14:textFill>
        </w:rPr>
        <w:t>2023</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60</w:t>
      </w:r>
      <w:r>
        <w:rPr>
          <w:rFonts w:hint="eastAsia" w:ascii="仿宋" w:hAnsi="仿宋" w:eastAsia="仿宋" w:cs="仿宋"/>
          <w:color w:val="000000" w:themeColor="text1"/>
          <w:kern w:val="0"/>
          <w:szCs w:val="28"/>
          <w:lang w:bidi="ar"/>
          <w14:textFill>
            <w14:solidFill>
              <w14:schemeClr w14:val="tx1"/>
            </w14:solidFill>
          </w14:textFill>
        </w:rPr>
        <w:t>号）、《惠安县文旅局 财政局关于印发惠安县加快推进旅游业高质量发展项目申报指南的通知》（惠文旅联〔</w:t>
      </w:r>
      <w:r>
        <w:rPr>
          <w:rFonts w:ascii="Times New Roman" w:hAnsi="Times New Roman" w:eastAsia="仿宋" w:cs="Times New Roman"/>
          <w:color w:val="000000" w:themeColor="text1"/>
          <w:kern w:val="0"/>
          <w:szCs w:val="28"/>
          <w:lang w:bidi="ar"/>
          <w14:textFill>
            <w14:solidFill>
              <w14:schemeClr w14:val="tx1"/>
            </w14:solidFill>
          </w14:textFill>
        </w:rPr>
        <w:t>2021</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70</w:t>
      </w:r>
      <w:r>
        <w:rPr>
          <w:rFonts w:hint="eastAsia" w:ascii="仿宋" w:hAnsi="仿宋" w:eastAsia="仿宋" w:cs="仿宋"/>
          <w:color w:val="000000" w:themeColor="text1"/>
          <w:kern w:val="0"/>
          <w:szCs w:val="28"/>
          <w:lang w:bidi="ar"/>
          <w14:textFill>
            <w14:solidFill>
              <w14:schemeClr w14:val="tx1"/>
            </w14:solidFill>
          </w14:textFill>
        </w:rPr>
        <w:t>号）、《关于下达</w:t>
      </w:r>
      <w:r>
        <w:rPr>
          <w:rFonts w:ascii="Times New Roman" w:hAnsi="Times New Roman" w:eastAsia="仿宋" w:cs="Times New Roman"/>
          <w:color w:val="000000" w:themeColor="text1"/>
          <w:kern w:val="0"/>
          <w:szCs w:val="28"/>
          <w:lang w:bidi="ar"/>
          <w14:textFill>
            <w14:solidFill>
              <w14:schemeClr w14:val="tx1"/>
            </w14:solidFill>
          </w14:textFill>
        </w:rPr>
        <w:t>2021</w:t>
      </w:r>
      <w:r>
        <w:rPr>
          <w:rFonts w:hint="eastAsia" w:ascii="仿宋" w:hAnsi="仿宋" w:eastAsia="仿宋" w:cs="仿宋"/>
          <w:color w:val="000000" w:themeColor="text1"/>
          <w:kern w:val="0"/>
          <w:szCs w:val="28"/>
          <w:lang w:bidi="ar"/>
          <w14:textFill>
            <w14:solidFill>
              <w14:schemeClr w14:val="tx1"/>
            </w14:solidFill>
          </w14:textFill>
        </w:rPr>
        <w:t>年旅游企业疫情专项补助资金的通知》（惠文旅〔</w:t>
      </w:r>
      <w:r>
        <w:rPr>
          <w:rFonts w:ascii="Times New Roman" w:hAnsi="Times New Roman" w:eastAsia="仿宋" w:cs="Times New Roman"/>
          <w:color w:val="000000" w:themeColor="text1"/>
          <w:kern w:val="0"/>
          <w:szCs w:val="28"/>
          <w:lang w:bidi="ar"/>
          <w14:textFill>
            <w14:solidFill>
              <w14:schemeClr w14:val="tx1"/>
            </w14:solidFill>
          </w14:textFill>
        </w:rPr>
        <w:t>2022</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25</w:t>
      </w:r>
      <w:r>
        <w:rPr>
          <w:rFonts w:hint="eastAsia" w:ascii="仿宋" w:hAnsi="仿宋" w:eastAsia="仿宋" w:cs="仿宋"/>
          <w:color w:val="000000" w:themeColor="text1"/>
          <w:kern w:val="0"/>
          <w:szCs w:val="28"/>
          <w:lang w:bidi="ar"/>
          <w14:textFill>
            <w14:solidFill>
              <w14:schemeClr w14:val="tx1"/>
            </w14:solidFill>
          </w14:textFill>
        </w:rPr>
        <w:t>号）、《关于下达</w:t>
      </w:r>
      <w:r>
        <w:rPr>
          <w:rFonts w:ascii="Times New Roman" w:hAnsi="Times New Roman" w:eastAsia="仿宋" w:cs="Times New Roman"/>
          <w:color w:val="000000" w:themeColor="text1"/>
          <w:kern w:val="0"/>
          <w:szCs w:val="28"/>
          <w:lang w:bidi="ar"/>
          <w14:textFill>
            <w14:solidFill>
              <w14:schemeClr w14:val="tx1"/>
            </w14:solidFill>
          </w14:textFill>
        </w:rPr>
        <w:t>2021</w:t>
      </w:r>
      <w:r>
        <w:rPr>
          <w:rFonts w:hint="eastAsia" w:ascii="仿宋" w:hAnsi="仿宋" w:eastAsia="仿宋" w:cs="仿宋"/>
          <w:color w:val="000000" w:themeColor="text1"/>
          <w:kern w:val="0"/>
          <w:szCs w:val="28"/>
          <w:lang w:bidi="ar"/>
          <w14:textFill>
            <w14:solidFill>
              <w14:schemeClr w14:val="tx1"/>
            </w14:solidFill>
          </w14:textFill>
        </w:rPr>
        <w:t>年度县级旅游专项资金的通知》（惠文旅〔</w:t>
      </w:r>
      <w:r>
        <w:rPr>
          <w:rFonts w:ascii="Times New Roman" w:hAnsi="Times New Roman" w:eastAsia="仿宋" w:cs="Times New Roman"/>
          <w:color w:val="000000" w:themeColor="text1"/>
          <w:kern w:val="0"/>
          <w:szCs w:val="28"/>
          <w:lang w:bidi="ar"/>
          <w14:textFill>
            <w14:solidFill>
              <w14:schemeClr w14:val="tx1"/>
            </w14:solidFill>
          </w14:textFill>
        </w:rPr>
        <w:t>2022</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64</w:t>
      </w:r>
      <w:r>
        <w:rPr>
          <w:rFonts w:hint="eastAsia" w:ascii="仿宋" w:hAnsi="仿宋" w:eastAsia="仿宋" w:cs="仿宋"/>
          <w:color w:val="000000" w:themeColor="text1"/>
          <w:kern w:val="0"/>
          <w:szCs w:val="28"/>
          <w:lang w:bidi="ar"/>
          <w14:textFill>
            <w14:solidFill>
              <w14:schemeClr w14:val="tx1"/>
            </w14:solidFill>
          </w14:textFill>
        </w:rPr>
        <w:t>号）、《关于下达</w:t>
      </w:r>
      <w:r>
        <w:rPr>
          <w:rFonts w:ascii="Times New Roman" w:hAnsi="Times New Roman" w:eastAsia="仿宋" w:cs="Times New Roman"/>
          <w:color w:val="000000" w:themeColor="text1"/>
          <w:kern w:val="0"/>
          <w:szCs w:val="28"/>
          <w:lang w:bidi="ar"/>
          <w14:textFill>
            <w14:solidFill>
              <w14:schemeClr w14:val="tx1"/>
            </w14:solidFill>
          </w14:textFill>
        </w:rPr>
        <w:t>2022</w:t>
      </w:r>
      <w:r>
        <w:rPr>
          <w:rFonts w:hint="eastAsia" w:ascii="仿宋" w:hAnsi="仿宋" w:eastAsia="仿宋" w:cs="仿宋"/>
          <w:color w:val="000000" w:themeColor="text1"/>
          <w:kern w:val="0"/>
          <w:szCs w:val="28"/>
          <w:lang w:bidi="ar"/>
          <w14:textFill>
            <w14:solidFill>
              <w14:schemeClr w14:val="tx1"/>
            </w14:solidFill>
          </w14:textFill>
        </w:rPr>
        <w:t>年旅游高质量发展资金的请示》（惠文旅〔</w:t>
      </w:r>
      <w:r>
        <w:rPr>
          <w:rFonts w:ascii="Times New Roman" w:hAnsi="Times New Roman" w:eastAsia="仿宋" w:cs="Times New Roman"/>
          <w:color w:val="000000" w:themeColor="text1"/>
          <w:kern w:val="0"/>
          <w:szCs w:val="28"/>
          <w:lang w:bidi="ar"/>
          <w14:textFill>
            <w14:solidFill>
              <w14:schemeClr w14:val="tx1"/>
            </w14:solidFill>
          </w14:textFill>
        </w:rPr>
        <w:t>2023</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67</w:t>
      </w:r>
      <w:r>
        <w:rPr>
          <w:rFonts w:hint="eastAsia" w:ascii="仿宋" w:hAnsi="仿宋" w:eastAsia="仿宋" w:cs="仿宋"/>
          <w:color w:val="000000" w:themeColor="text1"/>
          <w:kern w:val="0"/>
          <w:szCs w:val="28"/>
          <w:lang w:bidi="ar"/>
          <w14:textFill>
            <w14:solidFill>
              <w14:schemeClr w14:val="tx1"/>
            </w14:solidFill>
          </w14:textFill>
        </w:rPr>
        <w:t>号）</w:t>
      </w:r>
      <w:r>
        <w:rPr>
          <w:rFonts w:hint="eastAsia" w:ascii="仿宋" w:hAnsi="仿宋" w:eastAsia="仿宋" w:cs="仿宋"/>
          <w:color w:val="000000" w:themeColor="text1"/>
          <w:shd w:val="clear" w:color="auto" w:fill="FFFFFF"/>
          <w:lang w:bidi="ar"/>
          <w14:textFill>
            <w14:solidFill>
              <w14:schemeClr w14:val="tx1"/>
            </w14:solidFill>
          </w14:textFill>
        </w:rPr>
        <w:t>等文件。</w:t>
      </w:r>
    </w:p>
    <w:p>
      <w:pPr>
        <w:spacing w:before="190" w:beforeLines="50" w:after="190" w:afterLines="50"/>
        <w:ind w:firstLine="643" w:firstLineChars="200"/>
        <w:outlineLvl w:val="1"/>
        <w:rPr>
          <w:rFonts w:ascii="Times New Roman" w:hAnsi="Times New Roman" w:eastAsia="仿宋" w:cs="Times New Roman"/>
          <w:b/>
          <w:color w:val="000000" w:themeColor="text1"/>
          <w:kern w:val="0"/>
          <w:sz w:val="32"/>
          <w:szCs w:val="32"/>
          <w:lang w:bidi="ar"/>
          <w14:textFill>
            <w14:solidFill>
              <w14:schemeClr w14:val="tx1"/>
            </w14:solidFill>
          </w14:textFill>
        </w:rPr>
      </w:pPr>
      <w:bookmarkStart w:id="5" w:name="_Toc6523"/>
      <w:r>
        <w:rPr>
          <w:rFonts w:ascii="Times New Roman" w:hAnsi="Times New Roman" w:eastAsia="仿宋" w:cs="Times New Roman"/>
          <w:b/>
          <w:color w:val="000000" w:themeColor="text1"/>
          <w:kern w:val="0"/>
          <w:sz w:val="32"/>
          <w:szCs w:val="32"/>
          <w:lang w:bidi="ar"/>
          <w14:textFill>
            <w14:solidFill>
              <w14:schemeClr w14:val="tx1"/>
            </w14:solidFill>
          </w14:textFill>
        </w:rPr>
        <w:t>三、专项资金实施目标</w:t>
      </w:r>
      <w:bookmarkEnd w:id="5"/>
    </w:p>
    <w:p>
      <w:pPr>
        <w:ind w:firstLine="560" w:firstLineChars="200"/>
        <w:rPr>
          <w:rFonts w:ascii="仿宋" w:hAnsi="仿宋" w:eastAsia="仿宋" w:cs="仿宋"/>
          <w:color w:val="000000" w:themeColor="text1"/>
          <w:kern w:val="0"/>
          <w:szCs w:val="28"/>
          <w:lang w:bidi="ar"/>
          <w14:textFill>
            <w14:solidFill>
              <w14:schemeClr w14:val="tx1"/>
            </w14:solidFill>
          </w14:textFill>
        </w:rPr>
      </w:pPr>
      <w:r>
        <w:rPr>
          <w:rFonts w:hint="eastAsia" w:ascii="仿宋" w:hAnsi="仿宋" w:eastAsia="仿宋" w:cs="仿宋"/>
          <w:color w:val="000000" w:themeColor="text1"/>
          <w:kern w:val="0"/>
          <w:szCs w:val="28"/>
          <w:lang w:bidi="ar"/>
          <w14:textFill>
            <w14:solidFill>
              <w14:schemeClr w14:val="tx1"/>
            </w14:solidFill>
          </w14:textFill>
        </w:rPr>
        <w:t>依据《惠安县促进旅游业改革发展实施意见》（惠政文〔</w:t>
      </w:r>
      <w:r>
        <w:rPr>
          <w:rFonts w:ascii="Times New Roman" w:hAnsi="Times New Roman" w:eastAsia="仿宋" w:cs="Times New Roman"/>
          <w:color w:val="000000" w:themeColor="text1"/>
          <w:kern w:val="0"/>
          <w:szCs w:val="28"/>
          <w:lang w:bidi="ar"/>
          <w14:textFill>
            <w14:solidFill>
              <w14:schemeClr w14:val="tx1"/>
            </w14:solidFill>
          </w14:textFill>
        </w:rPr>
        <w:t>2015</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149</w:t>
      </w:r>
      <w:r>
        <w:rPr>
          <w:rFonts w:hint="eastAsia" w:ascii="仿宋" w:hAnsi="仿宋" w:eastAsia="仿宋" w:cs="仿宋"/>
          <w:color w:val="000000" w:themeColor="text1"/>
          <w:kern w:val="0"/>
          <w:szCs w:val="28"/>
          <w:lang w:bidi="ar"/>
          <w14:textFill>
            <w14:solidFill>
              <w14:schemeClr w14:val="tx1"/>
            </w14:solidFill>
          </w14:textFill>
        </w:rPr>
        <w:t>号）、《加快惠安县酒店服务业发展优惠政策》（惠政办〔</w:t>
      </w:r>
      <w:r>
        <w:rPr>
          <w:rFonts w:ascii="Times New Roman" w:hAnsi="Times New Roman" w:eastAsia="仿宋" w:cs="Times New Roman"/>
          <w:color w:val="000000" w:themeColor="text1"/>
          <w:kern w:val="0"/>
          <w:szCs w:val="28"/>
          <w:lang w:bidi="ar"/>
          <w14:textFill>
            <w14:solidFill>
              <w14:schemeClr w14:val="tx1"/>
            </w14:solidFill>
          </w14:textFill>
        </w:rPr>
        <w:t>2017</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129</w:t>
      </w:r>
      <w:r>
        <w:rPr>
          <w:rFonts w:hint="eastAsia" w:ascii="仿宋" w:hAnsi="仿宋" w:eastAsia="仿宋" w:cs="仿宋"/>
          <w:color w:val="000000" w:themeColor="text1"/>
          <w:kern w:val="0"/>
          <w:szCs w:val="28"/>
          <w:lang w:bidi="ar"/>
          <w14:textFill>
            <w14:solidFill>
              <w14:schemeClr w14:val="tx1"/>
            </w14:solidFill>
          </w14:textFill>
        </w:rPr>
        <w:t>号）等文件精神和《惠安县级财政专项资金管理办法》的有关规定，旅游发展专项资金用于保障我县旅游发展规划、旅游资源保护与开发、旅游宣传与促销、旅游产业发展、旅游行业管理、旅游统计等。本项目总体目标为：促进惠安旅游业改革发展，推动景城一体、景村一体、宜居宜游的全域化文旅经济强县建设，努力形成“机制活、产业优、百姓富、生态美”的良好局面。</w:t>
      </w:r>
    </w:p>
    <w:p>
      <w:pPr>
        <w:spacing w:before="190" w:beforeLines="50" w:after="190" w:afterLines="50"/>
        <w:ind w:firstLine="643" w:firstLineChars="200"/>
        <w:outlineLvl w:val="1"/>
        <w:rPr>
          <w:rFonts w:ascii="Times New Roman" w:hAnsi="Times New Roman" w:eastAsia="仿宋" w:cs="Times New Roman"/>
          <w:b/>
          <w:color w:val="000000" w:themeColor="text1"/>
          <w:kern w:val="0"/>
          <w:sz w:val="32"/>
          <w:szCs w:val="32"/>
          <w:lang w:bidi="ar"/>
          <w14:textFill>
            <w14:solidFill>
              <w14:schemeClr w14:val="tx1"/>
            </w14:solidFill>
          </w14:textFill>
        </w:rPr>
      </w:pPr>
      <w:bookmarkStart w:id="6" w:name="_Toc7669"/>
      <w:r>
        <w:rPr>
          <w:rFonts w:ascii="Times New Roman" w:hAnsi="Times New Roman" w:eastAsia="仿宋" w:cs="Times New Roman"/>
          <w:b/>
          <w:color w:val="000000" w:themeColor="text1"/>
          <w:kern w:val="0"/>
          <w:sz w:val="32"/>
          <w:szCs w:val="32"/>
          <w:lang w:bidi="ar"/>
          <w14:textFill>
            <w14:solidFill>
              <w14:schemeClr w14:val="tx1"/>
            </w14:solidFill>
          </w14:textFill>
        </w:rPr>
        <w:t>四、专项资金执行情况</w:t>
      </w:r>
      <w:bookmarkEnd w:id="6"/>
    </w:p>
    <w:p>
      <w:pPr>
        <w:ind w:firstLine="560" w:firstLineChars="200"/>
        <w:rPr>
          <w:rFonts w:ascii="仿宋" w:hAnsi="仿宋" w:eastAsia="仿宋" w:cs="仿宋"/>
          <w:color w:val="000000" w:themeColor="text1"/>
          <w:kern w:val="0"/>
          <w:szCs w:val="28"/>
          <w:lang w:bidi="ar"/>
          <w14:textFill>
            <w14:solidFill>
              <w14:schemeClr w14:val="tx1"/>
            </w14:solidFill>
          </w14:textFill>
        </w:rPr>
      </w:pPr>
      <w:bookmarkStart w:id="7" w:name="_Hlk115714663"/>
      <w:r>
        <w:rPr>
          <w:rFonts w:hint="eastAsia" w:ascii="仿宋" w:hAnsi="仿宋" w:eastAsia="仿宋" w:cs="仿宋"/>
          <w:color w:val="000000" w:themeColor="text1"/>
          <w:kern w:val="0"/>
          <w:szCs w:val="28"/>
          <w:lang w:bidi="ar"/>
          <w14:textFill>
            <w14:solidFill>
              <w14:schemeClr w14:val="tx1"/>
            </w14:solidFill>
          </w14:textFill>
        </w:rPr>
        <w:t>惠安县</w:t>
      </w:r>
      <w:r>
        <w:rPr>
          <w:rFonts w:ascii="Times New Roman" w:hAnsi="Times New Roman" w:eastAsia="仿宋" w:cs="Times New Roman"/>
          <w:color w:val="000000" w:themeColor="text1"/>
          <w:kern w:val="0"/>
          <w:szCs w:val="28"/>
          <w:lang w:bidi="ar"/>
          <w14:textFill>
            <w14:solidFill>
              <w14:schemeClr w14:val="tx1"/>
            </w14:solidFill>
          </w14:textFill>
        </w:rPr>
        <w:t>2021</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2022</w:t>
      </w:r>
      <w:r>
        <w:rPr>
          <w:rFonts w:hint="eastAsia" w:ascii="仿宋" w:hAnsi="仿宋" w:eastAsia="仿宋" w:cs="仿宋"/>
          <w:color w:val="000000" w:themeColor="text1"/>
          <w:kern w:val="0"/>
          <w:szCs w:val="28"/>
          <w:lang w:bidi="ar"/>
          <w14:textFill>
            <w14:solidFill>
              <w14:schemeClr w14:val="tx1"/>
            </w14:solidFill>
          </w14:textFill>
        </w:rPr>
        <w:t>年安排旅游发展专项资金共计</w:t>
      </w:r>
      <w:r>
        <w:rPr>
          <w:rFonts w:ascii="Times New Roman" w:hAnsi="Times New Roman" w:eastAsia="仿宋" w:cs="Times New Roman"/>
          <w:color w:val="000000" w:themeColor="text1"/>
          <w:kern w:val="0"/>
          <w:szCs w:val="28"/>
          <w:lang w:bidi="ar"/>
          <w14:textFill>
            <w14:solidFill>
              <w14:schemeClr w14:val="tx1"/>
            </w14:solidFill>
          </w14:textFill>
        </w:rPr>
        <w:t>1400</w:t>
      </w:r>
      <w:r>
        <w:rPr>
          <w:rFonts w:hint="eastAsia" w:ascii="仿宋" w:hAnsi="仿宋" w:eastAsia="仿宋" w:cs="仿宋"/>
          <w:color w:val="000000" w:themeColor="text1"/>
          <w:kern w:val="0"/>
          <w:szCs w:val="28"/>
          <w:lang w:bidi="ar"/>
          <w14:textFill>
            <w14:solidFill>
              <w14:schemeClr w14:val="tx1"/>
            </w14:solidFill>
          </w14:textFill>
        </w:rPr>
        <w:t>万元，其中</w:t>
      </w:r>
      <w:r>
        <w:rPr>
          <w:rFonts w:ascii="Times New Roman" w:hAnsi="Times New Roman" w:eastAsia="仿宋" w:cs="Times New Roman"/>
          <w:color w:val="000000" w:themeColor="text1"/>
          <w:kern w:val="0"/>
          <w:szCs w:val="28"/>
          <w:lang w:bidi="ar"/>
          <w14:textFill>
            <w14:solidFill>
              <w14:schemeClr w14:val="tx1"/>
            </w14:solidFill>
          </w14:textFill>
        </w:rPr>
        <w:t>2021</w:t>
      </w:r>
      <w:r>
        <w:rPr>
          <w:rFonts w:hint="eastAsia" w:ascii="仿宋" w:hAnsi="仿宋" w:eastAsia="仿宋" w:cs="仿宋"/>
          <w:color w:val="000000" w:themeColor="text1"/>
          <w:kern w:val="0"/>
          <w:szCs w:val="28"/>
          <w:lang w:bidi="ar"/>
          <w14:textFill>
            <w14:solidFill>
              <w14:schemeClr w14:val="tx1"/>
            </w14:solidFill>
          </w14:textFill>
        </w:rPr>
        <w:t>年项目申请资金总额为</w:t>
      </w:r>
      <w:r>
        <w:rPr>
          <w:rFonts w:ascii="Times New Roman" w:hAnsi="Times New Roman" w:eastAsia="仿宋" w:cs="Times New Roman"/>
          <w:color w:val="000000" w:themeColor="text1"/>
          <w:kern w:val="0"/>
          <w:szCs w:val="28"/>
          <w:lang w:bidi="ar"/>
          <w14:textFill>
            <w14:solidFill>
              <w14:schemeClr w14:val="tx1"/>
            </w14:solidFill>
          </w14:textFill>
        </w:rPr>
        <w:t>600</w:t>
      </w:r>
      <w:r>
        <w:rPr>
          <w:rFonts w:hint="eastAsia" w:ascii="仿宋" w:hAnsi="仿宋" w:eastAsia="仿宋" w:cs="仿宋"/>
          <w:color w:val="000000" w:themeColor="text1"/>
          <w:kern w:val="0"/>
          <w:szCs w:val="28"/>
          <w:lang w:bidi="ar"/>
          <w14:textFill>
            <w14:solidFill>
              <w14:schemeClr w14:val="tx1"/>
            </w14:solidFill>
          </w14:textFill>
        </w:rPr>
        <w:t>万元，</w:t>
      </w:r>
      <w:r>
        <w:rPr>
          <w:rFonts w:ascii="Times New Roman" w:hAnsi="Times New Roman" w:eastAsia="仿宋" w:cs="Times New Roman"/>
          <w:color w:val="000000" w:themeColor="text1"/>
          <w:kern w:val="0"/>
          <w:szCs w:val="28"/>
          <w:lang w:bidi="ar"/>
          <w14:textFill>
            <w14:solidFill>
              <w14:schemeClr w14:val="tx1"/>
            </w14:solidFill>
          </w14:textFill>
        </w:rPr>
        <w:t>2022</w:t>
      </w:r>
      <w:r>
        <w:rPr>
          <w:rFonts w:hint="eastAsia" w:ascii="仿宋" w:hAnsi="仿宋" w:eastAsia="仿宋" w:cs="仿宋"/>
          <w:color w:val="000000" w:themeColor="text1"/>
          <w:kern w:val="0"/>
          <w:szCs w:val="28"/>
          <w:lang w:bidi="ar"/>
          <w14:textFill>
            <w14:solidFill>
              <w14:schemeClr w14:val="tx1"/>
            </w14:solidFill>
          </w14:textFill>
        </w:rPr>
        <w:t>年项目申请资金总额为</w:t>
      </w:r>
      <w:r>
        <w:rPr>
          <w:rFonts w:ascii="Times New Roman" w:hAnsi="Times New Roman" w:eastAsia="仿宋" w:cs="Times New Roman"/>
          <w:color w:val="000000" w:themeColor="text1"/>
          <w:kern w:val="0"/>
          <w:szCs w:val="28"/>
          <w:lang w:bidi="ar"/>
          <w14:textFill>
            <w14:solidFill>
              <w14:schemeClr w14:val="tx1"/>
            </w14:solidFill>
          </w14:textFill>
        </w:rPr>
        <w:t>800</w:t>
      </w:r>
      <w:r>
        <w:rPr>
          <w:rFonts w:hint="eastAsia" w:ascii="仿宋" w:hAnsi="仿宋" w:eastAsia="仿宋" w:cs="仿宋"/>
          <w:color w:val="000000" w:themeColor="text1"/>
          <w:kern w:val="0"/>
          <w:szCs w:val="28"/>
          <w:lang w:bidi="ar"/>
          <w14:textFill>
            <w14:solidFill>
              <w14:schemeClr w14:val="tx1"/>
            </w14:solidFill>
          </w14:textFill>
        </w:rPr>
        <w:t>万元，该专项资金来源于一般公共预算拨款。</w:t>
      </w:r>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由县级财政根据《惠安县“十四五”文体旅规划》、《惠安县旅游发展专项资金使用管理办法》、《惠安县文体旅目标绩效考核实施细则》、《惠安县促进旅游业改革发展实施意见的通知》（惠政文</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2015</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149</w:t>
      </w:r>
      <w:r>
        <w:rPr>
          <w:rFonts w:hint="eastAsia" w:ascii="仿宋" w:hAnsi="仿宋" w:eastAsia="仿宋" w:cs="仿宋"/>
          <w:color w:val="000000" w:themeColor="text1"/>
          <w:szCs w:val="28"/>
          <w14:textFill>
            <w14:solidFill>
              <w14:schemeClr w14:val="tx1"/>
            </w14:solidFill>
          </w14:textFill>
        </w:rPr>
        <w:t>号）、《惠安县旅游工作目标管理年度考核办法》等文件精神下达资金，</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年和</w:t>
      </w:r>
      <w:r>
        <w:rPr>
          <w:rFonts w:ascii="Times New Roman" w:hAnsi="Times New Roman" w:eastAsia="仿宋" w:cs="Times New Roman"/>
          <w:color w:val="000000" w:themeColor="text1"/>
          <w:szCs w:val="28"/>
          <w14:textFill>
            <w14:solidFill>
              <w14:schemeClr w14:val="tx1"/>
            </w14:solidFill>
          </w14:textFill>
        </w:rPr>
        <w:t>2022</w:t>
      </w:r>
      <w:r>
        <w:rPr>
          <w:rFonts w:hint="eastAsia" w:ascii="仿宋" w:hAnsi="仿宋" w:eastAsia="仿宋" w:cs="仿宋"/>
          <w:color w:val="000000" w:themeColor="text1"/>
          <w:szCs w:val="28"/>
          <w14:textFill>
            <w14:solidFill>
              <w14:schemeClr w14:val="tx1"/>
            </w14:solidFill>
          </w14:textFill>
        </w:rPr>
        <w:t>年度旅游发展专项资金支出决算总额分别为</w:t>
      </w:r>
      <w:r>
        <w:rPr>
          <w:rFonts w:ascii="Times New Roman" w:hAnsi="Times New Roman" w:eastAsia="仿宋" w:cs="Times New Roman"/>
          <w:color w:val="000000" w:themeColor="text1"/>
          <w:szCs w:val="28"/>
          <w14:textFill>
            <w14:solidFill>
              <w14:schemeClr w14:val="tx1"/>
            </w14:solidFill>
          </w14:textFill>
        </w:rPr>
        <w:t>486.84</w:t>
      </w:r>
      <w:r>
        <w:rPr>
          <w:rFonts w:hint="eastAsia" w:ascii="仿宋" w:hAnsi="仿宋" w:eastAsia="仿宋" w:cs="仿宋"/>
          <w:color w:val="000000" w:themeColor="text1"/>
          <w:szCs w:val="28"/>
          <w14:textFill>
            <w14:solidFill>
              <w14:schemeClr w14:val="tx1"/>
            </w14:solidFill>
          </w14:textFill>
        </w:rPr>
        <w:t>万元、</w:t>
      </w:r>
      <w:r>
        <w:rPr>
          <w:rFonts w:ascii="Times New Roman" w:hAnsi="Times New Roman" w:eastAsia="仿宋" w:cs="Times New Roman"/>
          <w:color w:val="000000" w:themeColor="text1"/>
          <w:szCs w:val="28"/>
          <w14:textFill>
            <w14:solidFill>
              <w14:schemeClr w14:val="tx1"/>
            </w14:solidFill>
          </w14:textFill>
        </w:rPr>
        <w:t>609.62</w:t>
      </w:r>
      <w:r>
        <w:rPr>
          <w:rFonts w:hint="eastAsia" w:ascii="仿宋" w:hAnsi="仿宋" w:eastAsia="仿宋" w:cs="仿宋"/>
          <w:color w:val="000000" w:themeColor="text1"/>
          <w:szCs w:val="28"/>
          <w14:textFill>
            <w14:solidFill>
              <w14:schemeClr w14:val="tx1"/>
            </w14:solidFill>
          </w14:textFill>
        </w:rPr>
        <w:t>万元。</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年和</w:t>
      </w:r>
      <w:r>
        <w:rPr>
          <w:rFonts w:ascii="Times New Roman" w:hAnsi="Times New Roman" w:eastAsia="仿宋" w:cs="Times New Roman"/>
          <w:color w:val="000000" w:themeColor="text1"/>
          <w:szCs w:val="28"/>
          <w14:textFill>
            <w14:solidFill>
              <w14:schemeClr w14:val="tx1"/>
            </w14:solidFill>
          </w14:textFill>
        </w:rPr>
        <w:t>2022</w:t>
      </w:r>
      <w:r>
        <w:rPr>
          <w:rFonts w:hint="eastAsia" w:ascii="仿宋" w:hAnsi="仿宋" w:eastAsia="仿宋" w:cs="仿宋"/>
          <w:color w:val="000000" w:themeColor="text1"/>
          <w:szCs w:val="28"/>
          <w14:textFill>
            <w14:solidFill>
              <w14:schemeClr w14:val="tx1"/>
            </w14:solidFill>
          </w14:textFill>
        </w:rPr>
        <w:t>年的预算执行率分别为</w:t>
      </w:r>
      <w:r>
        <w:rPr>
          <w:rFonts w:ascii="Times New Roman" w:hAnsi="Times New Roman" w:eastAsia="仿宋" w:cs="Times New Roman"/>
          <w:color w:val="000000" w:themeColor="text1"/>
          <w:szCs w:val="28"/>
          <w14:textFill>
            <w14:solidFill>
              <w14:schemeClr w14:val="tx1"/>
            </w14:solidFill>
          </w14:textFill>
        </w:rPr>
        <w:t>81.14</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76.20</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2022</w:t>
      </w:r>
      <w:r>
        <w:rPr>
          <w:rFonts w:hint="eastAsia" w:ascii="仿宋" w:hAnsi="仿宋" w:eastAsia="仿宋" w:cs="仿宋"/>
          <w:color w:val="000000" w:themeColor="text1"/>
          <w:szCs w:val="28"/>
          <w14:textFill>
            <w14:solidFill>
              <w14:schemeClr w14:val="tx1"/>
            </w14:solidFill>
          </w14:textFill>
        </w:rPr>
        <w:t>年度的预算执行率为</w:t>
      </w:r>
      <w:r>
        <w:rPr>
          <w:rFonts w:ascii="Times New Roman" w:hAnsi="Times New Roman" w:eastAsia="仿宋" w:cs="Times New Roman"/>
          <w:color w:val="000000" w:themeColor="text1"/>
          <w:szCs w:val="28"/>
          <w14:textFill>
            <w14:solidFill>
              <w14:schemeClr w14:val="tx1"/>
            </w14:solidFill>
          </w14:textFill>
        </w:rPr>
        <w:t>78.32</w:t>
      </w:r>
      <w:r>
        <w:rPr>
          <w:rFonts w:hint="eastAsia" w:ascii="仿宋" w:hAnsi="仿宋" w:eastAsia="仿宋" w:cs="仿宋"/>
          <w:color w:val="000000" w:themeColor="text1"/>
          <w:szCs w:val="28"/>
          <w14:textFill>
            <w14:solidFill>
              <w14:schemeClr w14:val="tx1"/>
            </w14:solidFill>
          </w14:textFill>
        </w:rPr>
        <w:t>%。</w:t>
      </w:r>
    </w:p>
    <w:bookmarkEnd w:id="7"/>
    <w:p>
      <w:pPr>
        <w:spacing w:before="190" w:beforeLines="50" w:after="190" w:afterLines="50"/>
        <w:ind w:firstLine="643" w:firstLineChars="200"/>
        <w:outlineLvl w:val="1"/>
        <w:rPr>
          <w:rFonts w:ascii="Times New Roman" w:hAnsi="Times New Roman" w:eastAsia="仿宋" w:cs="Times New Roman"/>
          <w:b/>
          <w:color w:val="000000" w:themeColor="text1"/>
          <w:kern w:val="0"/>
          <w:sz w:val="32"/>
          <w:szCs w:val="32"/>
          <w:lang w:bidi="ar"/>
          <w14:textFill>
            <w14:solidFill>
              <w14:schemeClr w14:val="tx1"/>
            </w14:solidFill>
          </w14:textFill>
        </w:rPr>
      </w:pPr>
      <w:bookmarkStart w:id="8" w:name="_Toc30311"/>
      <w:r>
        <w:rPr>
          <w:rFonts w:ascii="Times New Roman" w:hAnsi="Times New Roman" w:eastAsia="仿宋" w:cs="Times New Roman"/>
          <w:b/>
          <w:color w:val="000000" w:themeColor="text1"/>
          <w:kern w:val="0"/>
          <w:sz w:val="32"/>
          <w:szCs w:val="32"/>
          <w:lang w:bidi="ar"/>
          <w14:textFill>
            <w14:solidFill>
              <w14:schemeClr w14:val="tx1"/>
            </w14:solidFill>
          </w14:textFill>
        </w:rPr>
        <w:t>五、专项资金管理流程</w:t>
      </w:r>
      <w:bookmarkEnd w:id="8"/>
    </w:p>
    <w:p>
      <w:pPr>
        <w:ind w:firstLine="560" w:firstLineChars="200"/>
        <w:rPr>
          <w:rFonts w:ascii="仿宋" w:hAnsi="仿宋" w:eastAsia="仿宋" w:cs="仿宋"/>
          <w:color w:val="000000" w:themeColor="text1"/>
          <w:kern w:val="0"/>
          <w:szCs w:val="28"/>
          <w:lang w:bidi="ar"/>
          <w14:textFill>
            <w14:solidFill>
              <w14:schemeClr w14:val="tx1"/>
            </w14:solidFill>
          </w14:textFill>
        </w:rPr>
      </w:pPr>
      <w:r>
        <w:rPr>
          <w:rFonts w:hint="eastAsia" w:ascii="仿宋" w:hAnsi="仿宋" w:eastAsia="仿宋" w:cs="仿宋"/>
          <w:color w:val="000000" w:themeColor="text1"/>
          <w:kern w:val="0"/>
          <w:szCs w:val="28"/>
          <w:lang w:bidi="ar"/>
          <w14:textFill>
            <w14:solidFill>
              <w14:schemeClr w14:val="tx1"/>
            </w14:solidFill>
          </w14:textFill>
        </w:rPr>
        <w:t>根据《惠安县旅游发展专项资金管理办法》（惠文旅〔</w:t>
      </w:r>
      <w:r>
        <w:rPr>
          <w:rFonts w:ascii="Times New Roman" w:hAnsi="Times New Roman" w:eastAsia="仿宋" w:cs="Times New Roman"/>
          <w:color w:val="000000" w:themeColor="text1"/>
          <w:kern w:val="0"/>
          <w:szCs w:val="28"/>
          <w:lang w:bidi="ar"/>
          <w14:textFill>
            <w14:solidFill>
              <w14:schemeClr w14:val="tx1"/>
            </w14:solidFill>
          </w14:textFill>
        </w:rPr>
        <w:t>2023</w:t>
      </w:r>
      <w:r>
        <w:rPr>
          <w:rFonts w:hint="eastAsia" w:ascii="仿宋" w:hAnsi="仿宋" w:eastAsia="仿宋" w:cs="仿宋"/>
          <w:color w:val="000000" w:themeColor="text1"/>
          <w:kern w:val="0"/>
          <w:szCs w:val="28"/>
          <w:lang w:bidi="ar"/>
          <w14:textFill>
            <w14:solidFill>
              <w14:schemeClr w14:val="tx1"/>
            </w14:solidFill>
          </w14:textFill>
        </w:rPr>
        <w:t>〕</w:t>
      </w:r>
      <w:r>
        <w:rPr>
          <w:rFonts w:ascii="Times New Roman" w:hAnsi="Times New Roman" w:eastAsia="仿宋" w:cs="Times New Roman"/>
          <w:color w:val="000000" w:themeColor="text1"/>
          <w:kern w:val="0"/>
          <w:szCs w:val="28"/>
          <w:lang w:bidi="ar"/>
          <w14:textFill>
            <w14:solidFill>
              <w14:schemeClr w14:val="tx1"/>
            </w14:solidFill>
          </w14:textFill>
        </w:rPr>
        <w:t>60</w:t>
      </w:r>
      <w:r>
        <w:rPr>
          <w:rFonts w:hint="eastAsia" w:ascii="仿宋" w:hAnsi="仿宋" w:eastAsia="仿宋" w:cs="仿宋"/>
          <w:color w:val="000000" w:themeColor="text1"/>
          <w:kern w:val="0"/>
          <w:szCs w:val="28"/>
          <w:lang w:bidi="ar"/>
          <w14:textFill>
            <w14:solidFill>
              <w14:schemeClr w14:val="tx1"/>
            </w14:solidFill>
          </w14:textFill>
        </w:rPr>
        <w:t>号）文件，惠安县旅游发展专项资金是指县级财政一般公共预算安排的用于促进旅游业高质量发展的专项资金。专项资金使用遵循以下基本原则:</w:t>
      </w:r>
    </w:p>
    <w:p>
      <w:pPr>
        <w:ind w:firstLine="560" w:firstLineChars="200"/>
        <w:rPr>
          <w:rFonts w:ascii="Times New Roman" w:hAnsi="Times New Roman" w:eastAsia="仿宋" w:cs="Times New Roman"/>
          <w:color w:val="000000" w:themeColor="text1"/>
          <w:kern w:val="0"/>
          <w:szCs w:val="28"/>
          <w:lang w:bidi="ar"/>
          <w14:textFill>
            <w14:solidFill>
              <w14:schemeClr w14:val="tx1"/>
            </w14:solidFill>
          </w14:textFill>
        </w:rPr>
      </w:pPr>
      <w:r>
        <w:rPr>
          <w:rFonts w:ascii="Times New Roman" w:hAnsi="Times New Roman" w:eastAsia="仿宋" w:cs="Times New Roman"/>
          <w:color w:val="000000" w:themeColor="text1"/>
          <w:kern w:val="0"/>
          <w:szCs w:val="28"/>
          <w:lang w:bidi="ar"/>
          <w14:textFill>
            <w14:solidFill>
              <w14:schemeClr w14:val="tx1"/>
            </w14:solidFill>
          </w14:textFill>
        </w:rPr>
        <w:t>（一）统筹安排，相对集中，突出重点。</w:t>
      </w:r>
    </w:p>
    <w:p>
      <w:pPr>
        <w:ind w:firstLine="560" w:firstLineChars="200"/>
        <w:rPr>
          <w:rFonts w:ascii="Times New Roman" w:hAnsi="Times New Roman" w:eastAsia="仿宋" w:cs="Times New Roman"/>
          <w:color w:val="000000" w:themeColor="text1"/>
          <w:kern w:val="0"/>
          <w:szCs w:val="28"/>
          <w:lang w:bidi="ar"/>
          <w14:textFill>
            <w14:solidFill>
              <w14:schemeClr w14:val="tx1"/>
            </w14:solidFill>
          </w14:textFill>
        </w:rPr>
      </w:pPr>
      <w:r>
        <w:rPr>
          <w:rFonts w:ascii="Times New Roman" w:hAnsi="Times New Roman" w:eastAsia="仿宋" w:cs="Times New Roman"/>
          <w:color w:val="000000" w:themeColor="text1"/>
          <w:kern w:val="0"/>
          <w:szCs w:val="28"/>
          <w:lang w:bidi="ar"/>
          <w14:textFill>
            <w14:solidFill>
              <w14:schemeClr w14:val="tx1"/>
            </w14:solidFill>
          </w14:textFill>
        </w:rPr>
        <w:t>（二）遵循惠安县旅游经济发展方针和产业政策。</w:t>
      </w:r>
    </w:p>
    <w:p>
      <w:pPr>
        <w:ind w:firstLine="560" w:firstLineChars="200"/>
        <w:rPr>
          <w:rFonts w:ascii="Times New Roman" w:hAnsi="Times New Roman" w:eastAsia="仿宋" w:cs="Times New Roman"/>
          <w:color w:val="000000" w:themeColor="text1"/>
          <w:kern w:val="0"/>
          <w:szCs w:val="28"/>
          <w:lang w:bidi="ar"/>
          <w14:textFill>
            <w14:solidFill>
              <w14:schemeClr w14:val="tx1"/>
            </w14:solidFill>
          </w14:textFill>
        </w:rPr>
      </w:pPr>
      <w:r>
        <w:rPr>
          <w:rFonts w:ascii="Times New Roman" w:hAnsi="Times New Roman" w:eastAsia="仿宋" w:cs="Times New Roman"/>
          <w:color w:val="000000" w:themeColor="text1"/>
          <w:kern w:val="0"/>
          <w:szCs w:val="28"/>
          <w:lang w:bidi="ar"/>
          <w14:textFill>
            <w14:solidFill>
              <w14:schemeClr w14:val="tx1"/>
            </w14:solidFill>
          </w14:textFill>
        </w:rPr>
        <w:t>（三）有利于提高惠安县旅游知名度和美誉度，有利于促进惠安县旅游业高质量发展，有利于促进文旅融合发展。</w:t>
      </w:r>
    </w:p>
    <w:p>
      <w:pPr>
        <w:ind w:firstLine="560" w:firstLineChars="200"/>
        <w:rPr>
          <w:rFonts w:ascii="Times New Roman" w:hAnsi="Times New Roman" w:eastAsia="仿宋" w:cs="Times New Roman"/>
          <w:color w:val="000000" w:themeColor="text1"/>
          <w:kern w:val="0"/>
          <w:szCs w:val="28"/>
          <w:lang w:bidi="ar"/>
          <w14:textFill>
            <w14:solidFill>
              <w14:schemeClr w14:val="tx1"/>
            </w14:solidFill>
          </w14:textFill>
        </w:rPr>
      </w:pPr>
      <w:r>
        <w:rPr>
          <w:rFonts w:ascii="Times New Roman" w:hAnsi="Times New Roman" w:eastAsia="仿宋" w:cs="Times New Roman"/>
          <w:color w:val="000000" w:themeColor="text1"/>
          <w:kern w:val="0"/>
          <w:szCs w:val="28"/>
          <w:lang w:bidi="ar"/>
          <w14:textFill>
            <w14:solidFill>
              <w14:schemeClr w14:val="tx1"/>
            </w14:solidFill>
          </w14:textFill>
        </w:rPr>
        <w:t>（四）发挥财政资金的引导作用，鼓励社会各界、民间资本参与惠安县旅游产业的建设和提升，促进旅游业投资向多元化、社会化和资本化方向发展。</w:t>
      </w:r>
    </w:p>
    <w:p>
      <w:pPr>
        <w:ind w:firstLine="560" w:firstLineChars="200"/>
        <w:rPr>
          <w:rFonts w:ascii="Times New Roman" w:hAnsi="Times New Roman" w:eastAsia="仿宋" w:cs="Times New Roman"/>
          <w:color w:val="000000" w:themeColor="text1"/>
          <w:kern w:val="0"/>
          <w:szCs w:val="28"/>
          <w:lang w:bidi="ar"/>
          <w14:textFill>
            <w14:solidFill>
              <w14:schemeClr w14:val="tx1"/>
            </w14:solidFill>
          </w14:textFill>
        </w:rPr>
      </w:pPr>
      <w:r>
        <w:rPr>
          <w:rFonts w:ascii="Times New Roman" w:hAnsi="Times New Roman" w:eastAsia="仿宋" w:cs="Times New Roman"/>
          <w:color w:val="000000" w:themeColor="text1"/>
          <w:kern w:val="0"/>
          <w:szCs w:val="28"/>
          <w:lang w:bidi="ar"/>
          <w14:textFill>
            <w14:solidFill>
              <w14:schemeClr w14:val="tx1"/>
            </w14:solidFill>
          </w14:textFill>
        </w:rPr>
        <w:t>专项资金主要用于旅游政策性奖补、文旅宣传促销、旅游行业管理、公共服务体系建设、旅游招商和其他旅游业务。专项资金由县文旅局会同县财政局共同管理，县财政局负责专项资金的预算安排、资金分配方案审核、绩效管理、监督检查。县文旅局负责专项资金的预算编制、项目申报、项目审核、项目公示、提出资金分配方案，实施绩效评价和管理监督。</w:t>
      </w:r>
    </w:p>
    <w:p>
      <w:pPr>
        <w:ind w:firstLine="560" w:firstLineChars="200"/>
        <w:rPr>
          <w:rFonts w:ascii="Times New Roman" w:hAnsi="Times New Roman" w:eastAsia="仿宋" w:cs="Times New Roman"/>
          <w:color w:val="000000" w:themeColor="text1"/>
          <w:kern w:val="0"/>
          <w:szCs w:val="28"/>
          <w:lang w:bidi="ar"/>
          <w14:textFill>
            <w14:solidFill>
              <w14:schemeClr w14:val="tx1"/>
            </w14:solidFill>
          </w14:textFill>
        </w:rPr>
      </w:pPr>
      <w:r>
        <w:rPr>
          <w:rFonts w:ascii="Times New Roman" w:hAnsi="Times New Roman" w:eastAsia="仿宋" w:cs="Times New Roman"/>
          <w:color w:val="000000" w:themeColor="text1"/>
          <w:kern w:val="0"/>
          <w:szCs w:val="28"/>
          <w:lang w:bidi="ar"/>
          <w14:textFill>
            <w14:solidFill>
              <w14:schemeClr w14:val="tx1"/>
            </w14:solidFill>
          </w14:textFill>
        </w:rPr>
        <w:br w:type="page"/>
      </w:r>
    </w:p>
    <w:p>
      <w:pPr>
        <w:rPr>
          <w:rFonts w:ascii="Times New Roman" w:hAnsi="Times New Roman" w:eastAsia="仿宋" w:cs="Times New Roman"/>
          <w:color w:val="000000" w:themeColor="text1"/>
          <w14:textFill>
            <w14:solidFill>
              <w14:schemeClr w14:val="tx1"/>
            </w14:solidFill>
          </w14:textFill>
        </w:rPr>
      </w:pPr>
    </w:p>
    <w:p>
      <w:pPr>
        <w:ind w:firstLine="723" w:firstLineChars="200"/>
        <w:jc w:val="center"/>
        <w:outlineLvl w:val="0"/>
        <w:rPr>
          <w:rFonts w:ascii="Times New Roman" w:hAnsi="Times New Roman" w:eastAsia="仿宋" w:cs="Times New Roman"/>
          <w:b/>
          <w:color w:val="000000" w:themeColor="text1"/>
          <w:sz w:val="36"/>
          <w:szCs w:val="36"/>
          <w14:textFill>
            <w14:solidFill>
              <w14:schemeClr w14:val="tx1"/>
            </w14:solidFill>
          </w14:textFill>
        </w:rPr>
      </w:pPr>
      <w:bookmarkStart w:id="9" w:name="_Toc9187"/>
      <w:r>
        <w:rPr>
          <w:rFonts w:ascii="Times New Roman" w:hAnsi="Times New Roman" w:eastAsia="仿宋" w:cs="Times New Roman"/>
          <w:b/>
          <w:color w:val="000000" w:themeColor="text1"/>
          <w:sz w:val="36"/>
          <w:szCs w:val="36"/>
          <w14:textFill>
            <w14:solidFill>
              <w14:schemeClr w14:val="tx1"/>
            </w14:solidFill>
          </w14:textFill>
        </w:rPr>
        <w:t>第二部分 绩效评价工作开展情况</w:t>
      </w:r>
      <w:bookmarkEnd w:id="0"/>
      <w:bookmarkEnd w:id="1"/>
      <w:bookmarkEnd w:id="9"/>
      <w:bookmarkStart w:id="10" w:name="_Toc126353940"/>
      <w:bookmarkStart w:id="11" w:name="_Toc1925960322"/>
    </w:p>
    <w:p>
      <w:pPr>
        <w:rPr>
          <w:rFonts w:ascii="Times New Roman" w:hAnsi="Times New Roman" w:eastAsia="仿宋" w:cs="Times New Roman"/>
          <w:color w:val="000000" w:themeColor="text1"/>
          <w:lang w:bidi="ar"/>
          <w14:textFill>
            <w14:solidFill>
              <w14:schemeClr w14:val="tx1"/>
            </w14:solidFill>
          </w14:textFill>
        </w:rPr>
      </w:pPr>
    </w:p>
    <w:p>
      <w:pPr>
        <w:spacing w:before="190" w:beforeLines="50" w:after="190" w:afterLines="50"/>
        <w:ind w:firstLine="643" w:firstLineChars="200"/>
        <w:outlineLvl w:val="1"/>
        <w:rPr>
          <w:rFonts w:ascii="Times New Roman" w:hAnsi="Times New Roman" w:eastAsia="仿宋" w:cs="Times New Roman"/>
          <w:b/>
          <w:color w:val="000000" w:themeColor="text1"/>
          <w:sz w:val="32"/>
          <w:szCs w:val="32"/>
          <w14:textFill>
            <w14:solidFill>
              <w14:schemeClr w14:val="tx1"/>
            </w14:solidFill>
          </w14:textFill>
        </w:rPr>
      </w:pPr>
      <w:bookmarkStart w:id="12" w:name="_Toc32168"/>
      <w:r>
        <w:rPr>
          <w:rFonts w:ascii="Times New Roman" w:hAnsi="Times New Roman" w:eastAsia="仿宋" w:cs="Times New Roman"/>
          <w:b/>
          <w:color w:val="000000" w:themeColor="text1"/>
          <w:sz w:val="32"/>
          <w:szCs w:val="32"/>
          <w14:textFill>
            <w14:solidFill>
              <w14:schemeClr w14:val="tx1"/>
            </w14:solidFill>
          </w14:textFill>
        </w:rPr>
        <w:t>一、评价工作组介绍</w:t>
      </w:r>
      <w:bookmarkEnd w:id="10"/>
      <w:bookmarkEnd w:id="11"/>
      <w:bookmarkEnd w:id="12"/>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惠安县</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2022</w:t>
      </w:r>
      <w:r>
        <w:rPr>
          <w:rFonts w:hint="eastAsia" w:ascii="仿宋" w:hAnsi="仿宋" w:eastAsia="仿宋" w:cs="仿宋"/>
          <w:color w:val="000000" w:themeColor="text1"/>
          <w:szCs w:val="28"/>
          <w14:textFill>
            <w14:solidFill>
              <w14:schemeClr w14:val="tx1"/>
            </w14:solidFill>
          </w14:textFill>
        </w:rPr>
        <w:t>年度旅游发展专项资金的项目绩效评价工作组包括福州市韦兰信息科技有限公司评价人员。本次部门评价工作组通过组织实施部门绩效评价工作，拟定评价方案、及时收集、汇总和分析资料，最终形成有效的评价组织架构。</w:t>
      </w:r>
    </w:p>
    <w:p>
      <w:pPr>
        <w:spacing w:before="190" w:beforeLines="50" w:after="190" w:afterLines="50"/>
        <w:ind w:firstLine="643" w:firstLineChars="200"/>
        <w:outlineLvl w:val="1"/>
        <w:rPr>
          <w:rFonts w:ascii="Times New Roman" w:hAnsi="Times New Roman" w:eastAsia="仿宋" w:cs="Times New Roman"/>
          <w:b/>
          <w:color w:val="000000" w:themeColor="text1"/>
          <w:sz w:val="32"/>
          <w:szCs w:val="32"/>
          <w14:textFill>
            <w14:solidFill>
              <w14:schemeClr w14:val="tx1"/>
            </w14:solidFill>
          </w14:textFill>
        </w:rPr>
      </w:pPr>
      <w:bookmarkStart w:id="13" w:name="_Toc702933774"/>
      <w:bookmarkStart w:id="14" w:name="_Toc126353941"/>
      <w:bookmarkStart w:id="15" w:name="_Toc30107"/>
      <w:r>
        <w:rPr>
          <w:rFonts w:ascii="Times New Roman" w:hAnsi="Times New Roman" w:eastAsia="仿宋" w:cs="Times New Roman"/>
          <w:b/>
          <w:color w:val="000000" w:themeColor="text1"/>
          <w:sz w:val="32"/>
          <w:szCs w:val="32"/>
          <w14:textFill>
            <w14:solidFill>
              <w14:schemeClr w14:val="tx1"/>
            </w14:solidFill>
          </w14:textFill>
        </w:rPr>
        <w:t>二、评价目的</w:t>
      </w:r>
      <w:bookmarkEnd w:id="13"/>
      <w:bookmarkEnd w:id="14"/>
      <w:bookmarkEnd w:id="15"/>
    </w:p>
    <w:p>
      <w:pPr>
        <w:ind w:firstLine="560" w:firstLineChars="200"/>
        <w:rPr>
          <w:rFonts w:ascii="Times New Roman" w:hAnsi="Times New Roman" w:eastAsia="仿宋" w:cs="Times New Roman"/>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全面评价惠安县旅游发展项目的资金使用和管理情况、绩效目标完成情况，并从项目资金使用合规性及成本控制有效性入手，分析项目效益水平，强化预算绩效责任，提高财政资金配置和使用效益。同时，通过运用科学、合理的绩效评价指标、评价标准和评价方法，发现项目实施过程中存在的问题并提出建议。结合评价情况，进一步促进项目规范运营，提高项目运行管理水平。本次绩效评价的目的是：</w:t>
      </w:r>
    </w:p>
    <w:p>
      <w:pPr>
        <w:ind w:firstLine="562" w:firstLineChars="200"/>
        <w:outlineLvl w:val="2"/>
        <w:rPr>
          <w:rFonts w:ascii="Times New Roman" w:hAnsi="Times New Roman" w:eastAsia="仿宋" w:cs="Times New Roman"/>
          <w:b/>
          <w:bCs/>
          <w:color w:val="000000" w:themeColor="text1"/>
          <w:szCs w:val="28"/>
          <w14:textFill>
            <w14:solidFill>
              <w14:schemeClr w14:val="tx1"/>
            </w14:solidFill>
          </w14:textFill>
        </w:rPr>
      </w:pPr>
      <w:bookmarkStart w:id="16" w:name="_Toc14895"/>
      <w:bookmarkStart w:id="17" w:name="_Toc1038691344"/>
      <w:bookmarkStart w:id="18" w:name="_Toc126353942"/>
      <w:r>
        <w:rPr>
          <w:rFonts w:ascii="Times New Roman" w:hAnsi="Times New Roman" w:eastAsia="仿宋" w:cs="Times New Roman"/>
          <w:b/>
          <w:bCs/>
          <w:color w:val="000000" w:themeColor="text1"/>
          <w:szCs w:val="28"/>
          <w14:textFill>
            <w14:solidFill>
              <w14:schemeClr w14:val="tx1"/>
            </w14:solidFill>
          </w14:textFill>
        </w:rPr>
        <w:t>（一）评价专项资金管理的规范性和合理性</w:t>
      </w:r>
      <w:bookmarkEnd w:id="16"/>
      <w:bookmarkEnd w:id="17"/>
      <w:bookmarkEnd w:id="18"/>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通过评估资金分配办法、标准的合理性、资金安排与目标任务的匹配度及资金下拨、实施进度的及时性等，发现资金分配、使用、管理等方面存在的问题。</w:t>
      </w:r>
    </w:p>
    <w:p>
      <w:pPr>
        <w:ind w:firstLine="562" w:firstLineChars="200"/>
        <w:outlineLvl w:val="2"/>
        <w:rPr>
          <w:rFonts w:ascii="仿宋" w:hAnsi="仿宋" w:eastAsia="仿宋" w:cs="仿宋"/>
          <w:b/>
          <w:bCs/>
          <w:color w:val="000000" w:themeColor="text1"/>
          <w:szCs w:val="28"/>
          <w14:textFill>
            <w14:solidFill>
              <w14:schemeClr w14:val="tx1"/>
            </w14:solidFill>
          </w14:textFill>
        </w:rPr>
      </w:pPr>
      <w:bookmarkStart w:id="19" w:name="_Toc1244625645"/>
      <w:bookmarkStart w:id="20" w:name="_Toc29342"/>
      <w:bookmarkStart w:id="21" w:name="_Toc126353943"/>
      <w:r>
        <w:rPr>
          <w:rFonts w:hint="eastAsia" w:ascii="仿宋" w:hAnsi="仿宋" w:eastAsia="仿宋" w:cs="仿宋"/>
          <w:b/>
          <w:bCs/>
          <w:color w:val="000000" w:themeColor="text1"/>
          <w:szCs w:val="28"/>
          <w14:textFill>
            <w14:solidFill>
              <w14:schemeClr w14:val="tx1"/>
            </w14:solidFill>
          </w14:textFill>
        </w:rPr>
        <w:t>（二）评价专项资金的产出和效果</w:t>
      </w:r>
      <w:bookmarkEnd w:id="19"/>
      <w:bookmarkEnd w:id="20"/>
      <w:bookmarkEnd w:id="21"/>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评价专项资金的产出和效益目标的实现情况，为完善预算绩效管理提供参考依据。</w:t>
      </w:r>
    </w:p>
    <w:p>
      <w:pPr>
        <w:ind w:firstLine="562" w:firstLineChars="200"/>
        <w:outlineLvl w:val="2"/>
        <w:rPr>
          <w:rFonts w:ascii="仿宋" w:hAnsi="仿宋" w:eastAsia="仿宋" w:cs="仿宋"/>
          <w:b/>
          <w:bCs/>
          <w:color w:val="000000" w:themeColor="text1"/>
          <w:szCs w:val="28"/>
          <w14:textFill>
            <w14:solidFill>
              <w14:schemeClr w14:val="tx1"/>
            </w14:solidFill>
          </w14:textFill>
        </w:rPr>
      </w:pPr>
      <w:bookmarkStart w:id="22" w:name="_Toc126353944"/>
      <w:bookmarkStart w:id="23" w:name="_Toc452575074"/>
      <w:bookmarkStart w:id="24" w:name="_Toc21631"/>
      <w:r>
        <w:rPr>
          <w:rFonts w:hint="eastAsia" w:ascii="仿宋" w:hAnsi="仿宋" w:eastAsia="仿宋" w:cs="仿宋"/>
          <w:b/>
          <w:bCs/>
          <w:color w:val="000000" w:themeColor="text1"/>
          <w:szCs w:val="28"/>
          <w14:textFill>
            <w14:solidFill>
              <w14:schemeClr w14:val="tx1"/>
            </w14:solidFill>
          </w14:textFill>
        </w:rPr>
        <w:t>（三）</w:t>
      </w:r>
      <w:bookmarkEnd w:id="22"/>
      <w:bookmarkEnd w:id="23"/>
      <w:r>
        <w:rPr>
          <w:rFonts w:hint="eastAsia" w:ascii="仿宋" w:hAnsi="仿宋" w:eastAsia="仿宋" w:cs="仿宋"/>
          <w:b/>
          <w:bCs/>
          <w:color w:val="000000" w:themeColor="text1"/>
          <w:szCs w:val="28"/>
          <w14:textFill>
            <w14:solidFill>
              <w14:schemeClr w14:val="tx1"/>
            </w14:solidFill>
          </w14:textFill>
        </w:rPr>
        <w:t>促进旅游业改革发展，推动全域化文旅建设</w:t>
      </w:r>
      <w:bookmarkEnd w:id="24"/>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通过绩效评价，针对绩效管理过程中存在的问题和薄弱环节，提出专项管理的优化方案。发挥专项资金作用，进一步促进惠安旅游业改革发展，推动景城一体、景村一体、宜居宜游的全域化文旅经济强县建设，努力形成“机制活、产业优、百姓富、生态美”的良好局面。</w:t>
      </w:r>
    </w:p>
    <w:p>
      <w:pPr>
        <w:spacing w:before="190" w:beforeLines="50" w:after="190" w:afterLines="50"/>
        <w:ind w:firstLine="643" w:firstLineChars="200"/>
        <w:outlineLvl w:val="1"/>
        <w:rPr>
          <w:rFonts w:ascii="Times New Roman" w:hAnsi="Times New Roman" w:eastAsia="仿宋" w:cs="Times New Roman"/>
          <w:b/>
          <w:color w:val="000000" w:themeColor="text1"/>
          <w:sz w:val="32"/>
          <w:szCs w:val="32"/>
          <w14:textFill>
            <w14:solidFill>
              <w14:schemeClr w14:val="tx1"/>
            </w14:solidFill>
          </w14:textFill>
        </w:rPr>
      </w:pPr>
      <w:bookmarkStart w:id="25" w:name="_Toc126353945"/>
      <w:bookmarkStart w:id="26" w:name="_Toc29764"/>
      <w:bookmarkStart w:id="27" w:name="_Toc1943839548"/>
      <w:r>
        <w:rPr>
          <w:rFonts w:ascii="Times New Roman" w:hAnsi="Times New Roman" w:eastAsia="仿宋" w:cs="Times New Roman"/>
          <w:b/>
          <w:color w:val="000000" w:themeColor="text1"/>
          <w:sz w:val="32"/>
          <w:szCs w:val="32"/>
          <w14:textFill>
            <w14:solidFill>
              <w14:schemeClr w14:val="tx1"/>
            </w14:solidFill>
          </w14:textFill>
        </w:rPr>
        <w:t>三、评价对象</w:t>
      </w:r>
      <w:bookmarkEnd w:id="25"/>
      <w:bookmarkEnd w:id="26"/>
      <w:bookmarkEnd w:id="27"/>
    </w:p>
    <w:p>
      <w:pPr>
        <w:ind w:firstLine="560" w:firstLineChars="200"/>
        <w:rPr>
          <w:rFonts w:ascii="Times New Roman" w:hAnsi="Times New Roman" w:eastAsia="仿宋" w:cs="Times New Roman"/>
          <w:color w:val="000000" w:themeColor="text1"/>
          <w:szCs w:val="28"/>
          <w14:textFill>
            <w14:solidFill>
              <w14:schemeClr w14:val="tx1"/>
            </w14:solidFill>
          </w14:textFill>
        </w:rPr>
      </w:pPr>
      <w:bookmarkStart w:id="28" w:name="_Toc1547353198"/>
      <w:r>
        <w:rPr>
          <w:rFonts w:ascii="Times New Roman" w:hAnsi="Times New Roman" w:eastAsia="仿宋" w:cs="Times New Roman"/>
          <w:color w:val="000000" w:themeColor="text1"/>
          <w:szCs w:val="28"/>
          <w14:textFill>
            <w14:solidFill>
              <w14:schemeClr w14:val="tx1"/>
            </w14:solidFill>
          </w14:textFill>
        </w:rPr>
        <w:t>本次绩效评价对象为惠安县2021</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2022年度旅游发展专项资金。</w:t>
      </w:r>
    </w:p>
    <w:p>
      <w:pPr>
        <w:spacing w:before="190" w:beforeLines="50" w:after="190" w:afterLines="50"/>
        <w:ind w:firstLine="643" w:firstLineChars="200"/>
        <w:outlineLvl w:val="1"/>
        <w:rPr>
          <w:rFonts w:ascii="Times New Roman" w:hAnsi="Times New Roman" w:eastAsia="仿宋" w:cs="Times New Roman"/>
          <w:b/>
          <w:color w:val="000000" w:themeColor="text1"/>
          <w:sz w:val="32"/>
          <w:szCs w:val="32"/>
          <w14:textFill>
            <w14:solidFill>
              <w14:schemeClr w14:val="tx1"/>
            </w14:solidFill>
          </w14:textFill>
        </w:rPr>
      </w:pPr>
      <w:bookmarkStart w:id="29" w:name="_Toc20457"/>
      <w:bookmarkStart w:id="30" w:name="_Toc126353946"/>
      <w:r>
        <w:rPr>
          <w:rFonts w:ascii="Times New Roman" w:hAnsi="Times New Roman" w:eastAsia="仿宋" w:cs="Times New Roman"/>
          <w:b/>
          <w:color w:val="000000" w:themeColor="text1"/>
          <w:sz w:val="32"/>
          <w:szCs w:val="32"/>
          <w14:textFill>
            <w14:solidFill>
              <w14:schemeClr w14:val="tx1"/>
            </w14:solidFill>
          </w14:textFill>
        </w:rPr>
        <w:t>四、评价范围</w:t>
      </w:r>
      <w:bookmarkEnd w:id="28"/>
      <w:bookmarkEnd w:id="29"/>
      <w:bookmarkEnd w:id="30"/>
    </w:p>
    <w:p>
      <w:pPr>
        <w:ind w:firstLine="560" w:firstLineChars="200"/>
        <w:rPr>
          <w:rFonts w:ascii="Times New Roman" w:hAnsi="Times New Roman" w:eastAsia="仿宋" w:cs="Times New Roman"/>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评价的范围主要包括专项资金的决策情况、资金管理和使用情况、相关管理制度办法的健全性及执行情况、实现的产出情况和取得的效益情况等。</w:t>
      </w:r>
    </w:p>
    <w:p>
      <w:pPr>
        <w:spacing w:before="190" w:beforeLines="50" w:after="190" w:afterLines="50"/>
        <w:ind w:firstLine="643" w:firstLineChars="200"/>
        <w:outlineLvl w:val="1"/>
        <w:rPr>
          <w:rFonts w:ascii="Times New Roman" w:hAnsi="Times New Roman" w:eastAsia="仿宋" w:cs="Times New Roman"/>
          <w:b/>
          <w:color w:val="000000" w:themeColor="text1"/>
          <w:sz w:val="32"/>
          <w:szCs w:val="32"/>
          <w14:textFill>
            <w14:solidFill>
              <w14:schemeClr w14:val="tx1"/>
            </w14:solidFill>
          </w14:textFill>
        </w:rPr>
      </w:pPr>
      <w:bookmarkStart w:id="31" w:name="_Toc126353947"/>
      <w:bookmarkStart w:id="32" w:name="_Toc10890"/>
      <w:bookmarkStart w:id="33" w:name="_Toc406472542"/>
      <w:r>
        <w:rPr>
          <w:rFonts w:ascii="Times New Roman" w:hAnsi="Times New Roman" w:eastAsia="仿宋" w:cs="Times New Roman"/>
          <w:b/>
          <w:color w:val="000000" w:themeColor="text1"/>
          <w:sz w:val="32"/>
          <w:szCs w:val="32"/>
          <w14:textFill>
            <w14:solidFill>
              <w14:schemeClr w14:val="tx1"/>
            </w14:solidFill>
          </w14:textFill>
        </w:rPr>
        <w:t>五、评价原则</w:t>
      </w:r>
      <w:bookmarkEnd w:id="31"/>
      <w:bookmarkEnd w:id="32"/>
      <w:bookmarkEnd w:id="33"/>
    </w:p>
    <w:p>
      <w:pPr>
        <w:ind w:firstLine="562" w:firstLineChars="200"/>
        <w:outlineLvl w:val="2"/>
        <w:rPr>
          <w:rFonts w:ascii="仿宋" w:hAnsi="仿宋" w:eastAsia="仿宋" w:cs="仿宋"/>
          <w:b/>
          <w:bCs/>
          <w:color w:val="000000" w:themeColor="text1"/>
          <w:szCs w:val="28"/>
          <w14:textFill>
            <w14:solidFill>
              <w14:schemeClr w14:val="tx1"/>
            </w14:solidFill>
          </w14:textFill>
        </w:rPr>
      </w:pPr>
      <w:bookmarkStart w:id="34" w:name="_Toc126353948"/>
      <w:bookmarkStart w:id="35" w:name="_Toc13987"/>
      <w:r>
        <w:rPr>
          <w:rFonts w:hint="eastAsia" w:ascii="仿宋" w:hAnsi="仿宋" w:eastAsia="仿宋" w:cs="仿宋"/>
          <w:b/>
          <w:bCs/>
          <w:color w:val="000000" w:themeColor="text1"/>
          <w:szCs w:val="28"/>
          <w14:textFill>
            <w14:solidFill>
              <w14:schemeClr w14:val="tx1"/>
            </w14:solidFill>
          </w14:textFill>
        </w:rPr>
        <w:t>（一）服务大局原则</w:t>
      </w:r>
      <w:bookmarkEnd w:id="34"/>
      <w:bookmarkEnd w:id="35"/>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项目的绩效评价工作应坚持党中央、国务院、福建省关于深化预算管理体制的有关精神和通知文件。</w:t>
      </w:r>
    </w:p>
    <w:p>
      <w:pPr>
        <w:ind w:firstLine="562" w:firstLineChars="200"/>
        <w:outlineLvl w:val="2"/>
        <w:rPr>
          <w:rFonts w:ascii="仿宋" w:hAnsi="仿宋" w:eastAsia="仿宋" w:cs="仿宋"/>
          <w:b/>
          <w:bCs/>
          <w:color w:val="000000" w:themeColor="text1"/>
          <w:szCs w:val="28"/>
          <w14:textFill>
            <w14:solidFill>
              <w14:schemeClr w14:val="tx1"/>
            </w14:solidFill>
          </w14:textFill>
        </w:rPr>
      </w:pPr>
      <w:bookmarkStart w:id="36" w:name="_Toc126353949"/>
      <w:bookmarkStart w:id="37" w:name="_Toc20565"/>
      <w:r>
        <w:rPr>
          <w:rFonts w:hint="eastAsia" w:ascii="仿宋" w:hAnsi="仿宋" w:eastAsia="仿宋" w:cs="仿宋"/>
          <w:b/>
          <w:bCs/>
          <w:color w:val="000000" w:themeColor="text1"/>
          <w:szCs w:val="28"/>
          <w14:textFill>
            <w14:solidFill>
              <w14:schemeClr w14:val="tx1"/>
            </w14:solidFill>
          </w14:textFill>
        </w:rPr>
        <w:t>（二）科学规范原则</w:t>
      </w:r>
      <w:bookmarkEnd w:id="36"/>
      <w:bookmarkEnd w:id="37"/>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绩效评价应当运用科学合理的方法，根据《财政部关于印发&lt;项目支出绩效评价管理办法&gt;》（财预〔</w:t>
      </w:r>
      <w:r>
        <w:rPr>
          <w:rFonts w:ascii="Times New Roman" w:hAnsi="Times New Roman" w:eastAsia="仿宋" w:cs="Times New Roman"/>
          <w:color w:val="000000" w:themeColor="text1"/>
          <w:szCs w:val="28"/>
          <w14:textFill>
            <w14:solidFill>
              <w14:schemeClr w14:val="tx1"/>
            </w14:solidFill>
          </w14:textFill>
        </w:rPr>
        <w:t>2020</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10</w:t>
      </w:r>
      <w:r>
        <w:rPr>
          <w:rFonts w:hint="eastAsia" w:ascii="仿宋" w:hAnsi="仿宋" w:eastAsia="仿宋" w:cs="仿宋"/>
          <w:color w:val="000000" w:themeColor="text1"/>
          <w:szCs w:val="28"/>
          <w14:textFill>
            <w14:solidFill>
              <w14:schemeClr w14:val="tx1"/>
            </w14:solidFill>
          </w14:textFill>
        </w:rPr>
        <w:t>号）等文件的相关要求，按照科学可行的原则和规范的程序，采取定量分析与定性分析相结合的评价方法，对项目绩效进行客观、公正的反映。</w:t>
      </w:r>
    </w:p>
    <w:p>
      <w:pPr>
        <w:ind w:firstLine="562" w:firstLineChars="200"/>
        <w:outlineLvl w:val="2"/>
        <w:rPr>
          <w:rFonts w:ascii="Times New Roman" w:hAnsi="Times New Roman" w:eastAsia="仿宋" w:cs="Times New Roman"/>
          <w:b/>
          <w:bCs/>
          <w:color w:val="000000" w:themeColor="text1"/>
          <w:szCs w:val="28"/>
          <w14:textFill>
            <w14:solidFill>
              <w14:schemeClr w14:val="tx1"/>
            </w14:solidFill>
          </w14:textFill>
        </w:rPr>
      </w:pPr>
      <w:bookmarkStart w:id="38" w:name="_Toc21369"/>
      <w:bookmarkStart w:id="39" w:name="_Toc126353950"/>
      <w:r>
        <w:rPr>
          <w:rFonts w:ascii="Times New Roman" w:hAnsi="Times New Roman" w:eastAsia="仿宋" w:cs="Times New Roman"/>
          <w:b/>
          <w:bCs/>
          <w:color w:val="000000" w:themeColor="text1"/>
          <w:szCs w:val="28"/>
          <w14:textFill>
            <w14:solidFill>
              <w14:schemeClr w14:val="tx1"/>
            </w14:solidFill>
          </w14:textFill>
        </w:rPr>
        <w:t>（三）公正公开原则</w:t>
      </w:r>
      <w:bookmarkEnd w:id="38"/>
      <w:bookmarkEnd w:id="39"/>
    </w:p>
    <w:p>
      <w:pPr>
        <w:ind w:firstLine="560" w:firstLineChars="200"/>
        <w:rPr>
          <w:rFonts w:ascii="Times New Roman" w:hAnsi="Times New Roman" w:eastAsia="仿宋" w:cs="Times New Roman"/>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项目的绩效评价应符合真实、客观、公正的要求，优先使用最具评价对象代表性、最能反映评价要求的核心指标，评价依法公开并接受监督。</w:t>
      </w:r>
    </w:p>
    <w:p>
      <w:pPr>
        <w:ind w:firstLine="562" w:firstLineChars="200"/>
        <w:outlineLvl w:val="2"/>
        <w:rPr>
          <w:rFonts w:ascii="Times New Roman" w:hAnsi="Times New Roman" w:eastAsia="仿宋" w:cs="Times New Roman"/>
          <w:b/>
          <w:bCs/>
          <w:color w:val="000000" w:themeColor="text1"/>
          <w:szCs w:val="28"/>
          <w14:textFill>
            <w14:solidFill>
              <w14:schemeClr w14:val="tx1"/>
            </w14:solidFill>
          </w14:textFill>
        </w:rPr>
      </w:pPr>
      <w:bookmarkStart w:id="40" w:name="_Toc31442"/>
      <w:bookmarkStart w:id="41" w:name="_Toc126353951"/>
      <w:r>
        <w:rPr>
          <w:rFonts w:ascii="Times New Roman" w:hAnsi="Times New Roman" w:eastAsia="仿宋" w:cs="Times New Roman"/>
          <w:b/>
          <w:bCs/>
          <w:color w:val="000000" w:themeColor="text1"/>
          <w:szCs w:val="28"/>
          <w14:textFill>
            <w14:solidFill>
              <w14:schemeClr w14:val="tx1"/>
            </w14:solidFill>
          </w14:textFill>
        </w:rPr>
        <w:t>（四）问题导向原则</w:t>
      </w:r>
      <w:bookmarkEnd w:id="40"/>
      <w:bookmarkEnd w:id="41"/>
    </w:p>
    <w:p>
      <w:pPr>
        <w:ind w:firstLine="560" w:firstLineChars="200"/>
        <w:rPr>
          <w:rFonts w:ascii="Times New Roman" w:hAnsi="Times New Roman" w:eastAsia="仿宋" w:cs="Times New Roman"/>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项目的绩效评价工作应坚持问题导向，深入挖掘并系统反映项目在预算管理、业务管理、采购管理、绩效管理和财务管理等方面存在的问题，并提出优化管理的建议。</w:t>
      </w:r>
    </w:p>
    <w:p>
      <w:pPr>
        <w:ind w:firstLine="562" w:firstLineChars="200"/>
        <w:outlineLvl w:val="2"/>
        <w:rPr>
          <w:rFonts w:ascii="Times New Roman" w:hAnsi="Times New Roman" w:eastAsia="仿宋" w:cs="Times New Roman"/>
          <w:b/>
          <w:bCs/>
          <w:color w:val="000000" w:themeColor="text1"/>
          <w:szCs w:val="28"/>
          <w14:textFill>
            <w14:solidFill>
              <w14:schemeClr w14:val="tx1"/>
            </w14:solidFill>
          </w14:textFill>
        </w:rPr>
      </w:pPr>
      <w:bookmarkStart w:id="42" w:name="_Toc126353952"/>
      <w:bookmarkStart w:id="43" w:name="_Toc20011"/>
      <w:r>
        <w:rPr>
          <w:rFonts w:ascii="Times New Roman" w:hAnsi="Times New Roman" w:eastAsia="仿宋" w:cs="Times New Roman"/>
          <w:b/>
          <w:bCs/>
          <w:color w:val="000000" w:themeColor="text1"/>
          <w:szCs w:val="28"/>
          <w14:textFill>
            <w14:solidFill>
              <w14:schemeClr w14:val="tx1"/>
            </w14:solidFill>
          </w14:textFill>
        </w:rPr>
        <w:t>（五）绩效相关原则</w:t>
      </w:r>
      <w:bookmarkEnd w:id="42"/>
      <w:bookmarkEnd w:id="43"/>
    </w:p>
    <w:p>
      <w:pPr>
        <w:ind w:firstLine="560" w:firstLineChars="200"/>
        <w:rPr>
          <w:rFonts w:ascii="Times New Roman" w:hAnsi="Times New Roman" w:eastAsia="仿宋" w:cs="Times New Roman"/>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绩效评价主要从项目的决策、过程、产出和效益四个维度展开，评价结果应清晰反映项目的实施效果。</w:t>
      </w:r>
    </w:p>
    <w:p>
      <w:pPr>
        <w:spacing w:before="190" w:beforeLines="50" w:after="190" w:afterLines="50"/>
        <w:ind w:firstLine="643" w:firstLineChars="200"/>
        <w:outlineLvl w:val="1"/>
        <w:rPr>
          <w:rFonts w:ascii="Times New Roman" w:hAnsi="Times New Roman" w:eastAsia="仿宋" w:cs="Times New Roman"/>
          <w:b/>
          <w:color w:val="000000" w:themeColor="text1"/>
          <w:sz w:val="32"/>
          <w:szCs w:val="32"/>
          <w14:textFill>
            <w14:solidFill>
              <w14:schemeClr w14:val="tx1"/>
            </w14:solidFill>
          </w14:textFill>
        </w:rPr>
      </w:pPr>
      <w:bookmarkStart w:id="44" w:name="_Toc2006338783"/>
      <w:bookmarkStart w:id="45" w:name="_Toc9437"/>
      <w:bookmarkStart w:id="46" w:name="_Toc126353953"/>
      <w:r>
        <w:rPr>
          <w:rFonts w:ascii="Times New Roman" w:hAnsi="Times New Roman" w:eastAsia="仿宋" w:cs="Times New Roman"/>
          <w:b/>
          <w:color w:val="000000" w:themeColor="text1"/>
          <w:sz w:val="32"/>
          <w:szCs w:val="32"/>
          <w14:textFill>
            <w14:solidFill>
              <w14:schemeClr w14:val="tx1"/>
            </w14:solidFill>
          </w14:textFill>
        </w:rPr>
        <w:t>六、评价指标体系</w:t>
      </w:r>
      <w:bookmarkEnd w:id="44"/>
      <w:bookmarkEnd w:id="45"/>
      <w:bookmarkEnd w:id="46"/>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本专项资金评价工作组根据资金用途，构建具有专项特征的评价指标体系，全面评价</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2022</w:t>
      </w:r>
      <w:r>
        <w:rPr>
          <w:rFonts w:hint="eastAsia" w:ascii="仿宋" w:hAnsi="仿宋" w:eastAsia="仿宋" w:cs="仿宋"/>
          <w:color w:val="000000" w:themeColor="text1"/>
          <w:szCs w:val="28"/>
          <w14:textFill>
            <w14:solidFill>
              <w14:schemeClr w14:val="tx1"/>
            </w14:solidFill>
          </w14:textFill>
        </w:rPr>
        <w:t>年度旅游发展专项资金支出的绩效。绩效专项评价工作组根据上述指标体系构建原则，参考财政重点绩效评价框架，构建以下绩效评价指标体系框架。详见表</w:t>
      </w:r>
      <w:r>
        <w:rPr>
          <w:rFonts w:ascii="Times New Roman" w:hAnsi="Times New Roman" w:eastAsia="仿宋" w:cs="Times New Roman"/>
          <w:color w:val="000000" w:themeColor="text1"/>
          <w:szCs w:val="28"/>
          <w14:textFill>
            <w14:solidFill>
              <w14:schemeClr w14:val="tx1"/>
            </w14:solidFill>
          </w14:textFill>
        </w:rPr>
        <w:t>1</w:t>
      </w:r>
      <w:r>
        <w:rPr>
          <w:rFonts w:hint="eastAsia" w:ascii="仿宋" w:hAnsi="仿宋" w:eastAsia="仿宋" w:cs="仿宋"/>
          <w:color w:val="000000" w:themeColor="text1"/>
          <w:szCs w:val="28"/>
          <w14:textFill>
            <w14:solidFill>
              <w14:schemeClr w14:val="tx1"/>
            </w14:solidFill>
          </w14:textFill>
        </w:rPr>
        <w:t>。</w:t>
      </w:r>
    </w:p>
    <w:p>
      <w:pPr>
        <w:spacing w:before="381" w:beforeLines="100"/>
        <w:ind w:firstLine="482" w:firstLineChars="200"/>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表</w:t>
      </w:r>
      <w:r>
        <w:rPr>
          <w:rFonts w:ascii="Times New Roman" w:hAnsi="Times New Roman" w:eastAsia="仿宋" w:cs="Times New Roman"/>
          <w:b/>
          <w:bCs/>
          <w:color w:val="000000" w:themeColor="text1"/>
          <w:sz w:val="24"/>
          <w14:textFill>
            <w14:solidFill>
              <w14:schemeClr w14:val="tx1"/>
            </w14:solidFill>
          </w14:textFill>
        </w:rPr>
        <w:t>1</w:t>
      </w:r>
      <w:r>
        <w:rPr>
          <w:rFonts w:hint="eastAsia" w:ascii="仿宋" w:hAnsi="仿宋" w:eastAsia="仿宋" w:cs="仿宋"/>
          <w:b/>
          <w:bCs/>
          <w:color w:val="000000" w:themeColor="text1"/>
          <w:sz w:val="24"/>
          <w14:textFill>
            <w14:solidFill>
              <w14:schemeClr w14:val="tx1"/>
            </w14:solidFill>
          </w14:textFill>
        </w:rPr>
        <w:t xml:space="preserve"> 旅游发展专项资金绩效评价指标体系</w:t>
      </w:r>
    </w:p>
    <w:tbl>
      <w:tblPr>
        <w:tblStyle w:val="15"/>
        <w:tblW w:w="0" w:type="auto"/>
        <w:tblInd w:w="0" w:type="dxa"/>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42"/>
        <w:gridCol w:w="3007"/>
        <w:gridCol w:w="4036"/>
      </w:tblGrid>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blHeader/>
        </w:trPr>
        <w:tc>
          <w:tcPr>
            <w:tcW w:w="1242" w:type="dxa"/>
            <w:tcBorders>
              <w:top w:val="single" w:color="auto" w:sz="4" w:space="0"/>
              <w:left w:val="nil"/>
              <w:bottom w:val="single" w:color="000000" w:themeColor="text1" w:sz="8" w:space="0"/>
              <w:right w:val="nil"/>
              <w:insideH w:val="single" w:sz="8" w:space="0"/>
              <w:insideV w:val="nil"/>
            </w:tcBorders>
            <w:vAlign w:val="center"/>
          </w:tcPr>
          <w:p>
            <w:pPr>
              <w:spacing w:before="0" w:after="0" w:line="240" w:lineRule="auto"/>
              <w:jc w:val="center"/>
              <w:rPr>
                <w:rFonts w:ascii="仿宋" w:hAnsi="仿宋" w:eastAsia="仿宋" w:cs="仿宋"/>
                <w:b w:val="0"/>
                <w:bCs w:val="0"/>
                <w:color w:val="000000" w:themeColor="text1"/>
                <w:sz w:val="22"/>
                <w:szCs w:val="22"/>
                <w14:textFill>
                  <w14:solidFill>
                    <w14:schemeClr w14:val="tx1"/>
                  </w14:solidFill>
                </w14:textFill>
              </w:rPr>
            </w:pPr>
            <w:r>
              <w:rPr>
                <w:rFonts w:hint="eastAsia" w:ascii="仿宋" w:hAnsi="仿宋" w:eastAsia="仿宋" w:cs="仿宋"/>
                <w:b/>
                <w:bCs/>
                <w:color w:val="000000" w:themeColor="text1"/>
                <w:sz w:val="22"/>
                <w:szCs w:val="22"/>
                <w14:textFill>
                  <w14:solidFill>
                    <w14:schemeClr w14:val="tx1"/>
                  </w14:solidFill>
                </w14:textFill>
              </w:rPr>
              <w:t>一级指标</w:t>
            </w:r>
          </w:p>
        </w:tc>
        <w:tc>
          <w:tcPr>
            <w:tcW w:w="3007" w:type="dxa"/>
            <w:tcBorders>
              <w:top w:val="single" w:color="auto" w:sz="4" w:space="0"/>
              <w:bottom w:val="single" w:color="000000" w:themeColor="text1" w:sz="8" w:space="0"/>
              <w:right w:val="nil"/>
              <w:insideH w:val="single" w:sz="8" w:space="0"/>
              <w:insideV w:val="nil"/>
            </w:tcBorders>
            <w:vAlign w:val="center"/>
          </w:tcPr>
          <w:p>
            <w:pPr>
              <w:spacing w:before="0" w:after="0" w:line="240" w:lineRule="auto"/>
              <w:jc w:val="center"/>
              <w:rPr>
                <w:rFonts w:ascii="仿宋" w:hAnsi="仿宋" w:eastAsia="仿宋" w:cs="仿宋"/>
                <w:b w:val="0"/>
                <w:bCs w:val="0"/>
                <w:color w:val="000000" w:themeColor="text1"/>
                <w:sz w:val="22"/>
                <w:szCs w:val="22"/>
                <w14:textFill>
                  <w14:solidFill>
                    <w14:schemeClr w14:val="tx1"/>
                  </w14:solidFill>
                </w14:textFill>
              </w:rPr>
            </w:pPr>
            <w:r>
              <w:rPr>
                <w:rFonts w:hint="eastAsia" w:ascii="仿宋" w:hAnsi="仿宋" w:eastAsia="仿宋" w:cs="仿宋"/>
                <w:b/>
                <w:bCs/>
                <w:color w:val="000000" w:themeColor="text1"/>
                <w:sz w:val="22"/>
                <w:szCs w:val="22"/>
                <w14:textFill>
                  <w14:solidFill>
                    <w14:schemeClr w14:val="tx1"/>
                  </w14:solidFill>
                </w14:textFill>
              </w:rPr>
              <w:t>二级指标</w:t>
            </w:r>
          </w:p>
        </w:tc>
        <w:tc>
          <w:tcPr>
            <w:tcW w:w="4036" w:type="dxa"/>
            <w:tcBorders>
              <w:top w:val="single" w:color="auto" w:sz="4" w:space="0"/>
              <w:bottom w:val="single" w:color="000000" w:themeColor="text1" w:sz="8" w:space="0"/>
              <w:right w:val="nil"/>
              <w:insideH w:val="single" w:sz="8" w:space="0"/>
              <w:insideV w:val="nil"/>
            </w:tcBorders>
            <w:vAlign w:val="center"/>
          </w:tcPr>
          <w:p>
            <w:pPr>
              <w:spacing w:before="0" w:after="0" w:line="240" w:lineRule="auto"/>
              <w:jc w:val="center"/>
              <w:rPr>
                <w:rFonts w:ascii="仿宋" w:hAnsi="仿宋" w:eastAsia="仿宋" w:cs="仿宋"/>
                <w:b w:val="0"/>
                <w:bCs w:val="0"/>
                <w:color w:val="000000" w:themeColor="text1"/>
                <w:sz w:val="22"/>
                <w:szCs w:val="22"/>
                <w14:textFill>
                  <w14:solidFill>
                    <w14:schemeClr w14:val="tx1"/>
                  </w14:solidFill>
                </w14:textFill>
              </w:rPr>
            </w:pPr>
            <w:r>
              <w:rPr>
                <w:rFonts w:hint="eastAsia" w:ascii="仿宋" w:hAnsi="仿宋" w:eastAsia="仿宋" w:cs="仿宋"/>
                <w:b/>
                <w:bCs/>
                <w:color w:val="000000" w:themeColor="text1"/>
                <w:sz w:val="22"/>
                <w:szCs w:val="22"/>
                <w14:textFill>
                  <w14:solidFill>
                    <w14:schemeClr w14:val="tx1"/>
                  </w14:solidFill>
                </w14:textFill>
              </w:rPr>
              <w:t>三级指标</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restart"/>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r>
              <w:rPr>
                <w:rFonts w:hint="eastAsia" w:ascii="仿宋" w:hAnsi="仿宋" w:eastAsia="仿宋" w:cs="仿宋"/>
                <w:b/>
                <w:bCs/>
                <w:color w:val="000000" w:themeColor="text1"/>
                <w:kern w:val="0"/>
                <w:sz w:val="22"/>
                <w:szCs w:val="22"/>
                <w14:textFill>
                  <w14:solidFill>
                    <w14:schemeClr w14:val="tx1"/>
                  </w14:solidFill>
                </w14:textFill>
              </w:rPr>
              <w:t>决策指标（</w:t>
            </w:r>
            <w:r>
              <w:rPr>
                <w:rFonts w:ascii="Times New Roman" w:hAnsi="Times New Roman" w:eastAsia="仿宋" w:cs="Times New Roman"/>
                <w:b/>
                <w:bCs/>
                <w:color w:val="000000" w:themeColor="text1"/>
                <w:kern w:val="0"/>
                <w:sz w:val="22"/>
                <w:szCs w:val="22"/>
                <w14:textFill>
                  <w14:solidFill>
                    <w14:schemeClr w14:val="tx1"/>
                  </w14:solidFill>
                </w14:textFill>
              </w:rPr>
              <w:t>20</w:t>
            </w:r>
            <w:r>
              <w:rPr>
                <w:rFonts w:hint="eastAsia" w:ascii="仿宋" w:hAnsi="仿宋" w:eastAsia="仿宋" w:cs="仿宋"/>
                <w:b/>
                <w:bCs/>
                <w:color w:val="000000" w:themeColor="text1"/>
                <w:kern w:val="0"/>
                <w:sz w:val="22"/>
                <w:szCs w:val="22"/>
                <w14:textFill>
                  <w14:solidFill>
                    <w14:schemeClr w14:val="tx1"/>
                  </w14:solidFill>
                </w14:textFill>
              </w:rPr>
              <w:t>分）</w:t>
            </w:r>
          </w:p>
        </w:tc>
        <w:tc>
          <w:tcPr>
            <w:tcW w:w="3007"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项目立项（</w:t>
            </w:r>
            <w:r>
              <w:rPr>
                <w:rFonts w:ascii="Times New Roman" w:hAnsi="Times New Roman" w:eastAsia="仿宋" w:cs="Times New Roman"/>
                <w:color w:val="000000" w:themeColor="text1"/>
                <w:sz w:val="22"/>
                <w:szCs w:val="22"/>
                <w14:textFill>
                  <w14:solidFill>
                    <w14:schemeClr w14:val="tx1"/>
                  </w14:solidFill>
                </w14:textFill>
              </w:rPr>
              <w:t>7</w:t>
            </w:r>
            <w:r>
              <w:rPr>
                <w:rFonts w:hint="eastAsia" w:ascii="仿宋" w:hAnsi="仿宋" w:eastAsia="仿宋" w:cs="仿宋"/>
                <w:color w:val="000000" w:themeColor="text1"/>
                <w:sz w:val="22"/>
                <w:szCs w:val="22"/>
                <w14:textFill>
                  <w14:solidFill>
                    <w14:schemeClr w14:val="tx1"/>
                  </w14:solidFill>
                </w14:textFill>
              </w:rPr>
              <w:t>分）</w:t>
            </w: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立项依据充分性（</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立项程序规范性（</w:t>
            </w:r>
            <w:r>
              <w:rPr>
                <w:rFonts w:ascii="Times New Roman" w:hAnsi="Times New Roman" w:eastAsia="仿宋" w:cs="Times New Roman"/>
                <w:color w:val="000000" w:themeColor="text1"/>
                <w:sz w:val="22"/>
                <w:szCs w:val="22"/>
                <w14:textFill>
                  <w14:solidFill>
                    <w14:schemeClr w14:val="tx1"/>
                  </w14:solidFill>
                </w14:textFill>
              </w:rPr>
              <w:t>3</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绩效目标（</w:t>
            </w:r>
            <w:r>
              <w:rPr>
                <w:rFonts w:ascii="Times New Roman" w:hAnsi="Times New Roman" w:eastAsia="仿宋" w:cs="Times New Roman"/>
                <w:color w:val="000000" w:themeColor="text1"/>
                <w:sz w:val="22"/>
                <w:szCs w:val="22"/>
                <w14:textFill>
                  <w14:solidFill>
                    <w14:schemeClr w14:val="tx1"/>
                  </w14:solidFill>
                </w14:textFill>
              </w:rPr>
              <w:t>7</w:t>
            </w:r>
            <w:r>
              <w:rPr>
                <w:rFonts w:hint="eastAsia" w:ascii="仿宋" w:hAnsi="仿宋" w:eastAsia="仿宋" w:cs="仿宋"/>
                <w:color w:val="000000" w:themeColor="text1"/>
                <w:sz w:val="22"/>
                <w:szCs w:val="22"/>
                <w14:textFill>
                  <w14:solidFill>
                    <w14:schemeClr w14:val="tx1"/>
                  </w14:solidFill>
                </w14:textFill>
              </w:rPr>
              <w:t>分）</w:t>
            </w: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绩效目标合理性（</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绩效指标明确性（</w:t>
            </w:r>
            <w:r>
              <w:rPr>
                <w:rFonts w:ascii="Times New Roman" w:hAnsi="Times New Roman" w:eastAsia="仿宋" w:cs="Times New Roman"/>
                <w:color w:val="000000" w:themeColor="text1"/>
                <w:sz w:val="22"/>
                <w:szCs w:val="22"/>
                <w14:textFill>
                  <w14:solidFill>
                    <w14:schemeClr w14:val="tx1"/>
                  </w14:solidFill>
                </w14:textFill>
              </w:rPr>
              <w:t>3</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资金投入（</w:t>
            </w:r>
            <w:r>
              <w:rPr>
                <w:rFonts w:ascii="Times New Roman" w:hAnsi="Times New Roman" w:eastAsia="仿宋" w:cs="Times New Roman"/>
                <w:color w:val="000000" w:themeColor="text1"/>
                <w:sz w:val="22"/>
                <w:szCs w:val="22"/>
                <w14:textFill>
                  <w14:solidFill>
                    <w14:schemeClr w14:val="tx1"/>
                  </w14:solidFill>
                </w14:textFill>
              </w:rPr>
              <w:t>6</w:t>
            </w:r>
            <w:r>
              <w:rPr>
                <w:rFonts w:hint="eastAsia" w:ascii="仿宋" w:hAnsi="仿宋" w:eastAsia="仿宋" w:cs="仿宋"/>
                <w:color w:val="000000" w:themeColor="text1"/>
                <w:sz w:val="22"/>
                <w:szCs w:val="22"/>
                <w14:textFill>
                  <w14:solidFill>
                    <w14:schemeClr w14:val="tx1"/>
                  </w14:solidFill>
                </w14:textFill>
              </w:rPr>
              <w:t>分）</w:t>
            </w: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预算编制科学性（</w:t>
            </w:r>
            <w:r>
              <w:rPr>
                <w:rFonts w:ascii="Times New Roman" w:hAnsi="Times New Roman" w:eastAsia="仿宋" w:cs="Times New Roman"/>
                <w:color w:val="000000" w:themeColor="text1"/>
                <w:sz w:val="22"/>
                <w:szCs w:val="22"/>
                <w14:textFill>
                  <w14:solidFill>
                    <w14:schemeClr w14:val="tx1"/>
                  </w14:solidFill>
                </w14:textFill>
              </w:rPr>
              <w:t>3</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资金分配合理性（</w:t>
            </w:r>
            <w:r>
              <w:rPr>
                <w:rFonts w:ascii="Times New Roman" w:hAnsi="Times New Roman" w:eastAsia="仿宋" w:cs="Times New Roman"/>
                <w:color w:val="000000" w:themeColor="text1"/>
                <w:kern w:val="0"/>
                <w:sz w:val="22"/>
                <w:szCs w:val="22"/>
                <w14:textFill>
                  <w14:solidFill>
                    <w14:schemeClr w14:val="tx1"/>
                  </w14:solidFill>
                </w14:textFill>
              </w:rPr>
              <w:t>3</w:t>
            </w:r>
            <w:r>
              <w:rPr>
                <w:rFonts w:hint="eastAsia" w:ascii="仿宋" w:hAnsi="仿宋" w:eastAsia="仿宋" w:cs="仿宋"/>
                <w:color w:val="000000" w:themeColor="text1"/>
                <w:kern w:val="0"/>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restart"/>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r>
              <w:rPr>
                <w:rFonts w:hint="eastAsia" w:ascii="仿宋" w:hAnsi="仿宋" w:eastAsia="仿宋" w:cs="仿宋"/>
                <w:b/>
                <w:bCs/>
                <w:color w:val="000000" w:themeColor="text1"/>
                <w:kern w:val="0"/>
                <w:sz w:val="22"/>
                <w:szCs w:val="22"/>
                <w14:textFill>
                  <w14:solidFill>
                    <w14:schemeClr w14:val="tx1"/>
                  </w14:solidFill>
                </w14:textFill>
              </w:rPr>
              <w:t>过程指标（</w:t>
            </w:r>
            <w:r>
              <w:rPr>
                <w:rFonts w:ascii="Times New Roman" w:hAnsi="Times New Roman" w:eastAsia="仿宋" w:cs="Times New Roman"/>
                <w:b/>
                <w:bCs/>
                <w:color w:val="000000" w:themeColor="text1"/>
                <w:kern w:val="0"/>
                <w:sz w:val="22"/>
                <w:szCs w:val="22"/>
                <w14:textFill>
                  <w14:solidFill>
                    <w14:schemeClr w14:val="tx1"/>
                  </w14:solidFill>
                </w14:textFill>
              </w:rPr>
              <w:t>15</w:t>
            </w:r>
            <w:r>
              <w:rPr>
                <w:rFonts w:hint="eastAsia" w:ascii="仿宋" w:hAnsi="仿宋" w:eastAsia="仿宋" w:cs="仿宋"/>
                <w:b/>
                <w:bCs/>
                <w:color w:val="000000" w:themeColor="text1"/>
                <w:kern w:val="0"/>
                <w:sz w:val="22"/>
                <w:szCs w:val="22"/>
                <w14:textFill>
                  <w14:solidFill>
                    <w14:schemeClr w14:val="tx1"/>
                  </w14:solidFill>
                </w14:textFill>
              </w:rPr>
              <w:t>分）</w:t>
            </w:r>
          </w:p>
        </w:tc>
        <w:tc>
          <w:tcPr>
            <w:tcW w:w="3007"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资金管理（</w:t>
            </w:r>
            <w:r>
              <w:rPr>
                <w:rFonts w:ascii="Times New Roman" w:hAnsi="Times New Roman" w:eastAsia="仿宋" w:cs="Times New Roman"/>
                <w:color w:val="000000" w:themeColor="text1"/>
                <w:sz w:val="22"/>
                <w:szCs w:val="22"/>
                <w14:textFill>
                  <w14:solidFill>
                    <w14:schemeClr w14:val="tx1"/>
                  </w14:solidFill>
                </w14:textFill>
              </w:rPr>
              <w:t>8</w:t>
            </w:r>
            <w:r>
              <w:rPr>
                <w:rFonts w:hint="eastAsia" w:ascii="仿宋" w:hAnsi="仿宋" w:eastAsia="仿宋" w:cs="仿宋"/>
                <w:color w:val="000000" w:themeColor="text1"/>
                <w:sz w:val="22"/>
                <w:szCs w:val="22"/>
                <w14:textFill>
                  <w14:solidFill>
                    <w14:schemeClr w14:val="tx1"/>
                  </w14:solidFill>
                </w14:textFill>
              </w:rPr>
              <w:t>分）</w:t>
            </w: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预算执行率（</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资金使用合规性（</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组织实施（</w:t>
            </w:r>
            <w:r>
              <w:rPr>
                <w:rFonts w:ascii="Times New Roman" w:hAnsi="Times New Roman" w:eastAsia="仿宋" w:cs="Times New Roman"/>
                <w:color w:val="000000" w:themeColor="text1"/>
                <w:sz w:val="22"/>
                <w:szCs w:val="22"/>
                <w14:textFill>
                  <w14:solidFill>
                    <w14:schemeClr w14:val="tx1"/>
                  </w14:solidFill>
                </w14:textFill>
              </w:rPr>
              <w:t>7</w:t>
            </w:r>
            <w:r>
              <w:rPr>
                <w:rFonts w:hint="eastAsia" w:ascii="仿宋" w:hAnsi="仿宋" w:eastAsia="仿宋" w:cs="仿宋"/>
                <w:color w:val="000000" w:themeColor="text1"/>
                <w:sz w:val="22"/>
                <w:szCs w:val="22"/>
                <w14:textFill>
                  <w14:solidFill>
                    <w14:schemeClr w14:val="tx1"/>
                  </w14:solidFill>
                </w14:textFill>
              </w:rPr>
              <w:t>分）</w:t>
            </w: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管理制度健全性（</w:t>
            </w:r>
            <w:r>
              <w:rPr>
                <w:rFonts w:ascii="Times New Roman" w:hAnsi="Times New Roman" w:eastAsia="仿宋" w:cs="Times New Roman"/>
                <w:color w:val="000000" w:themeColor="text1"/>
                <w:sz w:val="22"/>
                <w:szCs w:val="22"/>
                <w14:textFill>
                  <w14:solidFill>
                    <w14:schemeClr w14:val="tx1"/>
                  </w14:solidFill>
                </w14:textFill>
              </w:rPr>
              <w:t>3</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制度执行有效性（</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restart"/>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r>
              <w:rPr>
                <w:rFonts w:hint="eastAsia" w:ascii="仿宋" w:hAnsi="仿宋" w:eastAsia="仿宋" w:cs="仿宋"/>
                <w:b/>
                <w:bCs/>
                <w:color w:val="000000" w:themeColor="text1"/>
                <w:kern w:val="0"/>
                <w:sz w:val="22"/>
                <w:szCs w:val="22"/>
                <w14:textFill>
                  <w14:solidFill>
                    <w14:schemeClr w14:val="tx1"/>
                  </w14:solidFill>
                </w14:textFill>
              </w:rPr>
              <w:t>产出指标（</w:t>
            </w:r>
            <w:r>
              <w:rPr>
                <w:rFonts w:ascii="Times New Roman" w:hAnsi="Times New Roman" w:eastAsia="仿宋" w:cs="Times New Roman"/>
                <w:b/>
                <w:bCs/>
                <w:color w:val="000000" w:themeColor="text1"/>
                <w:kern w:val="0"/>
                <w:sz w:val="22"/>
                <w:szCs w:val="22"/>
                <w14:textFill>
                  <w14:solidFill>
                    <w14:schemeClr w14:val="tx1"/>
                  </w14:solidFill>
                </w14:textFill>
              </w:rPr>
              <w:t>40</w:t>
            </w:r>
            <w:r>
              <w:rPr>
                <w:rFonts w:hint="eastAsia" w:ascii="仿宋" w:hAnsi="仿宋" w:eastAsia="仿宋" w:cs="仿宋"/>
                <w:b/>
                <w:bCs/>
                <w:color w:val="000000" w:themeColor="text1"/>
                <w:kern w:val="0"/>
                <w:sz w:val="22"/>
                <w:szCs w:val="22"/>
                <w14:textFill>
                  <w14:solidFill>
                    <w14:schemeClr w14:val="tx1"/>
                  </w14:solidFill>
                </w14:textFill>
              </w:rPr>
              <w:t>分）</w:t>
            </w:r>
          </w:p>
        </w:tc>
        <w:tc>
          <w:tcPr>
            <w:tcW w:w="3007"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数量指标（</w:t>
            </w:r>
            <w:r>
              <w:rPr>
                <w:rFonts w:ascii="Times New Roman" w:hAnsi="Times New Roman" w:eastAsia="仿宋" w:cs="Times New Roman"/>
                <w:color w:val="000000" w:themeColor="text1"/>
                <w:sz w:val="22"/>
                <w:szCs w:val="22"/>
                <w14:textFill>
                  <w14:solidFill>
                    <w14:schemeClr w14:val="tx1"/>
                  </w14:solidFill>
                </w14:textFill>
              </w:rPr>
              <w:t>24</w:t>
            </w:r>
            <w:r>
              <w:rPr>
                <w:rFonts w:hint="eastAsia" w:ascii="仿宋" w:hAnsi="仿宋" w:eastAsia="仿宋" w:cs="仿宋"/>
                <w:color w:val="000000" w:themeColor="text1"/>
                <w:sz w:val="22"/>
                <w:szCs w:val="22"/>
                <w14:textFill>
                  <w14:solidFill>
                    <w14:schemeClr w14:val="tx1"/>
                  </w14:solidFill>
                </w14:textFill>
              </w:rPr>
              <w:t>分）</w:t>
            </w: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星级酒店复核评定数（</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新评星级民宿数（</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“惠安文旅”服务号粉丝增长率（</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“惠安文旅”服务号发布图文数（</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提升旅游服务配套设施（</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建设达标厕所数（</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质量指标（</w:t>
            </w:r>
            <w:r>
              <w:rPr>
                <w:rFonts w:ascii="Times New Roman" w:hAnsi="Times New Roman" w:eastAsia="仿宋" w:cs="Times New Roman"/>
                <w:color w:val="000000" w:themeColor="text1"/>
                <w:sz w:val="22"/>
                <w:szCs w:val="22"/>
                <w14:textFill>
                  <w14:solidFill>
                    <w14:schemeClr w14:val="tx1"/>
                  </w14:solidFill>
                </w14:textFill>
              </w:rPr>
              <w:t>16</w:t>
            </w:r>
            <w:r>
              <w:rPr>
                <w:rFonts w:hint="eastAsia" w:ascii="仿宋" w:hAnsi="仿宋" w:eastAsia="仿宋" w:cs="仿宋"/>
                <w:color w:val="000000" w:themeColor="text1"/>
                <w:sz w:val="22"/>
                <w:szCs w:val="22"/>
                <w14:textFill>
                  <w14:solidFill>
                    <w14:schemeClr w14:val="tx1"/>
                  </w14:solidFill>
                </w14:textFill>
              </w:rPr>
              <w:t>分）</w:t>
            </w: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全年安全无事故（</w:t>
            </w:r>
            <w:r>
              <w:rPr>
                <w:rFonts w:ascii="Times New Roman" w:hAnsi="Times New Roman" w:eastAsia="仿宋" w:cs="Times New Roman"/>
                <w:color w:val="000000" w:themeColor="text1"/>
                <w:sz w:val="22"/>
                <w:szCs w:val="22"/>
                <w14:textFill>
                  <w14:solidFill>
                    <w14:schemeClr w14:val="tx1"/>
                  </w14:solidFill>
                </w14:textFill>
              </w:rPr>
              <w:t>8</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开展旅游安全宣传培训的企业数（</w:t>
            </w:r>
            <w:r>
              <w:rPr>
                <w:rFonts w:ascii="Times New Roman" w:hAnsi="Times New Roman" w:eastAsia="仿宋" w:cs="Times New Roman"/>
                <w:color w:val="000000" w:themeColor="text1"/>
                <w:sz w:val="22"/>
                <w:szCs w:val="22"/>
                <w14:textFill>
                  <w14:solidFill>
                    <w14:schemeClr w14:val="tx1"/>
                  </w14:solidFill>
                </w14:textFill>
              </w:rPr>
              <w:t>8</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242" w:type="dxa"/>
            <w:vMerge w:val="restart"/>
            <w:vAlign w:val="center"/>
          </w:tcPr>
          <w:p>
            <w:pPr>
              <w:spacing w:line="240" w:lineRule="auto"/>
              <w:jc w:val="center"/>
              <w:rPr>
                <w:rFonts w:ascii="仿宋" w:hAnsi="仿宋" w:eastAsia="仿宋" w:cs="仿宋"/>
                <w:b w:val="0"/>
                <w:bCs/>
                <w:color w:val="000000" w:themeColor="text1"/>
                <w:sz w:val="22"/>
                <w:szCs w:val="22"/>
                <w14:textFill>
                  <w14:solidFill>
                    <w14:schemeClr w14:val="tx1"/>
                  </w14:solidFill>
                </w14:textFill>
              </w:rPr>
            </w:pPr>
            <w:r>
              <w:rPr>
                <w:rFonts w:hint="eastAsia" w:ascii="仿宋" w:hAnsi="仿宋" w:eastAsia="仿宋" w:cs="仿宋"/>
                <w:b/>
                <w:bCs/>
                <w:color w:val="000000" w:themeColor="text1"/>
                <w:sz w:val="22"/>
                <w:szCs w:val="22"/>
                <w14:textFill>
                  <w14:solidFill>
                    <w14:schemeClr w14:val="tx1"/>
                  </w14:solidFill>
                </w14:textFill>
              </w:rPr>
              <w:t>效益指标（</w:t>
            </w:r>
            <w:r>
              <w:rPr>
                <w:rFonts w:ascii="Times New Roman" w:hAnsi="Times New Roman" w:eastAsia="仿宋" w:cs="Times New Roman"/>
                <w:b/>
                <w:bCs/>
                <w:color w:val="000000" w:themeColor="text1"/>
                <w:sz w:val="22"/>
                <w:szCs w:val="22"/>
                <w14:textFill>
                  <w14:solidFill>
                    <w14:schemeClr w14:val="tx1"/>
                  </w14:solidFill>
                </w14:textFill>
              </w:rPr>
              <w:t>25</w:t>
            </w:r>
            <w:r>
              <w:rPr>
                <w:rFonts w:hint="eastAsia" w:ascii="仿宋" w:hAnsi="仿宋" w:eastAsia="仿宋" w:cs="仿宋"/>
                <w:b/>
                <w:bCs/>
                <w:color w:val="000000" w:themeColor="text1"/>
                <w:sz w:val="22"/>
                <w:szCs w:val="22"/>
                <w14:textFill>
                  <w14:solidFill>
                    <w14:schemeClr w14:val="tx1"/>
                  </w14:solidFill>
                </w14:textFill>
              </w:rPr>
              <w:t>分）</w:t>
            </w:r>
          </w:p>
        </w:tc>
        <w:tc>
          <w:tcPr>
            <w:tcW w:w="3007"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经济效益（</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全年旅游总收入（</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Align w:val="center"/>
          </w:tcPr>
          <w:p>
            <w:pPr>
              <w:spacing w:line="240" w:lineRule="auto"/>
              <w:jc w:val="center"/>
              <w:rPr>
                <w:rFonts w:ascii="仿宋" w:hAnsi="仿宋" w:eastAsia="仿宋" w:cs="仿宋"/>
                <w:color w:val="000000" w:themeColor="text1"/>
                <w:sz w:val="22"/>
                <w:szCs w:val="22"/>
                <w:highlight w:val="yellow"/>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社会效益（</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保护和传承非遗文化（</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生态效益（</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获评生态旅游奖项（</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3007"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可持续效益（</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制定可持续性发展规划（</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val="0"/>
                <w:bCs/>
                <w:color w:val="000000" w:themeColor="text1"/>
                <w:sz w:val="22"/>
                <w:szCs w:val="22"/>
                <w14:textFill>
                  <w14:solidFill>
                    <w14:schemeClr w14:val="tx1"/>
                  </w14:solidFill>
                </w14:textFill>
              </w:rPr>
            </w:pPr>
          </w:p>
        </w:tc>
        <w:tc>
          <w:tcPr>
            <w:tcW w:w="3007"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满意度（</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4036"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服务对象满意测评（</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r>
    </w:tbl>
    <w:p>
      <w:pPr>
        <w:ind w:firstLine="560" w:firstLineChars="200"/>
        <w:rPr>
          <w:rFonts w:ascii="仿宋" w:hAnsi="仿宋" w:eastAsia="仿宋" w:cs="Times New Roman"/>
          <w:color w:val="000000" w:themeColor="text1"/>
          <w:szCs w:val="28"/>
          <w14:textFill>
            <w14:solidFill>
              <w14:schemeClr w14:val="tx1"/>
            </w14:solidFill>
          </w14:textFill>
        </w:rPr>
      </w:pPr>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根据表</w:t>
      </w:r>
      <w:r>
        <w:rPr>
          <w:rFonts w:ascii="Times New Roman" w:hAnsi="Times New Roman" w:eastAsia="仿宋" w:cs="Times New Roman"/>
          <w:color w:val="000000" w:themeColor="text1"/>
          <w:szCs w:val="28"/>
          <w14:textFill>
            <w14:solidFill>
              <w14:schemeClr w14:val="tx1"/>
            </w14:solidFill>
          </w14:textFill>
        </w:rPr>
        <w:t>1</w:t>
      </w:r>
      <w:r>
        <w:rPr>
          <w:rFonts w:hint="eastAsia" w:ascii="仿宋" w:hAnsi="仿宋" w:eastAsia="仿宋" w:cs="仿宋"/>
          <w:color w:val="000000" w:themeColor="text1"/>
          <w:szCs w:val="28"/>
          <w14:textFill>
            <w14:solidFill>
              <w14:schemeClr w14:val="tx1"/>
            </w14:solidFill>
          </w14:textFill>
        </w:rPr>
        <w:t>展现的旅游发展专项资金绩效评价指标体系，整体指标体系框架设置包括决策、过程、产出、效益四个一级指标，分别占</w:t>
      </w:r>
      <w:r>
        <w:rPr>
          <w:rFonts w:ascii="Times New Roman" w:hAnsi="Times New Roman" w:eastAsia="仿宋" w:cs="Times New Roman"/>
          <w:color w:val="000000" w:themeColor="text1"/>
          <w:szCs w:val="28"/>
          <w14:textFill>
            <w14:solidFill>
              <w14:schemeClr w14:val="tx1"/>
            </w14:solidFill>
          </w14:textFill>
        </w:rPr>
        <w:t>20</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15</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40</w:t>
      </w:r>
      <w:r>
        <w:rPr>
          <w:rFonts w:hint="eastAsia" w:ascii="仿宋" w:hAnsi="仿宋" w:eastAsia="仿宋" w:cs="仿宋"/>
          <w:color w:val="000000" w:themeColor="text1"/>
          <w:szCs w:val="28"/>
          <w14:textFill>
            <w14:solidFill>
              <w14:schemeClr w14:val="tx1"/>
            </w14:solidFill>
          </w14:textFill>
        </w:rPr>
        <w:t>%和</w:t>
      </w:r>
      <w:r>
        <w:rPr>
          <w:rFonts w:ascii="Times New Roman" w:hAnsi="Times New Roman" w:eastAsia="仿宋" w:cs="Times New Roman"/>
          <w:color w:val="000000" w:themeColor="text1"/>
          <w:szCs w:val="28"/>
          <w14:textFill>
            <w14:solidFill>
              <w14:schemeClr w14:val="tx1"/>
            </w14:solidFill>
          </w14:textFill>
        </w:rPr>
        <w:t>25</w:t>
      </w:r>
      <w:r>
        <w:rPr>
          <w:rFonts w:hint="eastAsia" w:ascii="仿宋" w:hAnsi="仿宋" w:eastAsia="仿宋" w:cs="仿宋"/>
          <w:color w:val="000000" w:themeColor="text1"/>
          <w:szCs w:val="28"/>
          <w14:textFill>
            <w14:solidFill>
              <w14:schemeClr w14:val="tx1"/>
            </w14:solidFill>
          </w14:textFill>
        </w:rPr>
        <w:t>%。其中决策指标包括项目立项、绩效目标和资金投入三个二级指标；过程指标包括资金管理和组织实施两个二级指标；产出指标包括实际完成数量、完成质量两个二级指标；效益指标包括经济效益、社会效益、生态效益、可持续效益和满意度五个二级指标。围绕旅游发展专项资金的特点，专项资金评价工作组继续在二级指标下构建更为细致的三级指标，进一步完善评价指标体系。</w:t>
      </w:r>
    </w:p>
    <w:p>
      <w:pPr>
        <w:spacing w:before="190" w:beforeLines="50" w:after="190" w:afterLines="50"/>
        <w:ind w:firstLine="643" w:firstLineChars="200"/>
        <w:outlineLvl w:val="1"/>
        <w:rPr>
          <w:rFonts w:ascii="Times New Roman" w:hAnsi="Times New Roman" w:eastAsia="仿宋" w:cs="Times New Roman"/>
          <w:b/>
          <w:color w:val="000000" w:themeColor="text1"/>
          <w:sz w:val="32"/>
          <w:szCs w:val="32"/>
          <w14:textFill>
            <w14:solidFill>
              <w14:schemeClr w14:val="tx1"/>
            </w14:solidFill>
          </w14:textFill>
        </w:rPr>
      </w:pPr>
      <w:bookmarkStart w:id="47" w:name="_Toc829831805"/>
      <w:bookmarkStart w:id="48" w:name="_Toc126353954"/>
      <w:bookmarkStart w:id="49" w:name="_Toc26563"/>
      <w:r>
        <w:rPr>
          <w:rFonts w:ascii="Times New Roman" w:hAnsi="Times New Roman" w:eastAsia="仿宋" w:cs="Times New Roman"/>
          <w:b/>
          <w:color w:val="000000" w:themeColor="text1"/>
          <w:sz w:val="32"/>
          <w:szCs w:val="32"/>
          <w14:textFill>
            <w14:solidFill>
              <w14:schemeClr w14:val="tx1"/>
            </w14:solidFill>
          </w14:textFill>
        </w:rPr>
        <w:t>七、评价方法</w:t>
      </w:r>
      <w:bookmarkEnd w:id="47"/>
      <w:bookmarkEnd w:id="48"/>
      <w:bookmarkEnd w:id="49"/>
    </w:p>
    <w:p>
      <w:pPr>
        <w:ind w:firstLine="560" w:firstLineChars="200"/>
        <w:rPr>
          <w:rFonts w:ascii="Times New Roman" w:hAnsi="Times New Roman" w:eastAsia="仿宋" w:cs="Times New Roman"/>
          <w:color w:val="000000" w:themeColor="text1"/>
          <w14:textFill>
            <w14:solidFill>
              <w14:schemeClr w14:val="tx1"/>
            </w14:solidFill>
          </w14:textFill>
        </w:rPr>
      </w:pPr>
      <w:bookmarkStart w:id="50" w:name="_Hlk115351020"/>
      <w:r>
        <w:rPr>
          <w:rFonts w:ascii="Times New Roman" w:hAnsi="Times New Roman" w:eastAsia="仿宋" w:cs="Times New Roman"/>
          <w:color w:val="000000" w:themeColor="text1"/>
          <w14:textFill>
            <w14:solidFill>
              <w14:schemeClr w14:val="tx1"/>
            </w14:solidFill>
          </w14:textFill>
        </w:rPr>
        <w:t>项目评价工作组拟采用成效分析法、案卷研究法、公众评判法等多种方法，从资金决策、资金管理和资金绩效等方面，综合考察资金的使用情况、取得的成效，分析资金管理过程中存在的问题及原因，并针对性地提出建议。</w:t>
      </w:r>
    </w:p>
    <w:p>
      <w:pPr>
        <w:ind w:firstLine="562" w:firstLineChars="200"/>
        <w:outlineLvl w:val="2"/>
        <w:rPr>
          <w:rFonts w:ascii="Times New Roman" w:hAnsi="Times New Roman" w:eastAsia="仿宋" w:cs="Times New Roman"/>
          <w:b/>
          <w:bCs/>
          <w:color w:val="000000" w:themeColor="text1"/>
          <w:szCs w:val="28"/>
          <w14:textFill>
            <w14:solidFill>
              <w14:schemeClr w14:val="tx1"/>
            </w14:solidFill>
          </w14:textFill>
        </w:rPr>
      </w:pPr>
      <w:bookmarkStart w:id="51" w:name="_Toc126353955"/>
      <w:bookmarkStart w:id="52" w:name="_Toc24209"/>
      <w:bookmarkStart w:id="53" w:name="_Hlk115351385"/>
      <w:r>
        <w:rPr>
          <w:rFonts w:ascii="Times New Roman" w:hAnsi="Times New Roman" w:eastAsia="仿宋" w:cs="Times New Roman"/>
          <w:b/>
          <w:bCs/>
          <w:color w:val="000000" w:themeColor="text1"/>
          <w:szCs w:val="28"/>
          <w14:textFill>
            <w14:solidFill>
              <w14:schemeClr w14:val="tx1"/>
            </w14:solidFill>
          </w14:textFill>
        </w:rPr>
        <w:t>（一）成效分析法</w:t>
      </w:r>
      <w:bookmarkEnd w:id="51"/>
      <w:bookmarkEnd w:id="52"/>
    </w:p>
    <w:p>
      <w:pPr>
        <w:ind w:firstLine="560" w:firstLineChars="200"/>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t>指将投入与产出、效益进行关联性分析的方法。通过对资金的预算执行情况、项目管理资料、绩效考核、审计等相关资料进行研究、比较、分析，提取重要信息，将资金投入与产出、效益进行关联性分析，评价资金绩效目标的实现程度。</w:t>
      </w:r>
    </w:p>
    <w:p>
      <w:pPr>
        <w:ind w:firstLine="562" w:firstLineChars="200"/>
        <w:outlineLvl w:val="2"/>
        <w:rPr>
          <w:rFonts w:ascii="Times New Roman" w:hAnsi="Times New Roman" w:eastAsia="仿宋" w:cs="Times New Roman"/>
          <w:b/>
          <w:bCs/>
          <w:color w:val="000000" w:themeColor="text1"/>
          <w:szCs w:val="28"/>
          <w14:textFill>
            <w14:solidFill>
              <w14:schemeClr w14:val="tx1"/>
            </w14:solidFill>
          </w14:textFill>
        </w:rPr>
      </w:pPr>
      <w:bookmarkStart w:id="54" w:name="_Toc126353957"/>
      <w:bookmarkStart w:id="55" w:name="_Toc15956"/>
      <w:r>
        <w:rPr>
          <w:rFonts w:ascii="Times New Roman" w:hAnsi="Times New Roman" w:eastAsia="仿宋" w:cs="Times New Roman"/>
          <w:b/>
          <w:bCs/>
          <w:color w:val="000000" w:themeColor="text1"/>
          <w:szCs w:val="28"/>
          <w14:textFill>
            <w14:solidFill>
              <w14:schemeClr w14:val="tx1"/>
            </w14:solidFill>
          </w14:textFill>
        </w:rPr>
        <w:t>（</w:t>
      </w:r>
      <w:r>
        <w:rPr>
          <w:rFonts w:hint="eastAsia" w:ascii="Times New Roman" w:hAnsi="Times New Roman" w:eastAsia="仿宋" w:cs="Times New Roman"/>
          <w:b/>
          <w:bCs/>
          <w:color w:val="000000" w:themeColor="text1"/>
          <w:szCs w:val="28"/>
          <w14:textFill>
            <w14:solidFill>
              <w14:schemeClr w14:val="tx1"/>
            </w14:solidFill>
          </w14:textFill>
        </w:rPr>
        <w:t>二</w:t>
      </w:r>
      <w:r>
        <w:rPr>
          <w:rFonts w:ascii="Times New Roman" w:hAnsi="Times New Roman" w:eastAsia="仿宋" w:cs="Times New Roman"/>
          <w:b/>
          <w:bCs/>
          <w:color w:val="000000" w:themeColor="text1"/>
          <w:szCs w:val="28"/>
          <w14:textFill>
            <w14:solidFill>
              <w14:schemeClr w14:val="tx1"/>
            </w14:solidFill>
          </w14:textFill>
        </w:rPr>
        <w:t>）案卷研究法</w:t>
      </w:r>
      <w:bookmarkEnd w:id="54"/>
      <w:bookmarkEnd w:id="55"/>
    </w:p>
    <w:p>
      <w:pPr>
        <w:ind w:firstLine="560" w:firstLineChars="200"/>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t>指结合项目相关的文件通知、管理办法、实施方案、工作计划、会议纪要等相关资料，对项目投入决策、管理过程、产出及效益的政策相关性、可持续性和影响等情况进行分析，提取重要信息，支撑对某一指标的考核评价。</w:t>
      </w:r>
    </w:p>
    <w:p>
      <w:pPr>
        <w:ind w:firstLine="562" w:firstLineChars="200"/>
        <w:outlineLvl w:val="2"/>
        <w:rPr>
          <w:rFonts w:ascii="Times New Roman" w:hAnsi="Times New Roman" w:eastAsia="仿宋" w:cs="Times New Roman"/>
          <w:b/>
          <w:bCs/>
          <w:color w:val="000000" w:themeColor="text1"/>
          <w:szCs w:val="28"/>
          <w14:textFill>
            <w14:solidFill>
              <w14:schemeClr w14:val="tx1"/>
            </w14:solidFill>
          </w14:textFill>
        </w:rPr>
      </w:pPr>
      <w:bookmarkStart w:id="56" w:name="_Toc126353959"/>
      <w:bookmarkStart w:id="57" w:name="_Toc31752"/>
      <w:r>
        <w:rPr>
          <w:rFonts w:ascii="Times New Roman" w:hAnsi="Times New Roman" w:eastAsia="仿宋" w:cs="Times New Roman"/>
          <w:b/>
          <w:bCs/>
          <w:color w:val="000000" w:themeColor="text1"/>
          <w:szCs w:val="28"/>
          <w14:textFill>
            <w14:solidFill>
              <w14:schemeClr w14:val="tx1"/>
            </w14:solidFill>
          </w14:textFill>
        </w:rPr>
        <w:t>（</w:t>
      </w:r>
      <w:r>
        <w:rPr>
          <w:rFonts w:hint="eastAsia" w:ascii="Times New Roman" w:hAnsi="Times New Roman" w:eastAsia="仿宋" w:cs="Times New Roman"/>
          <w:b/>
          <w:bCs/>
          <w:color w:val="000000" w:themeColor="text1"/>
          <w:szCs w:val="28"/>
          <w14:textFill>
            <w14:solidFill>
              <w14:schemeClr w14:val="tx1"/>
            </w14:solidFill>
          </w14:textFill>
        </w:rPr>
        <w:t>三</w:t>
      </w:r>
      <w:r>
        <w:rPr>
          <w:rFonts w:ascii="Times New Roman" w:hAnsi="Times New Roman" w:eastAsia="仿宋" w:cs="Times New Roman"/>
          <w:b/>
          <w:bCs/>
          <w:color w:val="000000" w:themeColor="text1"/>
          <w:szCs w:val="28"/>
          <w14:textFill>
            <w14:solidFill>
              <w14:schemeClr w14:val="tx1"/>
            </w14:solidFill>
          </w14:textFill>
        </w:rPr>
        <w:t>）公众评判法</w:t>
      </w:r>
      <w:bookmarkEnd w:id="56"/>
      <w:bookmarkEnd w:id="57"/>
    </w:p>
    <w:bookmarkEnd w:id="53"/>
    <w:p>
      <w:pPr>
        <w:ind w:firstLine="560" w:firstLineChars="200"/>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t>指通过专家评估、公众问卷及抽样调查等方式进行评判的方法。一是通过与项目的相关部门座谈，了解项目收支情况、组织管理情况；二是通过实地考察项目开展地，同相关人员交流，了解项目投入与实施过程的执行情况。</w:t>
      </w:r>
      <w:bookmarkEnd w:id="50"/>
    </w:p>
    <w:p>
      <w:pPr>
        <w:spacing w:before="190" w:beforeLines="50" w:after="190" w:afterLines="50"/>
        <w:ind w:firstLine="643" w:firstLineChars="200"/>
        <w:outlineLvl w:val="1"/>
        <w:rPr>
          <w:rFonts w:ascii="Times New Roman" w:hAnsi="Times New Roman" w:eastAsia="仿宋" w:cs="Times New Roman"/>
          <w:b/>
          <w:color w:val="000000" w:themeColor="text1"/>
          <w:sz w:val="32"/>
          <w:szCs w:val="32"/>
          <w14:textFill>
            <w14:solidFill>
              <w14:schemeClr w14:val="tx1"/>
            </w14:solidFill>
          </w14:textFill>
        </w:rPr>
      </w:pPr>
      <w:bookmarkStart w:id="58" w:name="_Toc126353960"/>
      <w:bookmarkStart w:id="59" w:name="_Toc7386"/>
      <w:bookmarkStart w:id="60" w:name="_Toc1522479775"/>
      <w:r>
        <w:rPr>
          <w:rFonts w:ascii="Times New Roman" w:hAnsi="Times New Roman" w:eastAsia="仿宋" w:cs="Times New Roman"/>
          <w:b/>
          <w:color w:val="000000" w:themeColor="text1"/>
          <w:sz w:val="32"/>
          <w:szCs w:val="32"/>
          <w14:textFill>
            <w14:solidFill>
              <w14:schemeClr w14:val="tx1"/>
            </w14:solidFill>
          </w14:textFill>
        </w:rPr>
        <w:t>八、评价标准</w:t>
      </w:r>
      <w:bookmarkEnd w:id="58"/>
      <w:bookmarkEnd w:id="59"/>
      <w:bookmarkEnd w:id="60"/>
    </w:p>
    <w:p>
      <w:pPr>
        <w:ind w:firstLine="562"/>
        <w:outlineLvl w:val="2"/>
        <w:rPr>
          <w:rFonts w:ascii="Times New Roman" w:hAnsi="Times New Roman" w:eastAsia="仿宋" w:cs="Times New Roman"/>
          <w:b/>
          <w:bCs/>
          <w:color w:val="000000" w:themeColor="text1"/>
          <w:szCs w:val="28"/>
          <w14:textFill>
            <w14:solidFill>
              <w14:schemeClr w14:val="tx1"/>
            </w14:solidFill>
          </w14:textFill>
        </w:rPr>
      </w:pPr>
      <w:bookmarkStart w:id="61" w:name="_Toc126353961"/>
      <w:bookmarkStart w:id="62" w:name="_Toc124892209"/>
      <w:bookmarkStart w:id="63" w:name="_Toc119967319"/>
      <w:bookmarkStart w:id="64" w:name="_Toc13170"/>
      <w:bookmarkStart w:id="65" w:name="_Hlk115356146"/>
      <w:r>
        <w:rPr>
          <w:rFonts w:ascii="Times New Roman" w:hAnsi="Times New Roman" w:eastAsia="仿宋" w:cs="Times New Roman"/>
          <w:b/>
          <w:bCs/>
          <w:color w:val="000000" w:themeColor="text1"/>
          <w:szCs w:val="28"/>
          <w14:textFill>
            <w14:solidFill>
              <w14:schemeClr w14:val="tx1"/>
            </w14:solidFill>
          </w14:textFill>
        </w:rPr>
        <w:t>（一）评价标准</w:t>
      </w:r>
      <w:bookmarkEnd w:id="61"/>
      <w:bookmarkEnd w:id="62"/>
      <w:bookmarkEnd w:id="63"/>
      <w:bookmarkEnd w:id="64"/>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绩效评价标准的设计中，主要是参照计划标准和行业标准制定。对于预先已制定了目标、计划、预算、定额类的指标，直接用实际情况与计划情况相比较来进行评价，对于预先没有制定计划目标的，一般行业标准来进行评价。</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1</w:t>
      </w:r>
      <w:r>
        <w:rPr>
          <w:rFonts w:hint="eastAsia" w:ascii="仿宋" w:hAnsi="仿宋" w:eastAsia="仿宋" w:cs="仿宋"/>
          <w:color w:val="000000" w:themeColor="text1"/>
          <w:szCs w:val="28"/>
          <w14:textFill>
            <w14:solidFill>
              <w14:schemeClr w14:val="tx1"/>
            </w14:solidFill>
          </w14:textFill>
        </w:rPr>
        <w:t>.计划标准。以预先制定的目标、计划、预算、定额等作为评价标准。</w:t>
      </w:r>
    </w:p>
    <w:p>
      <w:pPr>
        <w:ind w:firstLine="560" w:firstLineChars="200"/>
        <w:rPr>
          <w:rFonts w:ascii="仿宋" w:hAnsi="仿宋" w:eastAsia="仿宋" w:cs="仿宋"/>
          <w:color w:val="000000" w:themeColor="text1"/>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2</w:t>
      </w:r>
      <w:r>
        <w:rPr>
          <w:rFonts w:hint="eastAsia" w:ascii="仿宋" w:hAnsi="仿宋" w:eastAsia="仿宋" w:cs="仿宋"/>
          <w:color w:val="000000" w:themeColor="text1"/>
          <w:szCs w:val="28"/>
          <w14:textFill>
            <w14:solidFill>
              <w14:schemeClr w14:val="tx1"/>
            </w14:solidFill>
          </w14:textFill>
        </w:rPr>
        <w:t>.行业标准。参照国家公布的行业指标数据制定的评价标准。如根据《国务院办公厅印发&lt;关于释放旅游消费潜力推动旅游业高质量发展的若干措施&gt;的通知》（国办发〔</w:t>
      </w:r>
      <w:r>
        <w:rPr>
          <w:rFonts w:ascii="Times New Roman" w:hAnsi="Times New Roman" w:eastAsia="仿宋" w:cs="Times New Roman"/>
          <w:color w:val="000000" w:themeColor="text1"/>
          <w:szCs w:val="28"/>
          <w14:textFill>
            <w14:solidFill>
              <w14:schemeClr w14:val="tx1"/>
            </w14:solidFill>
          </w14:textFill>
        </w:rPr>
        <w:t>2023</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36</w:t>
      </w:r>
      <w:r>
        <w:rPr>
          <w:rFonts w:hint="eastAsia" w:ascii="仿宋" w:hAnsi="仿宋" w:eastAsia="仿宋" w:cs="仿宋"/>
          <w:color w:val="000000" w:themeColor="text1"/>
          <w:szCs w:val="28"/>
          <w14:textFill>
            <w14:solidFill>
              <w14:schemeClr w14:val="tx1"/>
            </w14:solidFill>
          </w14:textFill>
        </w:rPr>
        <w:t>号）、《文化和旅游部办公厅关于修订印发&lt;国家全域旅游示范区验收、认定和管理实施办法（试行）&gt;和&lt;国家全域旅游示范区验收标准（试行）&gt;的通知》（办资源发〔</w:t>
      </w:r>
      <w:r>
        <w:rPr>
          <w:rFonts w:ascii="Times New Roman" w:hAnsi="Times New Roman" w:eastAsia="仿宋" w:cs="Times New Roman"/>
          <w:color w:val="000000" w:themeColor="text1"/>
          <w:szCs w:val="28"/>
          <w14:textFill>
            <w14:solidFill>
              <w14:schemeClr w14:val="tx1"/>
            </w14:solidFill>
          </w14:textFill>
        </w:rPr>
        <w:t>2020</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30</w:t>
      </w:r>
      <w:r>
        <w:rPr>
          <w:rFonts w:hint="eastAsia" w:ascii="仿宋" w:hAnsi="仿宋" w:eastAsia="仿宋" w:cs="仿宋"/>
          <w:color w:val="000000" w:themeColor="text1"/>
          <w:szCs w:val="28"/>
          <w14:textFill>
            <w14:solidFill>
              <w14:schemeClr w14:val="tx1"/>
            </w14:solidFill>
          </w14:textFill>
        </w:rPr>
        <w:t>号）等文件中的相关规定作为评价标准。</w:t>
      </w:r>
    </w:p>
    <w:p>
      <w:pPr>
        <w:ind w:firstLine="562" w:firstLineChars="200"/>
        <w:outlineLvl w:val="2"/>
        <w:rPr>
          <w:rFonts w:ascii="仿宋" w:hAnsi="仿宋" w:eastAsia="仿宋" w:cs="仿宋"/>
          <w:b/>
          <w:bCs/>
          <w:color w:val="000000" w:themeColor="text1"/>
          <w:szCs w:val="28"/>
          <w14:textFill>
            <w14:solidFill>
              <w14:schemeClr w14:val="tx1"/>
            </w14:solidFill>
          </w14:textFill>
        </w:rPr>
      </w:pPr>
      <w:bookmarkStart w:id="66" w:name="_Toc14187"/>
      <w:bookmarkStart w:id="67" w:name="_Toc126353962"/>
      <w:r>
        <w:rPr>
          <w:rFonts w:hint="eastAsia" w:ascii="仿宋" w:hAnsi="仿宋" w:eastAsia="仿宋" w:cs="仿宋"/>
          <w:b/>
          <w:bCs/>
          <w:color w:val="000000" w:themeColor="text1"/>
          <w:szCs w:val="28"/>
          <w14:textFill>
            <w14:solidFill>
              <w14:schemeClr w14:val="tx1"/>
            </w14:solidFill>
          </w14:textFill>
        </w:rPr>
        <w:t>（二）评价依据</w:t>
      </w:r>
      <w:bookmarkEnd w:id="66"/>
      <w:bookmarkEnd w:id="67"/>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1</w:t>
      </w:r>
      <w:r>
        <w:rPr>
          <w:rFonts w:hint="eastAsia" w:ascii="仿宋" w:hAnsi="仿宋" w:eastAsia="仿宋" w:cs="仿宋"/>
          <w:color w:val="000000" w:themeColor="text1"/>
          <w:szCs w:val="28"/>
          <w14:textFill>
            <w14:solidFill>
              <w14:schemeClr w14:val="tx1"/>
            </w14:solidFill>
          </w14:textFill>
        </w:rPr>
        <w:t>.《中华人民共和国预算法》（</w:t>
      </w:r>
      <w:r>
        <w:rPr>
          <w:rFonts w:ascii="Times New Roman" w:hAnsi="Times New Roman" w:eastAsia="仿宋" w:cs="Times New Roman"/>
          <w:color w:val="000000" w:themeColor="text1"/>
          <w:szCs w:val="28"/>
          <w14:textFill>
            <w14:solidFill>
              <w14:schemeClr w14:val="tx1"/>
            </w14:solidFill>
          </w14:textFill>
        </w:rPr>
        <w:t>2018</w:t>
      </w:r>
      <w:r>
        <w:rPr>
          <w:rFonts w:hint="eastAsia" w:ascii="仿宋" w:hAnsi="仿宋" w:eastAsia="仿宋" w:cs="仿宋"/>
          <w:color w:val="000000" w:themeColor="text1"/>
          <w:szCs w:val="28"/>
          <w14:textFill>
            <w14:solidFill>
              <w14:schemeClr w14:val="tx1"/>
            </w14:solidFill>
          </w14:textFill>
        </w:rPr>
        <w:t>年修订）</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2</w:t>
      </w:r>
      <w:r>
        <w:rPr>
          <w:rFonts w:hint="eastAsia" w:ascii="仿宋" w:hAnsi="仿宋" w:eastAsia="仿宋" w:cs="仿宋"/>
          <w:color w:val="000000" w:themeColor="text1"/>
          <w:szCs w:val="28"/>
          <w14:textFill>
            <w14:solidFill>
              <w14:schemeClr w14:val="tx1"/>
            </w14:solidFill>
          </w14:textFill>
        </w:rPr>
        <w:t>.《中华人民共和国预算法实施条例》（中华人民共和国国务院令第</w:t>
      </w:r>
      <w:r>
        <w:rPr>
          <w:rFonts w:ascii="Times New Roman" w:hAnsi="Times New Roman" w:eastAsia="仿宋" w:cs="Times New Roman"/>
          <w:color w:val="000000" w:themeColor="text1"/>
          <w:szCs w:val="28"/>
          <w14:textFill>
            <w14:solidFill>
              <w14:schemeClr w14:val="tx1"/>
            </w14:solidFill>
          </w14:textFill>
        </w:rPr>
        <w:t>729</w:t>
      </w:r>
      <w:r>
        <w:rPr>
          <w:rFonts w:hint="eastAsia" w:ascii="仿宋" w:hAnsi="仿宋" w:eastAsia="仿宋" w:cs="仿宋"/>
          <w:color w:val="000000" w:themeColor="text1"/>
          <w:szCs w:val="28"/>
          <w14:textFill>
            <w14:solidFill>
              <w14:schemeClr w14:val="tx1"/>
            </w14:solidFill>
          </w14:textFill>
        </w:rPr>
        <w:t>号）</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3</w:t>
      </w:r>
      <w:r>
        <w:rPr>
          <w:rFonts w:hint="eastAsia" w:ascii="仿宋" w:hAnsi="仿宋" w:eastAsia="仿宋" w:cs="仿宋"/>
          <w:color w:val="000000" w:themeColor="text1"/>
          <w:szCs w:val="28"/>
          <w14:textFill>
            <w14:solidFill>
              <w14:schemeClr w14:val="tx1"/>
            </w14:solidFill>
          </w14:textFill>
        </w:rPr>
        <w:t>.《中共中央 国务院关于全面实施预算绩效管理的意见》（中发〔</w:t>
      </w:r>
      <w:r>
        <w:rPr>
          <w:rFonts w:ascii="Times New Roman" w:hAnsi="Times New Roman" w:eastAsia="仿宋" w:cs="Times New Roman"/>
          <w:color w:val="000000" w:themeColor="text1"/>
          <w:szCs w:val="28"/>
          <w14:textFill>
            <w14:solidFill>
              <w14:schemeClr w14:val="tx1"/>
            </w14:solidFill>
          </w14:textFill>
        </w:rPr>
        <w:t>2018</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34</w:t>
      </w:r>
      <w:r>
        <w:rPr>
          <w:rFonts w:hint="eastAsia" w:ascii="仿宋" w:hAnsi="仿宋" w:eastAsia="仿宋" w:cs="仿宋"/>
          <w:color w:val="000000" w:themeColor="text1"/>
          <w:szCs w:val="28"/>
          <w14:textFill>
            <w14:solidFill>
              <w14:schemeClr w14:val="tx1"/>
            </w14:solidFill>
          </w14:textFill>
        </w:rPr>
        <w:t>号）</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4</w:t>
      </w:r>
      <w:r>
        <w:rPr>
          <w:rFonts w:hint="eastAsia" w:ascii="仿宋" w:hAnsi="仿宋" w:eastAsia="仿宋" w:cs="仿宋"/>
          <w:color w:val="000000" w:themeColor="text1"/>
          <w:szCs w:val="28"/>
          <w14:textFill>
            <w14:solidFill>
              <w14:schemeClr w14:val="tx1"/>
            </w14:solidFill>
          </w14:textFill>
        </w:rPr>
        <w:t>.《关于贯彻落实&lt;中共中央 国务院关于全面实施预算绩效管理的意见&gt;的通知》（财预〔</w:t>
      </w:r>
      <w:r>
        <w:rPr>
          <w:rFonts w:ascii="Times New Roman" w:hAnsi="Times New Roman" w:eastAsia="仿宋" w:cs="Times New Roman"/>
          <w:color w:val="000000" w:themeColor="text1"/>
          <w:szCs w:val="28"/>
          <w14:textFill>
            <w14:solidFill>
              <w14:schemeClr w14:val="tx1"/>
            </w14:solidFill>
          </w14:textFill>
        </w:rPr>
        <w:t>2018</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167</w:t>
      </w:r>
      <w:r>
        <w:rPr>
          <w:rFonts w:hint="eastAsia" w:ascii="仿宋" w:hAnsi="仿宋" w:eastAsia="仿宋" w:cs="仿宋"/>
          <w:color w:val="000000" w:themeColor="text1"/>
          <w:szCs w:val="28"/>
          <w14:textFill>
            <w14:solidFill>
              <w14:schemeClr w14:val="tx1"/>
            </w14:solidFill>
          </w14:textFill>
        </w:rPr>
        <w:t>号）</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5</w:t>
      </w:r>
      <w:r>
        <w:rPr>
          <w:rFonts w:hint="eastAsia" w:ascii="仿宋" w:hAnsi="仿宋" w:eastAsia="仿宋" w:cs="仿宋"/>
          <w:color w:val="000000" w:themeColor="text1"/>
          <w:szCs w:val="28"/>
          <w14:textFill>
            <w14:solidFill>
              <w14:schemeClr w14:val="tx1"/>
            </w14:solidFill>
          </w14:textFill>
        </w:rPr>
        <w:t>.《关于印发&lt;项目支出绩效评价管理办法&gt;的通知》（财预〔</w:t>
      </w:r>
      <w:r>
        <w:rPr>
          <w:rFonts w:ascii="Times New Roman" w:hAnsi="Times New Roman" w:eastAsia="仿宋" w:cs="Times New Roman"/>
          <w:color w:val="000000" w:themeColor="text1"/>
          <w:szCs w:val="28"/>
          <w14:textFill>
            <w14:solidFill>
              <w14:schemeClr w14:val="tx1"/>
            </w14:solidFill>
          </w14:textFill>
        </w:rPr>
        <w:t>2020</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10</w:t>
      </w:r>
      <w:r>
        <w:rPr>
          <w:rFonts w:hint="eastAsia" w:ascii="仿宋" w:hAnsi="仿宋" w:eastAsia="仿宋" w:cs="仿宋"/>
          <w:color w:val="000000" w:themeColor="text1"/>
          <w:szCs w:val="28"/>
          <w14:textFill>
            <w14:solidFill>
              <w14:schemeClr w14:val="tx1"/>
            </w14:solidFill>
          </w14:textFill>
        </w:rPr>
        <w:t>号）</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6</w:t>
      </w:r>
      <w:r>
        <w:rPr>
          <w:rFonts w:hint="eastAsia" w:ascii="仿宋" w:hAnsi="仿宋" w:eastAsia="仿宋" w:cs="仿宋"/>
          <w:color w:val="000000" w:themeColor="text1"/>
          <w:szCs w:val="28"/>
          <w14:textFill>
            <w14:solidFill>
              <w14:schemeClr w14:val="tx1"/>
            </w14:solidFill>
          </w14:textFill>
        </w:rPr>
        <w:t>.《国务院关于进一步深化预算管理制度改革的意见》（国发〔</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5</w:t>
      </w:r>
      <w:r>
        <w:rPr>
          <w:rFonts w:hint="eastAsia" w:ascii="仿宋" w:hAnsi="仿宋" w:eastAsia="仿宋" w:cs="仿宋"/>
          <w:color w:val="000000" w:themeColor="text1"/>
          <w:szCs w:val="28"/>
          <w14:textFill>
            <w14:solidFill>
              <w14:schemeClr w14:val="tx1"/>
            </w14:solidFill>
          </w14:textFill>
        </w:rPr>
        <w:t>号）</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7</w:t>
      </w:r>
      <w:r>
        <w:rPr>
          <w:rFonts w:hint="eastAsia" w:ascii="仿宋" w:hAnsi="仿宋" w:eastAsia="仿宋" w:cs="仿宋"/>
          <w:color w:val="000000" w:themeColor="text1"/>
          <w:szCs w:val="28"/>
          <w14:textFill>
            <w14:solidFill>
              <w14:schemeClr w14:val="tx1"/>
            </w14:solidFill>
          </w14:textFill>
        </w:rPr>
        <w:t>.《惠安县人民政府办公室关于印发&lt;惠安县推动旅游业高质量发展的意见&gt;及&lt;惠安县旅游业高质量发展奖励措施&gt;的通知》（惠政办〔</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51</w:t>
      </w:r>
      <w:r>
        <w:rPr>
          <w:rFonts w:hint="eastAsia" w:ascii="仿宋" w:hAnsi="仿宋" w:eastAsia="仿宋" w:cs="仿宋"/>
          <w:color w:val="000000" w:themeColor="text1"/>
          <w:szCs w:val="28"/>
          <w14:textFill>
            <w14:solidFill>
              <w14:schemeClr w14:val="tx1"/>
            </w14:solidFill>
          </w14:textFill>
        </w:rPr>
        <w:t>号）</w:t>
      </w:r>
    </w:p>
    <w:p>
      <w:pPr>
        <w:ind w:firstLine="560" w:firstLineChars="200"/>
        <w:rPr>
          <w:rFonts w:ascii="仿宋" w:hAnsi="仿宋" w:eastAsia="仿宋" w:cs="仿宋"/>
          <w:color w:val="000000" w:themeColor="text1"/>
          <w:szCs w:val="28"/>
          <w14:textFill>
            <w14:solidFill>
              <w14:schemeClr w14:val="tx1"/>
            </w14:solidFill>
          </w14:textFill>
        </w:rPr>
      </w:pPr>
      <w:bookmarkStart w:id="68" w:name="_Hlk115356493"/>
      <w:r>
        <w:rPr>
          <w:rFonts w:ascii="Times New Roman" w:hAnsi="Times New Roman" w:eastAsia="仿宋" w:cs="Times New Roman"/>
          <w:color w:val="000000" w:themeColor="text1"/>
          <w:szCs w:val="28"/>
          <w14:textFill>
            <w14:solidFill>
              <w14:schemeClr w14:val="tx1"/>
            </w14:solidFill>
          </w14:textFill>
        </w:rPr>
        <w:t>8</w:t>
      </w:r>
      <w:r>
        <w:rPr>
          <w:rFonts w:hint="eastAsia" w:ascii="仿宋" w:hAnsi="仿宋" w:eastAsia="仿宋" w:cs="仿宋"/>
          <w:color w:val="000000" w:themeColor="text1"/>
          <w:szCs w:val="28"/>
          <w14:textFill>
            <w14:solidFill>
              <w14:schemeClr w14:val="tx1"/>
            </w14:solidFill>
          </w14:textFill>
        </w:rPr>
        <w:t>.《福建省人民政府关于促进旅游业高质量发展的意见》（闽政〔</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8</w:t>
      </w:r>
      <w:r>
        <w:rPr>
          <w:rFonts w:hint="eastAsia" w:ascii="仿宋" w:hAnsi="仿宋" w:eastAsia="仿宋" w:cs="仿宋"/>
          <w:color w:val="000000" w:themeColor="text1"/>
          <w:szCs w:val="28"/>
          <w14:textFill>
            <w14:solidFill>
              <w14:schemeClr w14:val="tx1"/>
            </w14:solidFill>
          </w14:textFill>
        </w:rPr>
        <w:t>号）</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9</w:t>
      </w:r>
      <w:r>
        <w:rPr>
          <w:rFonts w:hint="eastAsia" w:ascii="仿宋" w:hAnsi="仿宋" w:eastAsia="仿宋" w:cs="仿宋"/>
          <w:color w:val="000000" w:themeColor="text1"/>
          <w:szCs w:val="28"/>
          <w14:textFill>
            <w14:solidFill>
              <w14:schemeClr w14:val="tx1"/>
            </w14:solidFill>
          </w14:textFill>
        </w:rPr>
        <w:t>.《福建省旅游产业发展工作联席会议办公室关于推进全域生态旅游省建设的指导意见》（闽旅产联办明电〔</w:t>
      </w:r>
      <w:r>
        <w:rPr>
          <w:rFonts w:ascii="Times New Roman" w:hAnsi="Times New Roman" w:eastAsia="仿宋" w:cs="Times New Roman"/>
          <w:color w:val="000000" w:themeColor="text1"/>
          <w:szCs w:val="28"/>
          <w14:textFill>
            <w14:solidFill>
              <w14:schemeClr w14:val="tx1"/>
            </w14:solidFill>
          </w14:textFill>
        </w:rPr>
        <w:t>2017</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2</w:t>
      </w:r>
      <w:r>
        <w:rPr>
          <w:rFonts w:hint="eastAsia" w:ascii="仿宋" w:hAnsi="仿宋" w:eastAsia="仿宋" w:cs="仿宋"/>
          <w:color w:val="000000" w:themeColor="text1"/>
          <w:szCs w:val="28"/>
          <w14:textFill>
            <w14:solidFill>
              <w14:schemeClr w14:val="tx1"/>
            </w14:solidFill>
          </w14:textFill>
        </w:rPr>
        <w:t>号）</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10</w:t>
      </w:r>
      <w:r>
        <w:rPr>
          <w:rFonts w:hint="eastAsia" w:ascii="仿宋" w:hAnsi="仿宋" w:eastAsia="仿宋" w:cs="仿宋"/>
          <w:color w:val="000000" w:themeColor="text1"/>
          <w:szCs w:val="28"/>
          <w14:textFill>
            <w14:solidFill>
              <w14:schemeClr w14:val="tx1"/>
            </w14:solidFill>
          </w14:textFill>
        </w:rPr>
        <w:t>.《福建省人民政府办公厅转发省旅发委关于加快推进全域生态旅游实施方案的通知》（闽政办〔</w:t>
      </w:r>
      <w:r>
        <w:rPr>
          <w:rFonts w:ascii="Times New Roman" w:hAnsi="Times New Roman" w:eastAsia="仿宋" w:cs="Times New Roman"/>
          <w:color w:val="000000" w:themeColor="text1"/>
          <w:szCs w:val="28"/>
          <w14:textFill>
            <w14:solidFill>
              <w14:schemeClr w14:val="tx1"/>
            </w14:solidFill>
          </w14:textFill>
        </w:rPr>
        <w:t>2018</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52</w:t>
      </w:r>
      <w:r>
        <w:rPr>
          <w:rFonts w:hint="eastAsia" w:ascii="仿宋" w:hAnsi="仿宋" w:eastAsia="仿宋" w:cs="仿宋"/>
          <w:color w:val="000000" w:themeColor="text1"/>
          <w:szCs w:val="28"/>
          <w14:textFill>
            <w14:solidFill>
              <w14:schemeClr w14:val="tx1"/>
            </w14:solidFill>
          </w14:textFill>
        </w:rPr>
        <w:t>号）</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11</w:t>
      </w:r>
      <w:r>
        <w:rPr>
          <w:rFonts w:hint="eastAsia" w:ascii="仿宋" w:hAnsi="仿宋" w:eastAsia="仿宋" w:cs="仿宋"/>
          <w:color w:val="000000" w:themeColor="text1"/>
          <w:szCs w:val="28"/>
          <w14:textFill>
            <w14:solidFill>
              <w14:schemeClr w14:val="tx1"/>
            </w14:solidFill>
          </w14:textFill>
        </w:rPr>
        <w:t>.《惠安县县级部门预算绩效评价暂行办法》（惠财监〔</w:t>
      </w:r>
      <w:r>
        <w:rPr>
          <w:rFonts w:ascii="Times New Roman" w:hAnsi="Times New Roman" w:eastAsia="仿宋" w:cs="Times New Roman"/>
          <w:color w:val="000000" w:themeColor="text1"/>
          <w:szCs w:val="28"/>
          <w14:textFill>
            <w14:solidFill>
              <w14:schemeClr w14:val="tx1"/>
            </w14:solidFill>
          </w14:textFill>
        </w:rPr>
        <w:t>2022</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166</w:t>
      </w:r>
      <w:r>
        <w:rPr>
          <w:rFonts w:hint="eastAsia" w:ascii="仿宋" w:hAnsi="仿宋" w:eastAsia="仿宋" w:cs="仿宋"/>
          <w:color w:val="000000" w:themeColor="text1"/>
          <w:szCs w:val="28"/>
          <w14:textFill>
            <w14:solidFill>
              <w14:schemeClr w14:val="tx1"/>
            </w14:solidFill>
          </w14:textFill>
        </w:rPr>
        <w:t>号）</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12</w:t>
      </w:r>
      <w:r>
        <w:rPr>
          <w:rFonts w:hint="eastAsia" w:ascii="仿宋" w:hAnsi="仿宋" w:eastAsia="仿宋" w:cs="仿宋"/>
          <w:color w:val="000000" w:themeColor="text1"/>
          <w:szCs w:val="28"/>
          <w14:textFill>
            <w14:solidFill>
              <w14:schemeClr w14:val="tx1"/>
            </w14:solidFill>
          </w14:textFill>
        </w:rPr>
        <w:t>.《关于做好</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年旅游企业疫情专项补助资金申报工作的通知》（惠文旅〔</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126</w:t>
      </w:r>
      <w:r>
        <w:rPr>
          <w:rFonts w:hint="eastAsia" w:ascii="仿宋" w:hAnsi="仿宋" w:eastAsia="仿宋" w:cs="仿宋"/>
          <w:color w:val="000000" w:themeColor="text1"/>
          <w:szCs w:val="28"/>
          <w14:textFill>
            <w14:solidFill>
              <w14:schemeClr w14:val="tx1"/>
            </w14:solidFill>
          </w14:textFill>
        </w:rPr>
        <w:t>号）</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13</w:t>
      </w:r>
      <w:r>
        <w:rPr>
          <w:rFonts w:hint="eastAsia" w:ascii="仿宋" w:hAnsi="仿宋" w:eastAsia="仿宋" w:cs="仿宋"/>
          <w:color w:val="000000" w:themeColor="text1"/>
          <w:szCs w:val="28"/>
          <w14:textFill>
            <w14:solidFill>
              <w14:schemeClr w14:val="tx1"/>
            </w14:solidFill>
          </w14:textFill>
        </w:rPr>
        <w:t>.《惠安县旅游发展专项资金管理办法》</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14</w:t>
      </w:r>
      <w:r>
        <w:rPr>
          <w:rFonts w:hint="eastAsia" w:ascii="仿宋" w:hAnsi="仿宋" w:eastAsia="仿宋" w:cs="仿宋"/>
          <w:color w:val="000000" w:themeColor="text1"/>
          <w:szCs w:val="28"/>
          <w14:textFill>
            <w14:solidFill>
              <w14:schemeClr w14:val="tx1"/>
            </w14:solidFill>
          </w14:textFill>
        </w:rPr>
        <w:t>.《惠安县旅游工作目标管理年度考核办法》</w:t>
      </w:r>
      <w:r>
        <w:rPr>
          <w:rFonts w:hint="eastAsia" w:ascii="仿宋" w:hAnsi="仿宋" w:eastAsia="仿宋" w:cs="仿宋"/>
          <w:color w:val="000000" w:themeColor="text1"/>
          <w:szCs w:val="28"/>
          <w14:textFill>
            <w14:solidFill>
              <w14:schemeClr w14:val="tx1"/>
            </w14:solidFill>
          </w14:textFill>
        </w:rPr>
        <w:tab/>
      </w:r>
      <w:r>
        <w:rPr>
          <w:rFonts w:hint="eastAsia" w:ascii="仿宋" w:hAnsi="仿宋" w:eastAsia="仿宋" w:cs="仿宋"/>
          <w:color w:val="000000" w:themeColor="text1"/>
          <w:szCs w:val="28"/>
          <w14:textFill>
            <w14:solidFill>
              <w14:schemeClr w14:val="tx1"/>
            </w14:solidFill>
          </w14:textFill>
        </w:rPr>
        <w:tab/>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15</w:t>
      </w:r>
      <w:r>
        <w:rPr>
          <w:rFonts w:hint="eastAsia" w:ascii="仿宋" w:hAnsi="仿宋" w:eastAsia="仿宋" w:cs="仿宋"/>
          <w:color w:val="000000" w:themeColor="text1"/>
          <w:szCs w:val="28"/>
          <w14:textFill>
            <w14:solidFill>
              <w14:schemeClr w14:val="tx1"/>
            </w14:solidFill>
          </w14:textFill>
        </w:rPr>
        <w:t>.《惠安县专项资金管理暂行办法》</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16</w:t>
      </w:r>
      <w:r>
        <w:rPr>
          <w:rFonts w:hint="eastAsia" w:ascii="仿宋" w:hAnsi="仿宋" w:eastAsia="仿宋" w:cs="仿宋"/>
          <w:color w:val="000000" w:themeColor="text1"/>
          <w:szCs w:val="28"/>
          <w14:textFill>
            <w14:solidFill>
              <w14:schemeClr w14:val="tx1"/>
            </w14:solidFill>
          </w14:textFill>
        </w:rPr>
        <w:t>.《惠安县人民政府办公室关于印发&lt;加快惠安县酒店服务业发展优惠政策&gt;的通知》（惠政办〔</w:t>
      </w:r>
      <w:r>
        <w:rPr>
          <w:rFonts w:ascii="Times New Roman" w:hAnsi="Times New Roman" w:eastAsia="仿宋" w:cs="Times New Roman"/>
          <w:color w:val="000000" w:themeColor="text1"/>
          <w:szCs w:val="28"/>
          <w14:textFill>
            <w14:solidFill>
              <w14:schemeClr w14:val="tx1"/>
            </w14:solidFill>
          </w14:textFill>
        </w:rPr>
        <w:t>2017</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129</w:t>
      </w:r>
      <w:r>
        <w:rPr>
          <w:rFonts w:hint="eastAsia" w:ascii="仿宋" w:hAnsi="仿宋" w:eastAsia="仿宋" w:cs="仿宋"/>
          <w:color w:val="000000" w:themeColor="text1"/>
          <w:szCs w:val="28"/>
          <w14:textFill>
            <w14:solidFill>
              <w14:schemeClr w14:val="tx1"/>
            </w14:solidFill>
          </w14:textFill>
        </w:rPr>
        <w:t>号）</w:t>
      </w:r>
    </w:p>
    <w:p>
      <w:pPr>
        <w:ind w:firstLine="560" w:firstLineChars="200"/>
        <w:rPr>
          <w:rFonts w:ascii="仿宋" w:hAnsi="仿宋" w:eastAsia="仿宋" w:cs="仿宋"/>
          <w:color w:val="000000" w:themeColor="text1"/>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17</w:t>
      </w:r>
      <w:r>
        <w:rPr>
          <w:rFonts w:hint="eastAsia" w:ascii="仿宋" w:hAnsi="仿宋" w:eastAsia="仿宋" w:cs="仿宋"/>
          <w:color w:val="000000" w:themeColor="text1"/>
          <w:szCs w:val="28"/>
          <w14:textFill>
            <w14:solidFill>
              <w14:schemeClr w14:val="tx1"/>
            </w14:solidFill>
          </w14:textFill>
        </w:rPr>
        <w:t>.部门职责相关规定，相关行业政策、行业标准及专业技术规范及其他项目相关的政策、文件和管理办法等。</w:t>
      </w:r>
    </w:p>
    <w:bookmarkEnd w:id="65"/>
    <w:bookmarkEnd w:id="68"/>
    <w:p>
      <w:pPr>
        <w:spacing w:before="190" w:beforeLines="50" w:after="190" w:afterLines="50"/>
        <w:ind w:firstLine="643" w:firstLineChars="200"/>
        <w:outlineLvl w:val="1"/>
        <w:rPr>
          <w:rFonts w:ascii="Times New Roman" w:hAnsi="Times New Roman" w:eastAsia="仿宋" w:cs="Times New Roman"/>
          <w:b/>
          <w:color w:val="000000" w:themeColor="text1"/>
          <w:sz w:val="32"/>
          <w:szCs w:val="32"/>
          <w14:textFill>
            <w14:solidFill>
              <w14:schemeClr w14:val="tx1"/>
            </w14:solidFill>
          </w14:textFill>
        </w:rPr>
      </w:pPr>
      <w:bookmarkStart w:id="69" w:name="_Toc126353963"/>
      <w:bookmarkStart w:id="70" w:name="_Toc31602"/>
      <w:bookmarkStart w:id="71" w:name="_Toc913884773"/>
      <w:r>
        <w:rPr>
          <w:rFonts w:ascii="Times New Roman" w:hAnsi="Times New Roman" w:eastAsia="仿宋" w:cs="Times New Roman"/>
          <w:b/>
          <w:color w:val="000000" w:themeColor="text1"/>
          <w:sz w:val="32"/>
          <w:szCs w:val="32"/>
          <w14:textFill>
            <w14:solidFill>
              <w14:schemeClr w14:val="tx1"/>
            </w14:solidFill>
          </w14:textFill>
        </w:rPr>
        <w:t>九、评价开展过程</w:t>
      </w:r>
      <w:bookmarkEnd w:id="69"/>
      <w:bookmarkEnd w:id="70"/>
      <w:bookmarkEnd w:id="71"/>
    </w:p>
    <w:p>
      <w:pPr>
        <w:ind w:firstLine="560" w:firstLineChars="200"/>
        <w:rPr>
          <w:rFonts w:ascii="Times New Roman" w:hAnsi="Times New Roman" w:eastAsia="仿宋" w:cs="Times New Roman"/>
          <w:color w:val="000000" w:themeColor="text1"/>
          <w:szCs w:val="28"/>
          <w14:textFill>
            <w14:solidFill>
              <w14:schemeClr w14:val="tx1"/>
            </w14:solidFill>
          </w14:textFill>
        </w:rPr>
      </w:pPr>
      <w:bookmarkStart w:id="72" w:name="_Hlk115358607"/>
      <w:r>
        <w:rPr>
          <w:rFonts w:ascii="Times New Roman" w:hAnsi="Times New Roman" w:eastAsia="仿宋" w:cs="Times New Roman"/>
          <w:color w:val="000000" w:themeColor="text1"/>
          <w:szCs w:val="28"/>
          <w14:textFill>
            <w14:solidFill>
              <w14:schemeClr w14:val="tx1"/>
            </w14:solidFill>
          </w14:textFill>
        </w:rPr>
        <w:t>本次绩效评价工作共经历前期准备、组织实施、报告形成三个阶段。</w:t>
      </w:r>
    </w:p>
    <w:p>
      <w:pPr>
        <w:ind w:firstLine="562" w:firstLineChars="200"/>
        <w:outlineLvl w:val="2"/>
        <w:rPr>
          <w:rFonts w:ascii="Times New Roman" w:hAnsi="Times New Roman" w:eastAsia="仿宋" w:cs="Times New Roman"/>
          <w:b/>
          <w:bCs/>
          <w:color w:val="000000" w:themeColor="text1"/>
          <w:szCs w:val="28"/>
          <w14:textFill>
            <w14:solidFill>
              <w14:schemeClr w14:val="tx1"/>
            </w14:solidFill>
          </w14:textFill>
        </w:rPr>
      </w:pPr>
      <w:bookmarkStart w:id="73" w:name="_Toc2556"/>
      <w:bookmarkStart w:id="74" w:name="_Toc126353964"/>
      <w:r>
        <w:rPr>
          <w:rFonts w:ascii="Times New Roman" w:hAnsi="Times New Roman" w:eastAsia="仿宋" w:cs="Times New Roman"/>
          <w:b/>
          <w:bCs/>
          <w:color w:val="000000" w:themeColor="text1"/>
          <w:szCs w:val="28"/>
          <w14:textFill>
            <w14:solidFill>
              <w14:schemeClr w14:val="tx1"/>
            </w14:solidFill>
          </w14:textFill>
        </w:rPr>
        <w:t>（一）前期准备阶段</w:t>
      </w:r>
      <w:bookmarkEnd w:id="73"/>
      <w:bookmarkEnd w:id="74"/>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1</w:t>
      </w:r>
      <w:r>
        <w:rPr>
          <w:rFonts w:hint="eastAsia" w:ascii="仿宋" w:hAnsi="仿宋" w:eastAsia="仿宋" w:cs="仿宋"/>
          <w:color w:val="000000" w:themeColor="text1"/>
          <w:szCs w:val="28"/>
          <w14:textFill>
            <w14:solidFill>
              <w14:schemeClr w14:val="tx1"/>
            </w14:solidFill>
          </w14:textFill>
        </w:rPr>
        <w:t>.成立绩效评价工作组</w:t>
      </w:r>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为做好项目的预算绩效评价工作，研究中心成立了专门的项目绩效评价工作组：福州市韦兰信息科技有限公司惠安财政重点绩效评价团队。</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2</w:t>
      </w:r>
      <w:r>
        <w:rPr>
          <w:rFonts w:hint="eastAsia" w:ascii="仿宋" w:hAnsi="仿宋" w:eastAsia="仿宋" w:cs="仿宋"/>
          <w:color w:val="000000" w:themeColor="text1"/>
          <w:szCs w:val="28"/>
          <w14:textFill>
            <w14:solidFill>
              <w14:schemeClr w14:val="tx1"/>
            </w14:solidFill>
          </w14:textFill>
        </w:rPr>
        <w:t>.资料收集与现场沟通</w:t>
      </w:r>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工作组在明确委托方要求的基础上，对惠安县财务局所收集的评价工作所需的基础材料（包括：项目绩效自评报告、绩效目标自评表及相关佐证材料；资金拨付材料；项目实施制度及资金管理办法；资金支出明细账、决算报表、结算验收有关材料），自行收集省内其他地市的相关政策及政策实施状况，其他相关文献资料等。</w:t>
      </w:r>
      <w:r>
        <w:rPr>
          <w:rFonts w:ascii="Times New Roman" w:hAnsi="Times New Roman" w:eastAsia="仿宋" w:cs="Times New Roman"/>
          <w:color w:val="000000" w:themeColor="text1"/>
          <w:szCs w:val="28"/>
          <w14:textFill>
            <w14:solidFill>
              <w14:schemeClr w14:val="tx1"/>
            </w14:solidFill>
          </w14:textFill>
        </w:rPr>
        <w:t>2023</w:t>
      </w:r>
      <w:r>
        <w:rPr>
          <w:rFonts w:hint="eastAsia" w:ascii="仿宋" w:hAnsi="仿宋" w:eastAsia="仿宋" w:cs="仿宋"/>
          <w:color w:val="000000" w:themeColor="text1"/>
          <w:szCs w:val="28"/>
          <w14:textFill>
            <w14:solidFill>
              <w14:schemeClr w14:val="tx1"/>
            </w14:solidFill>
          </w14:textFill>
        </w:rPr>
        <w:t>年</w:t>
      </w:r>
      <w:r>
        <w:rPr>
          <w:rFonts w:ascii="Times New Roman" w:hAnsi="Times New Roman" w:eastAsia="仿宋" w:cs="Times New Roman"/>
          <w:color w:val="000000" w:themeColor="text1"/>
          <w:szCs w:val="28"/>
          <w14:textFill>
            <w14:solidFill>
              <w14:schemeClr w14:val="tx1"/>
            </w14:solidFill>
          </w14:textFill>
        </w:rPr>
        <w:t>10</w:t>
      </w:r>
      <w:r>
        <w:rPr>
          <w:rFonts w:hint="eastAsia" w:ascii="仿宋" w:hAnsi="仿宋" w:eastAsia="仿宋" w:cs="仿宋"/>
          <w:color w:val="000000" w:themeColor="text1"/>
          <w:szCs w:val="28"/>
          <w14:textFill>
            <w14:solidFill>
              <w14:schemeClr w14:val="tx1"/>
            </w14:solidFill>
          </w14:textFill>
        </w:rPr>
        <w:t>月下旬开始，工作组对收集的数据和资料进行整理、汇总、分析。</w:t>
      </w:r>
      <w:r>
        <w:rPr>
          <w:rFonts w:ascii="Times New Roman" w:hAnsi="Times New Roman" w:eastAsia="仿宋" w:cs="Times New Roman"/>
          <w:color w:val="000000" w:themeColor="text1"/>
          <w:szCs w:val="28"/>
          <w14:textFill>
            <w14:solidFill>
              <w14:schemeClr w14:val="tx1"/>
            </w14:solidFill>
          </w14:textFill>
        </w:rPr>
        <w:t>2023</w:t>
      </w:r>
      <w:r>
        <w:rPr>
          <w:rFonts w:hint="eastAsia" w:ascii="仿宋" w:hAnsi="仿宋" w:eastAsia="仿宋" w:cs="仿宋"/>
          <w:color w:val="000000" w:themeColor="text1"/>
          <w:szCs w:val="28"/>
          <w14:textFill>
            <w14:solidFill>
              <w14:schemeClr w14:val="tx1"/>
            </w14:solidFill>
          </w14:textFill>
        </w:rPr>
        <w:t>年</w:t>
      </w:r>
      <w:r>
        <w:rPr>
          <w:rFonts w:ascii="Times New Roman" w:hAnsi="Times New Roman" w:eastAsia="仿宋" w:cs="Times New Roman"/>
          <w:color w:val="000000" w:themeColor="text1"/>
          <w:szCs w:val="28"/>
          <w14:textFill>
            <w14:solidFill>
              <w14:schemeClr w14:val="tx1"/>
            </w14:solidFill>
          </w14:textFill>
        </w:rPr>
        <w:t>11</w:t>
      </w:r>
      <w:r>
        <w:rPr>
          <w:rFonts w:hint="eastAsia" w:ascii="仿宋" w:hAnsi="仿宋" w:eastAsia="仿宋" w:cs="仿宋"/>
          <w:color w:val="000000" w:themeColor="text1"/>
          <w:szCs w:val="28"/>
          <w14:textFill>
            <w14:solidFill>
              <w14:schemeClr w14:val="tx1"/>
            </w14:solidFill>
          </w14:textFill>
        </w:rPr>
        <w:t>月上旬，在惠安市财政局的支持下，通过实地调研和同项目相关部门会谈，初步了解项目设立和具体运行的情况。工作组在对项目相关资料充分收集的基础上，结合项目的实际情况，对评价指标体系进行了初步设置。</w:t>
      </w:r>
    </w:p>
    <w:p>
      <w:pPr>
        <w:ind w:firstLine="560" w:firstLineChars="200"/>
        <w:rPr>
          <w:rFonts w:ascii="仿宋" w:hAnsi="仿宋" w:eastAsia="仿宋" w:cs="仿宋"/>
          <w:color w:val="000000" w:themeColor="text1"/>
          <w:szCs w:val="28"/>
          <w14:textFill>
            <w14:solidFill>
              <w14:schemeClr w14:val="tx1"/>
            </w14:solidFill>
          </w14:textFill>
        </w:rPr>
      </w:pPr>
      <w:r>
        <w:rPr>
          <w:rFonts w:ascii="Times New Roman" w:hAnsi="Times New Roman" w:eastAsia="仿宋" w:cs="Times New Roman"/>
          <w:color w:val="000000" w:themeColor="text1"/>
          <w:szCs w:val="28"/>
          <w14:textFill>
            <w14:solidFill>
              <w14:schemeClr w14:val="tx1"/>
            </w14:solidFill>
          </w14:textFill>
        </w:rPr>
        <w:t>3</w:t>
      </w:r>
      <w:r>
        <w:rPr>
          <w:rFonts w:hint="eastAsia" w:ascii="仿宋" w:hAnsi="仿宋" w:eastAsia="仿宋" w:cs="仿宋"/>
          <w:color w:val="000000" w:themeColor="text1"/>
          <w:szCs w:val="28"/>
          <w14:textFill>
            <w14:solidFill>
              <w14:schemeClr w14:val="tx1"/>
            </w14:solidFill>
          </w14:textFill>
        </w:rPr>
        <w:t>.制定实施方案</w:t>
      </w:r>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在收集和审核项目资料的基础上，根据《第三方机构预算绩效评价业务监督管理暂行办法》（财监〔</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4</w:t>
      </w:r>
      <w:r>
        <w:rPr>
          <w:rFonts w:hint="eastAsia" w:ascii="仿宋" w:hAnsi="仿宋" w:eastAsia="仿宋" w:cs="仿宋"/>
          <w:color w:val="000000" w:themeColor="text1"/>
          <w:szCs w:val="28"/>
          <w14:textFill>
            <w14:solidFill>
              <w14:schemeClr w14:val="tx1"/>
            </w14:solidFill>
          </w14:textFill>
        </w:rPr>
        <w:t>号）和《财政部关于印发项目支出绩效评价管理办法的通知》（财预〔</w:t>
      </w:r>
      <w:r>
        <w:rPr>
          <w:rFonts w:ascii="Times New Roman" w:hAnsi="Times New Roman" w:eastAsia="仿宋" w:cs="Times New Roman"/>
          <w:color w:val="000000" w:themeColor="text1"/>
          <w:szCs w:val="28"/>
          <w14:textFill>
            <w14:solidFill>
              <w14:schemeClr w14:val="tx1"/>
            </w14:solidFill>
          </w14:textFill>
        </w:rPr>
        <w:t>2020</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10</w:t>
      </w:r>
      <w:r>
        <w:rPr>
          <w:rFonts w:hint="eastAsia" w:ascii="仿宋" w:hAnsi="仿宋" w:eastAsia="仿宋" w:cs="仿宋"/>
          <w:color w:val="000000" w:themeColor="text1"/>
          <w:szCs w:val="28"/>
          <w14:textFill>
            <w14:solidFill>
              <w14:schemeClr w14:val="tx1"/>
            </w14:solidFill>
          </w14:textFill>
        </w:rPr>
        <w:t>号）要求，工作组进一步完善项目绩效评价指标体系并制定实施方案。方案中明确了本次绩效评价的人员配置、时间安排、评价目的、评价内容、评价依据、评价方法、指标体系、评价标准、样本确定、调查问卷、资料清单以及工作纪律等。</w:t>
      </w:r>
    </w:p>
    <w:p>
      <w:pPr>
        <w:ind w:firstLine="562" w:firstLineChars="200"/>
        <w:outlineLvl w:val="2"/>
        <w:rPr>
          <w:rFonts w:ascii="仿宋" w:hAnsi="仿宋" w:eastAsia="仿宋" w:cs="仿宋"/>
          <w:b/>
          <w:bCs/>
          <w:color w:val="000000" w:themeColor="text1"/>
          <w:szCs w:val="28"/>
          <w14:textFill>
            <w14:solidFill>
              <w14:schemeClr w14:val="tx1"/>
            </w14:solidFill>
          </w14:textFill>
        </w:rPr>
      </w:pPr>
      <w:bookmarkStart w:id="75" w:name="_Toc12077"/>
      <w:bookmarkStart w:id="76" w:name="_Toc126353965"/>
      <w:r>
        <w:rPr>
          <w:rFonts w:hint="eastAsia" w:ascii="仿宋" w:hAnsi="仿宋" w:eastAsia="仿宋" w:cs="仿宋"/>
          <w:b/>
          <w:bCs/>
          <w:color w:val="000000" w:themeColor="text1"/>
          <w:szCs w:val="28"/>
          <w14:textFill>
            <w14:solidFill>
              <w14:schemeClr w14:val="tx1"/>
            </w14:solidFill>
          </w14:textFill>
        </w:rPr>
        <w:t>（二）组织实施阶段</w:t>
      </w:r>
      <w:bookmarkEnd w:id="75"/>
      <w:bookmarkEnd w:id="76"/>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为获取更多第一手客观的评价依据，工作组在与项目单位进行充分沟通的基础上，并赴惠安县文旅局展开现场调研。在现场调研过程中，工作组充分了解项目实施情况，查看相关材料和工作记录，核实资金支出的方向和用途，并将前期梳理的疑问与项目单位交换了意见。</w:t>
      </w:r>
    </w:p>
    <w:p>
      <w:pPr>
        <w:ind w:firstLine="562" w:firstLineChars="200"/>
        <w:outlineLvl w:val="2"/>
        <w:rPr>
          <w:rFonts w:ascii="仿宋" w:hAnsi="仿宋" w:eastAsia="仿宋" w:cs="仿宋"/>
          <w:b/>
          <w:bCs/>
          <w:color w:val="000000" w:themeColor="text1"/>
          <w:szCs w:val="28"/>
          <w14:textFill>
            <w14:solidFill>
              <w14:schemeClr w14:val="tx1"/>
            </w14:solidFill>
          </w14:textFill>
        </w:rPr>
      </w:pPr>
      <w:bookmarkStart w:id="77" w:name="_Toc126353966"/>
      <w:bookmarkStart w:id="78" w:name="_Toc27423"/>
      <w:r>
        <w:rPr>
          <w:rFonts w:hint="eastAsia" w:ascii="仿宋" w:hAnsi="仿宋" w:eastAsia="仿宋" w:cs="仿宋"/>
          <w:b/>
          <w:bCs/>
          <w:color w:val="000000" w:themeColor="text1"/>
          <w:szCs w:val="28"/>
          <w14:textFill>
            <w14:solidFill>
              <w14:schemeClr w14:val="tx1"/>
            </w14:solidFill>
          </w14:textFill>
        </w:rPr>
        <w:t>（三）报告形成阶段</w:t>
      </w:r>
      <w:bookmarkEnd w:id="77"/>
      <w:bookmarkEnd w:id="78"/>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综合前期收集和审核的项目资料、</w:t>
      </w:r>
      <w:r>
        <w:rPr>
          <w:rFonts w:hint="eastAsia" w:ascii="仿宋" w:hAnsi="仿宋" w:eastAsia="仿宋" w:cs="仿宋"/>
          <w:color w:val="000000" w:themeColor="text1"/>
          <w:szCs w:val="28"/>
          <w14:textFill>
            <w14:solidFill>
              <w14:schemeClr w14:val="tx1"/>
            </w14:solidFill>
          </w14:textFill>
        </w:rPr>
        <w:drawing>
          <wp:inline distT="0" distB="0" distL="0" distR="0">
            <wp:extent cx="9525" cy="9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inline>
        </w:drawing>
      </w:r>
      <w:r>
        <w:rPr>
          <w:rFonts w:hint="eastAsia" w:ascii="仿宋" w:hAnsi="仿宋" w:eastAsia="仿宋" w:cs="仿宋"/>
          <w:color w:val="000000" w:themeColor="text1"/>
          <w:szCs w:val="28"/>
          <w14:textFill>
            <w14:solidFill>
              <w14:schemeClr w14:val="tx1"/>
            </w14:solidFill>
          </w14:textFill>
        </w:rPr>
        <w:t>现场调研的结果等情况，工作组对项目情况进行了综合分析，并按照规定的文本格式和相关要求撰写了评价报告。工作组根据评价的分值，确定项目最终等级。评价等级分为优、良、中、差四个等级，如表</w:t>
      </w:r>
      <w:r>
        <w:rPr>
          <w:rFonts w:ascii="Times New Roman" w:hAnsi="Times New Roman" w:eastAsia="仿宋" w:cs="Times New Roman"/>
          <w:color w:val="000000" w:themeColor="text1"/>
          <w:szCs w:val="28"/>
          <w14:textFill>
            <w14:solidFill>
              <w14:schemeClr w14:val="tx1"/>
            </w14:solidFill>
          </w14:textFill>
        </w:rPr>
        <w:t>2</w:t>
      </w:r>
      <w:r>
        <w:rPr>
          <w:rFonts w:hint="eastAsia" w:ascii="仿宋" w:hAnsi="仿宋" w:eastAsia="仿宋" w:cs="仿宋"/>
          <w:color w:val="000000" w:themeColor="text1"/>
          <w:szCs w:val="28"/>
          <w14:textFill>
            <w14:solidFill>
              <w14:schemeClr w14:val="tx1"/>
            </w14:solidFill>
          </w14:textFill>
        </w:rPr>
        <w:t>所示。</w:t>
      </w:r>
    </w:p>
    <w:p>
      <w:pPr>
        <w:spacing w:before="381" w:beforeLines="100"/>
        <w:ind w:firstLine="482" w:firstLineChars="200"/>
        <w:jc w:val="center"/>
        <w:rPr>
          <w:rFonts w:ascii="Times New Roman" w:hAnsi="Times New Roman" w:eastAsia="仿宋" w:cs="Times New Roman"/>
          <w:b/>
          <w:bCs/>
          <w:color w:val="000000" w:themeColor="text1"/>
          <w:sz w:val="24"/>
          <w14:textFill>
            <w14:solidFill>
              <w14:schemeClr w14:val="tx1"/>
            </w14:solidFill>
          </w14:textFill>
        </w:rPr>
      </w:pPr>
      <w:r>
        <w:rPr>
          <w:rFonts w:ascii="Times New Roman" w:hAnsi="Times New Roman" w:eastAsia="仿宋" w:cs="Times New Roman"/>
          <w:b/>
          <w:bCs/>
          <w:color w:val="000000" w:themeColor="text1"/>
          <w:sz w:val="24"/>
          <w14:textFill>
            <w14:solidFill>
              <w14:schemeClr w14:val="tx1"/>
            </w14:solidFill>
          </w14:textFill>
        </w:rPr>
        <w:t>表2 评价得分与等级对应表</w:t>
      </w:r>
    </w:p>
    <w:bookmarkEnd w:id="72"/>
    <w:tbl>
      <w:tblPr>
        <w:tblStyle w:val="13"/>
        <w:tblW w:w="8757"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1"/>
        <w:gridCol w:w="1525"/>
        <w:gridCol w:w="2270"/>
        <w:gridCol w:w="2193"/>
        <w:gridCol w:w="1918"/>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851" w:type="dxa"/>
            <w:tcBorders>
              <w:bottom w:val="single" w:color="auto" w:sz="4" w:space="0"/>
            </w:tcBorders>
            <w:vAlign w:val="center"/>
          </w:tcPr>
          <w:p>
            <w:pPr>
              <w:spacing w:line="240" w:lineRule="auto"/>
              <w:rPr>
                <w:rFonts w:ascii="仿宋" w:hAnsi="仿宋" w:eastAsia="仿宋" w:cs="仿宋"/>
                <w:color w:val="000000" w:themeColor="text1"/>
                <w:kern w:val="44"/>
                <w:sz w:val="22"/>
                <w:szCs w:val="22"/>
                <w14:textFill>
                  <w14:solidFill>
                    <w14:schemeClr w14:val="tx1"/>
                  </w14:solidFill>
                </w14:textFill>
              </w:rPr>
            </w:pPr>
            <w:r>
              <w:rPr>
                <w:rFonts w:hint="eastAsia" w:ascii="仿宋" w:hAnsi="仿宋" w:eastAsia="仿宋" w:cs="仿宋"/>
                <w:color w:val="000000" w:themeColor="text1"/>
                <w:kern w:val="44"/>
                <w:sz w:val="22"/>
                <w:szCs w:val="22"/>
                <w14:textFill>
                  <w14:solidFill>
                    <w14:schemeClr w14:val="tx1"/>
                  </w14:solidFill>
                </w14:textFill>
              </w:rPr>
              <w:t>等级</w:t>
            </w:r>
          </w:p>
        </w:tc>
        <w:tc>
          <w:tcPr>
            <w:tcW w:w="1525" w:type="dxa"/>
            <w:tcBorders>
              <w:bottom w:val="single" w:color="auto" w:sz="4" w:space="0"/>
            </w:tcBorders>
            <w:vAlign w:val="center"/>
          </w:tcPr>
          <w:p>
            <w:pPr>
              <w:spacing w:line="240" w:lineRule="auto"/>
              <w:jc w:val="center"/>
              <w:rPr>
                <w:rFonts w:ascii="仿宋" w:hAnsi="仿宋" w:eastAsia="仿宋" w:cs="仿宋"/>
                <w:color w:val="000000" w:themeColor="text1"/>
                <w:kern w:val="44"/>
                <w:sz w:val="22"/>
                <w:szCs w:val="22"/>
                <w14:textFill>
                  <w14:solidFill>
                    <w14:schemeClr w14:val="tx1"/>
                  </w14:solidFill>
                </w14:textFill>
              </w:rPr>
            </w:pPr>
            <w:r>
              <w:rPr>
                <w:rFonts w:hint="eastAsia" w:ascii="仿宋" w:hAnsi="仿宋" w:eastAsia="仿宋" w:cs="仿宋"/>
                <w:color w:val="000000" w:themeColor="text1"/>
                <w:kern w:val="44"/>
                <w:sz w:val="22"/>
                <w:szCs w:val="22"/>
                <w14:textFill>
                  <w14:solidFill>
                    <w14:schemeClr w14:val="tx1"/>
                  </w14:solidFill>
                </w14:textFill>
              </w:rPr>
              <w:t>优</w:t>
            </w:r>
          </w:p>
        </w:tc>
        <w:tc>
          <w:tcPr>
            <w:tcW w:w="2270" w:type="dxa"/>
            <w:tcBorders>
              <w:bottom w:val="single" w:color="auto" w:sz="4" w:space="0"/>
            </w:tcBorders>
            <w:vAlign w:val="center"/>
          </w:tcPr>
          <w:p>
            <w:pPr>
              <w:spacing w:line="240" w:lineRule="auto"/>
              <w:jc w:val="center"/>
              <w:rPr>
                <w:rFonts w:ascii="仿宋" w:hAnsi="仿宋" w:eastAsia="仿宋" w:cs="仿宋"/>
                <w:color w:val="000000" w:themeColor="text1"/>
                <w:kern w:val="44"/>
                <w:sz w:val="22"/>
                <w:szCs w:val="22"/>
                <w14:textFill>
                  <w14:solidFill>
                    <w14:schemeClr w14:val="tx1"/>
                  </w14:solidFill>
                </w14:textFill>
              </w:rPr>
            </w:pPr>
            <w:r>
              <w:rPr>
                <w:rFonts w:hint="eastAsia" w:ascii="仿宋" w:hAnsi="仿宋" w:eastAsia="仿宋" w:cs="仿宋"/>
                <w:color w:val="000000" w:themeColor="text1"/>
                <w:kern w:val="44"/>
                <w:sz w:val="22"/>
                <w:szCs w:val="22"/>
                <w14:textFill>
                  <w14:solidFill>
                    <w14:schemeClr w14:val="tx1"/>
                  </w14:solidFill>
                </w14:textFill>
              </w:rPr>
              <w:t>良</w:t>
            </w:r>
          </w:p>
        </w:tc>
        <w:tc>
          <w:tcPr>
            <w:tcW w:w="2193" w:type="dxa"/>
            <w:tcBorders>
              <w:bottom w:val="single" w:color="auto" w:sz="4" w:space="0"/>
            </w:tcBorders>
            <w:vAlign w:val="center"/>
          </w:tcPr>
          <w:p>
            <w:pPr>
              <w:spacing w:line="240" w:lineRule="auto"/>
              <w:jc w:val="center"/>
              <w:rPr>
                <w:rFonts w:ascii="仿宋" w:hAnsi="仿宋" w:eastAsia="仿宋" w:cs="仿宋"/>
                <w:color w:val="000000" w:themeColor="text1"/>
                <w:kern w:val="44"/>
                <w:sz w:val="22"/>
                <w:szCs w:val="22"/>
                <w14:textFill>
                  <w14:solidFill>
                    <w14:schemeClr w14:val="tx1"/>
                  </w14:solidFill>
                </w14:textFill>
              </w:rPr>
            </w:pPr>
            <w:r>
              <w:rPr>
                <w:rFonts w:hint="eastAsia" w:ascii="仿宋" w:hAnsi="仿宋" w:eastAsia="仿宋" w:cs="仿宋"/>
                <w:color w:val="000000" w:themeColor="text1"/>
                <w:kern w:val="44"/>
                <w:sz w:val="22"/>
                <w:szCs w:val="22"/>
                <w14:textFill>
                  <w14:solidFill>
                    <w14:schemeClr w14:val="tx1"/>
                  </w14:solidFill>
                </w14:textFill>
              </w:rPr>
              <w:t>中</w:t>
            </w:r>
          </w:p>
        </w:tc>
        <w:tc>
          <w:tcPr>
            <w:tcW w:w="1918" w:type="dxa"/>
            <w:tcBorders>
              <w:bottom w:val="single" w:color="auto" w:sz="4" w:space="0"/>
            </w:tcBorders>
            <w:vAlign w:val="center"/>
          </w:tcPr>
          <w:p>
            <w:pPr>
              <w:spacing w:line="240" w:lineRule="auto"/>
              <w:jc w:val="center"/>
              <w:rPr>
                <w:rFonts w:ascii="仿宋" w:hAnsi="仿宋" w:eastAsia="仿宋" w:cs="仿宋"/>
                <w:color w:val="000000" w:themeColor="text1"/>
                <w:kern w:val="44"/>
                <w:sz w:val="22"/>
                <w:szCs w:val="22"/>
                <w14:textFill>
                  <w14:solidFill>
                    <w14:schemeClr w14:val="tx1"/>
                  </w14:solidFill>
                </w14:textFill>
              </w:rPr>
            </w:pPr>
            <w:r>
              <w:rPr>
                <w:rFonts w:hint="eastAsia" w:ascii="仿宋" w:hAnsi="仿宋" w:eastAsia="仿宋" w:cs="仿宋"/>
                <w:color w:val="000000" w:themeColor="text1"/>
                <w:kern w:val="44"/>
                <w:sz w:val="22"/>
                <w:szCs w:val="22"/>
                <w14:textFill>
                  <w14:solidFill>
                    <w14:schemeClr w14:val="tx1"/>
                  </w14:solidFill>
                </w14:textFill>
              </w:rPr>
              <w:t>差</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851" w:type="dxa"/>
            <w:tcBorders>
              <w:top w:val="single" w:color="auto" w:sz="4" w:space="0"/>
              <w:bottom w:val="single" w:color="auto" w:sz="12" w:space="0"/>
            </w:tcBorders>
            <w:vAlign w:val="center"/>
          </w:tcPr>
          <w:p>
            <w:pPr>
              <w:spacing w:line="240" w:lineRule="auto"/>
              <w:rPr>
                <w:rFonts w:ascii="仿宋" w:hAnsi="仿宋" w:eastAsia="仿宋" w:cs="仿宋"/>
                <w:color w:val="000000" w:themeColor="text1"/>
                <w:kern w:val="44"/>
                <w:sz w:val="22"/>
                <w:szCs w:val="22"/>
                <w14:textFill>
                  <w14:solidFill>
                    <w14:schemeClr w14:val="tx1"/>
                  </w14:solidFill>
                </w14:textFill>
              </w:rPr>
            </w:pPr>
            <w:r>
              <w:rPr>
                <w:rFonts w:hint="eastAsia" w:ascii="仿宋" w:hAnsi="仿宋" w:eastAsia="仿宋" w:cs="仿宋"/>
                <w:color w:val="000000" w:themeColor="text1"/>
                <w:kern w:val="44"/>
                <w:sz w:val="22"/>
                <w:szCs w:val="22"/>
                <w14:textFill>
                  <w14:solidFill>
                    <w14:schemeClr w14:val="tx1"/>
                  </w14:solidFill>
                </w14:textFill>
              </w:rPr>
              <w:t>标准</w:t>
            </w:r>
          </w:p>
        </w:tc>
        <w:tc>
          <w:tcPr>
            <w:tcW w:w="1525" w:type="dxa"/>
            <w:tcBorders>
              <w:top w:val="single" w:color="auto" w:sz="4" w:space="0"/>
              <w:bottom w:val="single" w:color="auto" w:sz="12" w:space="0"/>
            </w:tcBorders>
            <w:vAlign w:val="center"/>
          </w:tcPr>
          <w:p>
            <w:pPr>
              <w:spacing w:line="240" w:lineRule="auto"/>
              <w:jc w:val="center"/>
              <w:rPr>
                <w:rFonts w:ascii="仿宋" w:hAnsi="仿宋" w:eastAsia="仿宋" w:cs="仿宋"/>
                <w:color w:val="000000" w:themeColor="text1"/>
                <w:kern w:val="44"/>
                <w:sz w:val="22"/>
                <w:szCs w:val="22"/>
                <w14:textFill>
                  <w14:solidFill>
                    <w14:schemeClr w14:val="tx1"/>
                  </w14:solidFill>
                </w14:textFill>
              </w:rPr>
            </w:pPr>
            <w:r>
              <w:rPr>
                <w:rFonts w:hint="eastAsia" w:ascii="仿宋" w:hAnsi="仿宋" w:eastAsia="仿宋" w:cs="仿宋"/>
                <w:color w:val="000000" w:themeColor="text1"/>
                <w:kern w:val="44"/>
                <w:sz w:val="22"/>
                <w:szCs w:val="22"/>
                <w14:textFill>
                  <w14:solidFill>
                    <w14:schemeClr w14:val="tx1"/>
                  </w14:solidFill>
                </w14:textFill>
              </w:rPr>
              <w:t>≥</w:t>
            </w:r>
            <w:r>
              <w:rPr>
                <w:rFonts w:ascii="Times New Roman" w:hAnsi="Times New Roman" w:eastAsia="仿宋" w:cs="Times New Roman"/>
                <w:color w:val="000000" w:themeColor="text1"/>
                <w:kern w:val="44"/>
                <w:sz w:val="22"/>
                <w:szCs w:val="22"/>
                <w14:textFill>
                  <w14:solidFill>
                    <w14:schemeClr w14:val="tx1"/>
                  </w14:solidFill>
                </w14:textFill>
              </w:rPr>
              <w:t>90</w:t>
            </w:r>
            <w:r>
              <w:rPr>
                <w:rFonts w:hint="eastAsia" w:ascii="仿宋" w:hAnsi="仿宋" w:eastAsia="仿宋" w:cs="仿宋"/>
                <w:color w:val="000000" w:themeColor="text1"/>
                <w:kern w:val="44"/>
                <w:sz w:val="22"/>
                <w:szCs w:val="22"/>
                <w14:textFill>
                  <w14:solidFill>
                    <w14:schemeClr w14:val="tx1"/>
                  </w14:solidFill>
                </w14:textFill>
              </w:rPr>
              <w:t>分</w:t>
            </w:r>
          </w:p>
        </w:tc>
        <w:tc>
          <w:tcPr>
            <w:tcW w:w="2270" w:type="dxa"/>
            <w:tcBorders>
              <w:top w:val="single" w:color="auto" w:sz="4" w:space="0"/>
              <w:bottom w:val="single" w:color="auto" w:sz="12" w:space="0"/>
            </w:tcBorders>
            <w:vAlign w:val="center"/>
          </w:tcPr>
          <w:p>
            <w:pPr>
              <w:spacing w:line="240" w:lineRule="auto"/>
              <w:jc w:val="center"/>
              <w:rPr>
                <w:rFonts w:ascii="仿宋" w:hAnsi="仿宋" w:eastAsia="仿宋" w:cs="仿宋"/>
                <w:color w:val="000000" w:themeColor="text1"/>
                <w:kern w:val="44"/>
                <w:sz w:val="22"/>
                <w:szCs w:val="22"/>
                <w14:textFill>
                  <w14:solidFill>
                    <w14:schemeClr w14:val="tx1"/>
                  </w14:solidFill>
                </w14:textFill>
              </w:rPr>
            </w:pPr>
            <w:r>
              <w:rPr>
                <w:rFonts w:ascii="Times New Roman" w:hAnsi="Times New Roman" w:eastAsia="仿宋" w:cs="Times New Roman"/>
                <w:color w:val="000000" w:themeColor="text1"/>
                <w:kern w:val="44"/>
                <w:sz w:val="22"/>
                <w:szCs w:val="22"/>
                <w14:textFill>
                  <w14:solidFill>
                    <w14:schemeClr w14:val="tx1"/>
                  </w14:solidFill>
                </w14:textFill>
              </w:rPr>
              <w:t>90</w:t>
            </w:r>
            <w:r>
              <w:rPr>
                <w:rFonts w:hint="eastAsia" w:ascii="仿宋" w:hAnsi="仿宋" w:eastAsia="仿宋" w:cs="仿宋"/>
                <w:color w:val="000000" w:themeColor="text1"/>
                <w:kern w:val="44"/>
                <w:sz w:val="22"/>
                <w:szCs w:val="22"/>
                <w14:textFill>
                  <w14:solidFill>
                    <w14:schemeClr w14:val="tx1"/>
                  </w14:solidFill>
                </w14:textFill>
              </w:rPr>
              <w:t>&gt;得分≥</w:t>
            </w:r>
            <w:r>
              <w:rPr>
                <w:rFonts w:ascii="Times New Roman" w:hAnsi="Times New Roman" w:eastAsia="仿宋" w:cs="Times New Roman"/>
                <w:color w:val="000000" w:themeColor="text1"/>
                <w:kern w:val="44"/>
                <w:sz w:val="22"/>
                <w:szCs w:val="22"/>
                <w14:textFill>
                  <w14:solidFill>
                    <w14:schemeClr w14:val="tx1"/>
                  </w14:solidFill>
                </w14:textFill>
              </w:rPr>
              <w:t>80</w:t>
            </w:r>
            <w:r>
              <w:rPr>
                <w:rFonts w:hint="eastAsia" w:ascii="仿宋" w:hAnsi="仿宋" w:eastAsia="仿宋" w:cs="仿宋"/>
                <w:color w:val="000000" w:themeColor="text1"/>
                <w:kern w:val="44"/>
                <w:sz w:val="22"/>
                <w:szCs w:val="22"/>
                <w14:textFill>
                  <w14:solidFill>
                    <w14:schemeClr w14:val="tx1"/>
                  </w14:solidFill>
                </w14:textFill>
              </w:rPr>
              <w:t>分</w:t>
            </w:r>
          </w:p>
        </w:tc>
        <w:tc>
          <w:tcPr>
            <w:tcW w:w="2193" w:type="dxa"/>
            <w:tcBorders>
              <w:top w:val="single" w:color="auto" w:sz="4" w:space="0"/>
              <w:bottom w:val="single" w:color="auto" w:sz="12" w:space="0"/>
            </w:tcBorders>
            <w:vAlign w:val="center"/>
          </w:tcPr>
          <w:p>
            <w:pPr>
              <w:spacing w:line="240" w:lineRule="auto"/>
              <w:jc w:val="center"/>
              <w:rPr>
                <w:rFonts w:ascii="仿宋" w:hAnsi="仿宋" w:eastAsia="仿宋" w:cs="仿宋"/>
                <w:color w:val="000000" w:themeColor="text1"/>
                <w:kern w:val="44"/>
                <w:sz w:val="22"/>
                <w:szCs w:val="22"/>
                <w14:textFill>
                  <w14:solidFill>
                    <w14:schemeClr w14:val="tx1"/>
                  </w14:solidFill>
                </w14:textFill>
              </w:rPr>
            </w:pPr>
            <w:r>
              <w:rPr>
                <w:rFonts w:ascii="Times New Roman" w:hAnsi="Times New Roman" w:eastAsia="仿宋" w:cs="Times New Roman"/>
                <w:color w:val="000000" w:themeColor="text1"/>
                <w:kern w:val="44"/>
                <w:sz w:val="22"/>
                <w:szCs w:val="22"/>
                <w14:textFill>
                  <w14:solidFill>
                    <w14:schemeClr w14:val="tx1"/>
                  </w14:solidFill>
                </w14:textFill>
              </w:rPr>
              <w:t>80</w:t>
            </w:r>
            <w:r>
              <w:rPr>
                <w:rFonts w:hint="eastAsia" w:ascii="仿宋" w:hAnsi="仿宋" w:eastAsia="仿宋" w:cs="仿宋"/>
                <w:color w:val="000000" w:themeColor="text1"/>
                <w:kern w:val="44"/>
                <w:sz w:val="22"/>
                <w:szCs w:val="22"/>
                <w14:textFill>
                  <w14:solidFill>
                    <w14:schemeClr w14:val="tx1"/>
                  </w14:solidFill>
                </w14:textFill>
              </w:rPr>
              <w:t>&gt;得分≥</w:t>
            </w:r>
            <w:r>
              <w:rPr>
                <w:rFonts w:ascii="Times New Roman" w:hAnsi="Times New Roman" w:eastAsia="仿宋" w:cs="Times New Roman"/>
                <w:color w:val="000000" w:themeColor="text1"/>
                <w:kern w:val="44"/>
                <w:sz w:val="22"/>
                <w:szCs w:val="22"/>
                <w14:textFill>
                  <w14:solidFill>
                    <w14:schemeClr w14:val="tx1"/>
                  </w14:solidFill>
                </w14:textFill>
              </w:rPr>
              <w:t>60</w:t>
            </w:r>
            <w:r>
              <w:rPr>
                <w:rFonts w:hint="eastAsia" w:ascii="仿宋" w:hAnsi="仿宋" w:eastAsia="仿宋" w:cs="仿宋"/>
                <w:color w:val="000000" w:themeColor="text1"/>
                <w:kern w:val="44"/>
                <w:sz w:val="22"/>
                <w:szCs w:val="22"/>
                <w14:textFill>
                  <w14:solidFill>
                    <w14:schemeClr w14:val="tx1"/>
                  </w14:solidFill>
                </w14:textFill>
              </w:rPr>
              <w:t>分</w:t>
            </w:r>
          </w:p>
        </w:tc>
        <w:tc>
          <w:tcPr>
            <w:tcW w:w="1918" w:type="dxa"/>
            <w:tcBorders>
              <w:top w:val="single" w:color="auto" w:sz="4" w:space="0"/>
              <w:bottom w:val="single" w:color="auto" w:sz="12" w:space="0"/>
            </w:tcBorders>
            <w:vAlign w:val="center"/>
          </w:tcPr>
          <w:p>
            <w:pPr>
              <w:spacing w:line="240" w:lineRule="auto"/>
              <w:jc w:val="center"/>
              <w:rPr>
                <w:rFonts w:ascii="仿宋" w:hAnsi="仿宋" w:eastAsia="仿宋" w:cs="仿宋"/>
                <w:color w:val="000000" w:themeColor="text1"/>
                <w:kern w:val="44"/>
                <w:sz w:val="22"/>
                <w:szCs w:val="22"/>
                <w14:textFill>
                  <w14:solidFill>
                    <w14:schemeClr w14:val="tx1"/>
                  </w14:solidFill>
                </w14:textFill>
              </w:rPr>
            </w:pPr>
            <w:r>
              <w:rPr>
                <w:rFonts w:hint="eastAsia" w:ascii="仿宋" w:hAnsi="仿宋" w:eastAsia="仿宋" w:cs="仿宋"/>
                <w:color w:val="000000" w:themeColor="text1"/>
                <w:kern w:val="44"/>
                <w:sz w:val="22"/>
                <w:szCs w:val="22"/>
                <w14:textFill>
                  <w14:solidFill>
                    <w14:schemeClr w14:val="tx1"/>
                  </w14:solidFill>
                </w14:textFill>
              </w:rPr>
              <w:t>得分＜</w:t>
            </w:r>
            <w:r>
              <w:rPr>
                <w:rFonts w:ascii="Times New Roman" w:hAnsi="Times New Roman" w:eastAsia="仿宋" w:cs="Times New Roman"/>
                <w:color w:val="000000" w:themeColor="text1"/>
                <w:kern w:val="44"/>
                <w:sz w:val="22"/>
                <w:szCs w:val="22"/>
                <w14:textFill>
                  <w14:solidFill>
                    <w14:schemeClr w14:val="tx1"/>
                  </w14:solidFill>
                </w14:textFill>
              </w:rPr>
              <w:t>60</w:t>
            </w:r>
            <w:r>
              <w:rPr>
                <w:rFonts w:hint="eastAsia" w:ascii="仿宋" w:hAnsi="仿宋" w:eastAsia="仿宋" w:cs="仿宋"/>
                <w:color w:val="000000" w:themeColor="text1"/>
                <w:kern w:val="44"/>
                <w:sz w:val="22"/>
                <w:szCs w:val="22"/>
                <w14:textFill>
                  <w14:solidFill>
                    <w14:schemeClr w14:val="tx1"/>
                  </w14:solidFill>
                </w14:textFill>
              </w:rPr>
              <w:t>分</w:t>
            </w:r>
          </w:p>
        </w:tc>
      </w:tr>
    </w:tbl>
    <w:p>
      <w:pPr>
        <w:jc w:val="center"/>
        <w:rPr>
          <w:rFonts w:ascii="Times New Roman" w:hAnsi="Times New Roman" w:eastAsia="仿宋" w:cs="Times New Roman"/>
          <w:color w:val="000000" w:themeColor="text1"/>
          <w:sz w:val="36"/>
          <w:szCs w:val="36"/>
          <w14:textFill>
            <w14:solidFill>
              <w14:schemeClr w14:val="tx1"/>
            </w14:solidFill>
          </w14:textFill>
        </w:rPr>
      </w:pPr>
      <w:bookmarkStart w:id="79" w:name="_Toc1080104207"/>
      <w:bookmarkStart w:id="80" w:name="_Toc126508919"/>
      <w:r>
        <w:rPr>
          <w:rFonts w:ascii="Times New Roman" w:hAnsi="Times New Roman" w:eastAsia="仿宋" w:cs="Times New Roman"/>
          <w:color w:val="000000" w:themeColor="text1"/>
          <w:sz w:val="36"/>
          <w:szCs w:val="36"/>
          <w14:textFill>
            <w14:solidFill>
              <w14:schemeClr w14:val="tx1"/>
            </w14:solidFill>
          </w14:textFill>
        </w:rPr>
        <w:br w:type="page"/>
      </w:r>
    </w:p>
    <w:p>
      <w:pPr>
        <w:jc w:val="center"/>
        <w:outlineLvl w:val="0"/>
        <w:rPr>
          <w:rFonts w:ascii="仿宋" w:hAnsi="仿宋" w:eastAsia="仿宋" w:cs="楷体"/>
          <w:b/>
          <w:color w:val="000000" w:themeColor="text1"/>
          <w:sz w:val="36"/>
          <w:szCs w:val="36"/>
          <w14:textFill>
            <w14:solidFill>
              <w14:schemeClr w14:val="tx1"/>
            </w14:solidFill>
          </w14:textFill>
        </w:rPr>
      </w:pPr>
    </w:p>
    <w:p>
      <w:pPr>
        <w:jc w:val="center"/>
        <w:outlineLvl w:val="0"/>
        <w:rPr>
          <w:rFonts w:ascii="Times New Roman" w:hAnsi="Times New Roman" w:eastAsia="仿宋" w:cs="Times New Roman"/>
          <w:b/>
          <w:color w:val="000000" w:themeColor="text1"/>
          <w:sz w:val="36"/>
          <w:szCs w:val="36"/>
          <w14:textFill>
            <w14:solidFill>
              <w14:schemeClr w14:val="tx1"/>
            </w14:solidFill>
          </w14:textFill>
        </w:rPr>
      </w:pPr>
      <w:bookmarkStart w:id="81" w:name="_Toc6893"/>
      <w:r>
        <w:rPr>
          <w:rFonts w:ascii="Times New Roman" w:hAnsi="Times New Roman" w:eastAsia="仿宋" w:cs="Times New Roman"/>
          <w:b/>
          <w:color w:val="000000" w:themeColor="text1"/>
          <w:sz w:val="36"/>
          <w:szCs w:val="36"/>
          <w14:textFill>
            <w14:solidFill>
              <w14:schemeClr w14:val="tx1"/>
            </w14:solidFill>
          </w14:textFill>
        </w:rPr>
        <w:t>第三部分 评价结果</w:t>
      </w:r>
      <w:bookmarkEnd w:id="79"/>
      <w:bookmarkEnd w:id="80"/>
      <w:bookmarkEnd w:id="81"/>
    </w:p>
    <w:p>
      <w:pPr>
        <w:jc w:val="center"/>
        <w:outlineLvl w:val="0"/>
        <w:rPr>
          <w:rFonts w:ascii="Times New Roman" w:hAnsi="Times New Roman" w:eastAsia="仿宋" w:cs="Times New Roman"/>
          <w:b/>
          <w:color w:val="000000" w:themeColor="text1"/>
          <w:sz w:val="36"/>
          <w:szCs w:val="36"/>
          <w14:textFill>
            <w14:solidFill>
              <w14:schemeClr w14:val="tx1"/>
            </w14:solidFill>
          </w14:textFill>
        </w:rPr>
      </w:pPr>
    </w:p>
    <w:p>
      <w:pPr>
        <w:spacing w:before="190" w:beforeLines="50" w:after="190" w:afterLines="50"/>
        <w:ind w:firstLine="643" w:firstLineChars="200"/>
        <w:outlineLvl w:val="1"/>
        <w:rPr>
          <w:rFonts w:ascii="Times New Roman" w:hAnsi="Times New Roman" w:eastAsia="仿宋" w:cs="Times New Roman"/>
          <w:b/>
          <w:color w:val="000000" w:themeColor="text1"/>
          <w:sz w:val="32"/>
          <w:szCs w:val="32"/>
          <w14:textFill>
            <w14:solidFill>
              <w14:schemeClr w14:val="tx1"/>
            </w14:solidFill>
          </w14:textFill>
        </w:rPr>
      </w:pPr>
      <w:bookmarkStart w:id="82" w:name="_Toc1103246537"/>
      <w:bookmarkStart w:id="83" w:name="_Toc126508920"/>
      <w:bookmarkStart w:id="84" w:name="_Toc28164"/>
      <w:r>
        <w:rPr>
          <w:rFonts w:ascii="Times New Roman" w:hAnsi="Times New Roman" w:eastAsia="仿宋" w:cs="Times New Roman"/>
          <w:b/>
          <w:color w:val="000000" w:themeColor="text1"/>
          <w:sz w:val="32"/>
          <w:szCs w:val="32"/>
          <w14:textFill>
            <w14:solidFill>
              <w14:schemeClr w14:val="tx1"/>
            </w14:solidFill>
          </w14:textFill>
        </w:rPr>
        <w:t>一、绩效评价得分情况</w:t>
      </w:r>
      <w:bookmarkEnd w:id="82"/>
      <w:bookmarkEnd w:id="83"/>
      <w:bookmarkEnd w:id="84"/>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据绩效评价指标体系，结合专项资金的实施情况，</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2022</w:t>
      </w:r>
      <w:r>
        <w:rPr>
          <w:rFonts w:hint="eastAsia" w:ascii="仿宋" w:hAnsi="仿宋" w:eastAsia="仿宋" w:cs="仿宋"/>
          <w:color w:val="000000" w:themeColor="text1"/>
          <w:szCs w:val="28"/>
          <w14:textFill>
            <w14:solidFill>
              <w14:schemeClr w14:val="tx1"/>
            </w14:solidFill>
          </w14:textFill>
        </w:rPr>
        <w:t>年度旅游发展专项资金最终绩效评价得分为</w:t>
      </w:r>
      <w:r>
        <w:rPr>
          <w:rFonts w:ascii="Times New Roman" w:hAnsi="Times New Roman" w:eastAsia="仿宋" w:cs="Times New Roman"/>
          <w:color w:val="000000" w:themeColor="text1"/>
          <w:szCs w:val="28"/>
          <w14:textFill>
            <w14:solidFill>
              <w14:schemeClr w14:val="tx1"/>
            </w14:solidFill>
          </w14:textFill>
        </w:rPr>
        <w:t>89.06</w:t>
      </w:r>
      <w:r>
        <w:rPr>
          <w:rFonts w:hint="eastAsia" w:ascii="仿宋" w:hAnsi="仿宋" w:eastAsia="仿宋" w:cs="仿宋"/>
          <w:color w:val="000000" w:themeColor="text1"/>
          <w:szCs w:val="28"/>
          <w14:textFill>
            <w14:solidFill>
              <w14:schemeClr w14:val="tx1"/>
            </w14:solidFill>
          </w14:textFill>
        </w:rPr>
        <w:t>分，评价等级为“良”。具体得分情况如表</w:t>
      </w:r>
      <w:r>
        <w:rPr>
          <w:rFonts w:ascii="Times New Roman" w:hAnsi="Times New Roman" w:eastAsia="仿宋" w:cs="Times New Roman"/>
          <w:color w:val="000000" w:themeColor="text1"/>
          <w:szCs w:val="28"/>
          <w14:textFill>
            <w14:solidFill>
              <w14:schemeClr w14:val="tx1"/>
            </w14:solidFill>
          </w14:textFill>
        </w:rPr>
        <w:t>3</w:t>
      </w:r>
      <w:r>
        <w:rPr>
          <w:rFonts w:hint="eastAsia" w:ascii="仿宋" w:hAnsi="仿宋" w:eastAsia="仿宋" w:cs="仿宋"/>
          <w:color w:val="000000" w:themeColor="text1"/>
          <w:szCs w:val="28"/>
          <w14:textFill>
            <w14:solidFill>
              <w14:schemeClr w14:val="tx1"/>
            </w14:solidFill>
          </w14:textFill>
        </w:rPr>
        <w:t>所示：</w:t>
      </w:r>
    </w:p>
    <w:p>
      <w:pPr>
        <w:spacing w:before="381" w:beforeLines="100"/>
        <w:ind w:firstLine="482" w:firstLineChars="200"/>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表</w:t>
      </w:r>
      <w:r>
        <w:rPr>
          <w:rFonts w:ascii="Times New Roman" w:hAnsi="Times New Roman" w:eastAsia="仿宋" w:cs="Times New Roman"/>
          <w:b/>
          <w:bCs/>
          <w:color w:val="000000" w:themeColor="text1"/>
          <w:sz w:val="24"/>
          <w14:textFill>
            <w14:solidFill>
              <w14:schemeClr w14:val="tx1"/>
            </w14:solidFill>
          </w14:textFill>
        </w:rPr>
        <w:t>3</w:t>
      </w:r>
      <w:r>
        <w:rPr>
          <w:rFonts w:hint="eastAsia" w:ascii="仿宋" w:hAnsi="仿宋" w:eastAsia="仿宋" w:cs="仿宋"/>
          <w:b/>
          <w:bCs/>
          <w:color w:val="000000" w:themeColor="text1"/>
          <w:sz w:val="24"/>
          <w14:textFill>
            <w14:solidFill>
              <w14:schemeClr w14:val="tx1"/>
            </w14:solidFill>
          </w14:textFill>
        </w:rPr>
        <w:t xml:space="preserve"> 惠安县</w:t>
      </w:r>
      <w:r>
        <w:rPr>
          <w:rFonts w:ascii="Times New Roman" w:hAnsi="Times New Roman" w:eastAsia="仿宋" w:cs="Times New Roman"/>
          <w:b/>
          <w:bCs/>
          <w:color w:val="000000" w:themeColor="text1"/>
          <w:sz w:val="24"/>
          <w14:textFill>
            <w14:solidFill>
              <w14:schemeClr w14:val="tx1"/>
            </w14:solidFill>
          </w14:textFill>
        </w:rPr>
        <w:t>2021</w:t>
      </w:r>
      <w:r>
        <w:rPr>
          <w:rFonts w:hint="eastAsia" w:ascii="仿宋" w:hAnsi="仿宋" w:eastAsia="仿宋" w:cs="仿宋"/>
          <w:b/>
          <w:bCs/>
          <w:color w:val="000000" w:themeColor="text1"/>
          <w:sz w:val="24"/>
          <w14:textFill>
            <w14:solidFill>
              <w14:schemeClr w14:val="tx1"/>
            </w14:solidFill>
          </w14:textFill>
        </w:rPr>
        <w:t>-</w:t>
      </w:r>
      <w:r>
        <w:rPr>
          <w:rFonts w:ascii="Times New Roman" w:hAnsi="Times New Roman" w:eastAsia="仿宋" w:cs="Times New Roman"/>
          <w:b/>
          <w:bCs/>
          <w:color w:val="000000" w:themeColor="text1"/>
          <w:sz w:val="24"/>
          <w14:textFill>
            <w14:solidFill>
              <w14:schemeClr w14:val="tx1"/>
            </w14:solidFill>
          </w14:textFill>
        </w:rPr>
        <w:t>2022</w:t>
      </w:r>
      <w:r>
        <w:rPr>
          <w:rFonts w:hint="eastAsia" w:ascii="仿宋" w:hAnsi="仿宋" w:eastAsia="仿宋" w:cs="仿宋"/>
          <w:b/>
          <w:bCs/>
          <w:color w:val="000000" w:themeColor="text1"/>
          <w:sz w:val="24"/>
          <w14:textFill>
            <w14:solidFill>
              <w14:schemeClr w14:val="tx1"/>
            </w14:solidFill>
          </w14:textFill>
        </w:rPr>
        <w:t>年度旅游发展专项资金最终绩效评价得分详情</w:t>
      </w:r>
    </w:p>
    <w:tbl>
      <w:tblPr>
        <w:tblStyle w:val="15"/>
        <w:tblW w:w="0" w:type="auto"/>
        <w:tblInd w:w="0" w:type="dxa"/>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42"/>
        <w:gridCol w:w="2268"/>
        <w:gridCol w:w="3939"/>
        <w:gridCol w:w="1073"/>
      </w:tblGrid>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blHeader/>
        </w:trPr>
        <w:tc>
          <w:tcPr>
            <w:tcW w:w="1242" w:type="dxa"/>
            <w:tcBorders>
              <w:top w:val="single" w:color="auto" w:sz="4" w:space="0"/>
              <w:left w:val="nil"/>
              <w:bottom w:val="single" w:color="000000" w:themeColor="text1" w:sz="8" w:space="0"/>
              <w:right w:val="nil"/>
              <w:insideH w:val="single" w:sz="8" w:space="0"/>
              <w:insideV w:val="nil"/>
            </w:tcBorders>
            <w:vAlign w:val="center"/>
          </w:tcPr>
          <w:p>
            <w:pPr>
              <w:spacing w:before="0" w:after="0" w:line="240" w:lineRule="auto"/>
              <w:jc w:val="center"/>
              <w:rPr>
                <w:rFonts w:ascii="仿宋" w:hAnsi="仿宋" w:eastAsia="仿宋" w:cs="仿宋"/>
                <w:b w:val="0"/>
                <w:bCs w:val="0"/>
                <w:color w:val="000000" w:themeColor="text1"/>
                <w:sz w:val="22"/>
                <w:szCs w:val="22"/>
                <w14:textFill>
                  <w14:solidFill>
                    <w14:schemeClr w14:val="tx1"/>
                  </w14:solidFill>
                </w14:textFill>
              </w:rPr>
            </w:pPr>
            <w:r>
              <w:rPr>
                <w:rFonts w:hint="eastAsia" w:ascii="仿宋" w:hAnsi="仿宋" w:eastAsia="仿宋" w:cs="仿宋"/>
                <w:b/>
                <w:bCs/>
                <w:color w:val="000000" w:themeColor="text1"/>
                <w:sz w:val="22"/>
                <w:szCs w:val="22"/>
                <w14:textFill>
                  <w14:solidFill>
                    <w14:schemeClr w14:val="tx1"/>
                  </w14:solidFill>
                </w14:textFill>
              </w:rPr>
              <w:t>一级指标</w:t>
            </w:r>
          </w:p>
        </w:tc>
        <w:tc>
          <w:tcPr>
            <w:tcW w:w="2268" w:type="dxa"/>
            <w:tcBorders>
              <w:top w:val="single" w:color="auto" w:sz="4" w:space="0"/>
              <w:bottom w:val="single" w:color="000000" w:themeColor="text1" w:sz="8" w:space="0"/>
              <w:right w:val="nil"/>
              <w:insideH w:val="single" w:sz="8" w:space="0"/>
              <w:insideV w:val="nil"/>
            </w:tcBorders>
            <w:vAlign w:val="center"/>
          </w:tcPr>
          <w:p>
            <w:pPr>
              <w:spacing w:before="0" w:after="0" w:line="240" w:lineRule="auto"/>
              <w:jc w:val="center"/>
              <w:rPr>
                <w:rFonts w:ascii="仿宋" w:hAnsi="仿宋" w:eastAsia="仿宋" w:cs="仿宋"/>
                <w:b w:val="0"/>
                <w:bCs w:val="0"/>
                <w:color w:val="000000" w:themeColor="text1"/>
                <w:sz w:val="22"/>
                <w:szCs w:val="22"/>
                <w14:textFill>
                  <w14:solidFill>
                    <w14:schemeClr w14:val="tx1"/>
                  </w14:solidFill>
                </w14:textFill>
              </w:rPr>
            </w:pPr>
            <w:r>
              <w:rPr>
                <w:rFonts w:hint="eastAsia" w:ascii="仿宋" w:hAnsi="仿宋" w:eastAsia="仿宋" w:cs="仿宋"/>
                <w:b/>
                <w:bCs/>
                <w:color w:val="000000" w:themeColor="text1"/>
                <w:sz w:val="22"/>
                <w:szCs w:val="22"/>
                <w14:textFill>
                  <w14:solidFill>
                    <w14:schemeClr w14:val="tx1"/>
                  </w14:solidFill>
                </w14:textFill>
              </w:rPr>
              <w:t>二级指标</w:t>
            </w:r>
          </w:p>
        </w:tc>
        <w:tc>
          <w:tcPr>
            <w:tcW w:w="3939" w:type="dxa"/>
            <w:tcBorders>
              <w:top w:val="single" w:color="auto" w:sz="4" w:space="0"/>
              <w:bottom w:val="single" w:color="000000" w:themeColor="text1" w:sz="8" w:space="0"/>
              <w:right w:val="nil"/>
              <w:insideH w:val="single" w:sz="8" w:space="0"/>
              <w:insideV w:val="nil"/>
            </w:tcBorders>
            <w:vAlign w:val="center"/>
          </w:tcPr>
          <w:p>
            <w:pPr>
              <w:spacing w:before="0" w:after="0" w:line="240" w:lineRule="auto"/>
              <w:jc w:val="center"/>
              <w:rPr>
                <w:rFonts w:ascii="仿宋" w:hAnsi="仿宋" w:eastAsia="仿宋" w:cs="仿宋"/>
                <w:b w:val="0"/>
                <w:bCs w:val="0"/>
                <w:color w:val="000000" w:themeColor="text1"/>
                <w:sz w:val="22"/>
                <w:szCs w:val="22"/>
                <w14:textFill>
                  <w14:solidFill>
                    <w14:schemeClr w14:val="tx1"/>
                  </w14:solidFill>
                </w14:textFill>
              </w:rPr>
            </w:pPr>
            <w:r>
              <w:rPr>
                <w:rFonts w:hint="eastAsia" w:ascii="仿宋" w:hAnsi="仿宋" w:eastAsia="仿宋" w:cs="仿宋"/>
                <w:b/>
                <w:bCs/>
                <w:color w:val="000000" w:themeColor="text1"/>
                <w:sz w:val="22"/>
                <w:szCs w:val="22"/>
                <w14:textFill>
                  <w14:solidFill>
                    <w14:schemeClr w14:val="tx1"/>
                  </w14:solidFill>
                </w14:textFill>
              </w:rPr>
              <w:t>三级指标</w:t>
            </w:r>
          </w:p>
        </w:tc>
        <w:tc>
          <w:tcPr>
            <w:tcW w:w="1073" w:type="dxa"/>
            <w:tcBorders>
              <w:top w:val="single" w:color="auto" w:sz="4" w:space="0"/>
              <w:bottom w:val="single" w:color="000000" w:themeColor="text1" w:sz="8" w:space="0"/>
              <w:right w:val="nil"/>
              <w:insideH w:val="single" w:sz="8" w:space="0"/>
              <w:insideV w:val="nil"/>
            </w:tcBorders>
          </w:tcPr>
          <w:p>
            <w:pPr>
              <w:spacing w:before="0" w:after="0" w:line="240" w:lineRule="auto"/>
              <w:jc w:val="center"/>
              <w:rPr>
                <w:rFonts w:ascii="仿宋" w:hAnsi="仿宋" w:eastAsia="仿宋" w:cs="仿宋"/>
                <w:b w:val="0"/>
                <w:bCs w:val="0"/>
                <w:color w:val="000000" w:themeColor="text1"/>
                <w:sz w:val="22"/>
                <w:szCs w:val="22"/>
                <w14:textFill>
                  <w14:solidFill>
                    <w14:schemeClr w14:val="tx1"/>
                  </w14:solidFill>
                </w14:textFill>
              </w:rPr>
            </w:pPr>
            <w:r>
              <w:rPr>
                <w:rFonts w:hint="eastAsia" w:ascii="仿宋" w:hAnsi="仿宋" w:eastAsia="仿宋" w:cs="仿宋"/>
                <w:b/>
                <w:bCs/>
                <w:color w:val="000000" w:themeColor="text1"/>
                <w:sz w:val="22"/>
                <w:szCs w:val="22"/>
                <w14:textFill>
                  <w14:solidFill>
                    <w14:schemeClr w14:val="tx1"/>
                  </w14:solidFill>
                </w14:textFill>
              </w:rPr>
              <w:t>评分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restart"/>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r>
              <w:rPr>
                <w:rFonts w:hint="eastAsia" w:ascii="仿宋" w:hAnsi="仿宋" w:eastAsia="仿宋" w:cs="仿宋"/>
                <w:b/>
                <w:bCs/>
                <w:color w:val="000000" w:themeColor="text1"/>
                <w:kern w:val="0"/>
                <w:sz w:val="22"/>
                <w:szCs w:val="22"/>
                <w14:textFill>
                  <w14:solidFill>
                    <w14:schemeClr w14:val="tx1"/>
                  </w14:solidFill>
                </w14:textFill>
              </w:rPr>
              <w:t>决策指标（</w:t>
            </w:r>
            <w:r>
              <w:rPr>
                <w:rFonts w:ascii="Times New Roman" w:hAnsi="Times New Roman" w:eastAsia="仿宋" w:cs="Times New Roman"/>
                <w:b/>
                <w:bCs/>
                <w:color w:val="000000" w:themeColor="text1"/>
                <w:kern w:val="0"/>
                <w:sz w:val="22"/>
                <w:szCs w:val="22"/>
                <w14:textFill>
                  <w14:solidFill>
                    <w14:schemeClr w14:val="tx1"/>
                  </w14:solidFill>
                </w14:textFill>
              </w:rPr>
              <w:t>20</w:t>
            </w:r>
            <w:r>
              <w:rPr>
                <w:rFonts w:hint="eastAsia" w:ascii="仿宋" w:hAnsi="仿宋" w:eastAsia="仿宋" w:cs="仿宋"/>
                <w:b/>
                <w:bCs/>
                <w:color w:val="000000" w:themeColor="text1"/>
                <w:kern w:val="0"/>
                <w:sz w:val="22"/>
                <w:szCs w:val="22"/>
                <w14:textFill>
                  <w14:solidFill>
                    <w14:schemeClr w14:val="tx1"/>
                  </w14:solidFill>
                </w14:textFill>
              </w:rPr>
              <w:t>分）</w:t>
            </w:r>
          </w:p>
        </w:tc>
        <w:tc>
          <w:tcPr>
            <w:tcW w:w="2268"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项目立项（</w:t>
            </w:r>
            <w:r>
              <w:rPr>
                <w:rFonts w:ascii="Times New Roman" w:hAnsi="Times New Roman" w:eastAsia="仿宋" w:cs="Times New Roman"/>
                <w:color w:val="000000" w:themeColor="text1"/>
                <w:sz w:val="22"/>
                <w:szCs w:val="22"/>
                <w14:textFill>
                  <w14:solidFill>
                    <w14:schemeClr w14:val="tx1"/>
                  </w14:solidFill>
                </w14:textFill>
              </w:rPr>
              <w:t>7</w:t>
            </w:r>
            <w:r>
              <w:rPr>
                <w:rFonts w:hint="eastAsia" w:ascii="仿宋" w:hAnsi="仿宋" w:eastAsia="仿宋" w:cs="仿宋"/>
                <w:color w:val="000000" w:themeColor="text1"/>
                <w:sz w:val="22"/>
                <w:szCs w:val="22"/>
                <w14:textFill>
                  <w14:solidFill>
                    <w14:schemeClr w14:val="tx1"/>
                  </w14:solidFill>
                </w14:textFill>
              </w:rPr>
              <w:t>分）</w:t>
            </w: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立项依据充分性（</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4.00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立项程序规范性（</w:t>
            </w:r>
            <w:r>
              <w:rPr>
                <w:rFonts w:ascii="Times New Roman" w:hAnsi="Times New Roman" w:eastAsia="仿宋" w:cs="Times New Roman"/>
                <w:color w:val="000000" w:themeColor="text1"/>
                <w:sz w:val="22"/>
                <w:szCs w:val="22"/>
                <w14:textFill>
                  <w14:solidFill>
                    <w14:schemeClr w14:val="tx1"/>
                  </w14:solidFill>
                </w14:textFill>
              </w:rPr>
              <w:t>3</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3.00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绩效目标（</w:t>
            </w:r>
            <w:r>
              <w:rPr>
                <w:rFonts w:ascii="Times New Roman" w:hAnsi="Times New Roman" w:eastAsia="仿宋" w:cs="Times New Roman"/>
                <w:color w:val="000000" w:themeColor="text1"/>
                <w:sz w:val="22"/>
                <w:szCs w:val="22"/>
                <w14:textFill>
                  <w14:solidFill>
                    <w14:schemeClr w14:val="tx1"/>
                  </w14:solidFill>
                </w14:textFill>
              </w:rPr>
              <w:t>7</w:t>
            </w:r>
            <w:r>
              <w:rPr>
                <w:rFonts w:hint="eastAsia" w:ascii="仿宋" w:hAnsi="仿宋" w:eastAsia="仿宋" w:cs="仿宋"/>
                <w:color w:val="000000" w:themeColor="text1"/>
                <w:sz w:val="22"/>
                <w:szCs w:val="22"/>
                <w14:textFill>
                  <w14:solidFill>
                    <w14:schemeClr w14:val="tx1"/>
                  </w14:solidFill>
                </w14:textFill>
              </w:rPr>
              <w:t>分）</w:t>
            </w: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绩效目标合理性（</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4.00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绩效指标明确性（</w:t>
            </w:r>
            <w:r>
              <w:rPr>
                <w:rFonts w:ascii="Times New Roman" w:hAnsi="Times New Roman" w:eastAsia="仿宋" w:cs="Times New Roman"/>
                <w:color w:val="000000" w:themeColor="text1"/>
                <w:sz w:val="22"/>
                <w:szCs w:val="22"/>
                <w14:textFill>
                  <w14:solidFill>
                    <w14:schemeClr w14:val="tx1"/>
                  </w14:solidFill>
                </w14:textFill>
              </w:rPr>
              <w:t>3</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1.50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资金投入（</w:t>
            </w:r>
            <w:r>
              <w:rPr>
                <w:rFonts w:ascii="Times New Roman" w:hAnsi="Times New Roman" w:eastAsia="仿宋" w:cs="Times New Roman"/>
                <w:color w:val="000000" w:themeColor="text1"/>
                <w:sz w:val="22"/>
                <w:szCs w:val="22"/>
                <w14:textFill>
                  <w14:solidFill>
                    <w14:schemeClr w14:val="tx1"/>
                  </w14:solidFill>
                </w14:textFill>
              </w:rPr>
              <w:t>6</w:t>
            </w:r>
            <w:r>
              <w:rPr>
                <w:rFonts w:hint="eastAsia" w:ascii="仿宋" w:hAnsi="仿宋" w:eastAsia="仿宋" w:cs="仿宋"/>
                <w:color w:val="000000" w:themeColor="text1"/>
                <w:sz w:val="22"/>
                <w:szCs w:val="22"/>
                <w14:textFill>
                  <w14:solidFill>
                    <w14:schemeClr w14:val="tx1"/>
                  </w14:solidFill>
                </w14:textFill>
              </w:rPr>
              <w:t>分）</w:t>
            </w: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预算编制科学性（</w:t>
            </w:r>
            <w:r>
              <w:rPr>
                <w:rFonts w:ascii="Times New Roman" w:hAnsi="Times New Roman" w:eastAsia="仿宋" w:cs="Times New Roman"/>
                <w:color w:val="000000" w:themeColor="text1"/>
                <w:sz w:val="22"/>
                <w:szCs w:val="22"/>
                <w14:textFill>
                  <w14:solidFill>
                    <w14:schemeClr w14:val="tx1"/>
                  </w14:solidFill>
                </w14:textFill>
              </w:rPr>
              <w:t>3</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3.00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资金分配合理性（</w:t>
            </w:r>
            <w:r>
              <w:rPr>
                <w:rFonts w:ascii="Times New Roman" w:hAnsi="Times New Roman" w:eastAsia="仿宋" w:cs="Times New Roman"/>
                <w:color w:val="000000" w:themeColor="text1"/>
                <w:kern w:val="0"/>
                <w:sz w:val="22"/>
                <w:szCs w:val="22"/>
                <w14:textFill>
                  <w14:solidFill>
                    <w14:schemeClr w14:val="tx1"/>
                  </w14:solidFill>
                </w14:textFill>
              </w:rPr>
              <w:t>3</w:t>
            </w:r>
            <w:r>
              <w:rPr>
                <w:rFonts w:hint="eastAsia" w:ascii="仿宋" w:hAnsi="仿宋" w:eastAsia="仿宋" w:cs="仿宋"/>
                <w:color w:val="000000" w:themeColor="text1"/>
                <w:kern w:val="0"/>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3.00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restart"/>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r>
              <w:rPr>
                <w:rFonts w:hint="eastAsia" w:ascii="仿宋" w:hAnsi="仿宋" w:eastAsia="仿宋" w:cs="仿宋"/>
                <w:b/>
                <w:bCs/>
                <w:color w:val="000000" w:themeColor="text1"/>
                <w:kern w:val="0"/>
                <w:sz w:val="22"/>
                <w:szCs w:val="22"/>
                <w14:textFill>
                  <w14:solidFill>
                    <w14:schemeClr w14:val="tx1"/>
                  </w14:solidFill>
                </w14:textFill>
              </w:rPr>
              <w:t>过程指标（</w:t>
            </w:r>
            <w:r>
              <w:rPr>
                <w:rFonts w:ascii="Times New Roman" w:hAnsi="Times New Roman" w:eastAsia="仿宋" w:cs="Times New Roman"/>
                <w:b/>
                <w:bCs/>
                <w:color w:val="000000" w:themeColor="text1"/>
                <w:kern w:val="0"/>
                <w:sz w:val="22"/>
                <w:szCs w:val="22"/>
                <w14:textFill>
                  <w14:solidFill>
                    <w14:schemeClr w14:val="tx1"/>
                  </w14:solidFill>
                </w14:textFill>
              </w:rPr>
              <w:t>15</w:t>
            </w:r>
            <w:r>
              <w:rPr>
                <w:rFonts w:hint="eastAsia" w:ascii="仿宋" w:hAnsi="仿宋" w:eastAsia="仿宋" w:cs="仿宋"/>
                <w:b/>
                <w:bCs/>
                <w:color w:val="000000" w:themeColor="text1"/>
                <w:kern w:val="0"/>
                <w:sz w:val="22"/>
                <w:szCs w:val="22"/>
                <w14:textFill>
                  <w14:solidFill>
                    <w14:schemeClr w14:val="tx1"/>
                  </w14:solidFill>
                </w14:textFill>
              </w:rPr>
              <w:t>分）</w:t>
            </w:r>
          </w:p>
        </w:tc>
        <w:tc>
          <w:tcPr>
            <w:tcW w:w="2268"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资金管理（</w:t>
            </w:r>
            <w:r>
              <w:rPr>
                <w:rFonts w:ascii="Times New Roman" w:hAnsi="Times New Roman" w:eastAsia="仿宋" w:cs="Times New Roman"/>
                <w:color w:val="000000" w:themeColor="text1"/>
                <w:sz w:val="22"/>
                <w:szCs w:val="22"/>
                <w14:textFill>
                  <w14:solidFill>
                    <w14:schemeClr w14:val="tx1"/>
                  </w14:solidFill>
                </w14:textFill>
              </w:rPr>
              <w:t>8</w:t>
            </w:r>
            <w:r>
              <w:rPr>
                <w:rFonts w:hint="eastAsia" w:ascii="仿宋" w:hAnsi="仿宋" w:eastAsia="仿宋" w:cs="仿宋"/>
                <w:color w:val="000000" w:themeColor="text1"/>
                <w:sz w:val="22"/>
                <w:szCs w:val="22"/>
                <w14:textFill>
                  <w14:solidFill>
                    <w14:schemeClr w14:val="tx1"/>
                  </w14:solidFill>
                </w14:textFill>
              </w:rPr>
              <w:t>分）</w:t>
            </w: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预算执行率（</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3.13</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资金使用合规性（</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4.00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组织实施（</w:t>
            </w:r>
            <w:r>
              <w:rPr>
                <w:rFonts w:ascii="Times New Roman" w:hAnsi="Times New Roman" w:eastAsia="仿宋" w:cs="Times New Roman"/>
                <w:color w:val="000000" w:themeColor="text1"/>
                <w:sz w:val="22"/>
                <w:szCs w:val="22"/>
                <w14:textFill>
                  <w14:solidFill>
                    <w14:schemeClr w14:val="tx1"/>
                  </w14:solidFill>
                </w14:textFill>
              </w:rPr>
              <w:t>7</w:t>
            </w:r>
            <w:r>
              <w:rPr>
                <w:rFonts w:hint="eastAsia" w:ascii="仿宋" w:hAnsi="仿宋" w:eastAsia="仿宋" w:cs="仿宋"/>
                <w:color w:val="000000" w:themeColor="text1"/>
                <w:sz w:val="22"/>
                <w:szCs w:val="22"/>
                <w14:textFill>
                  <w14:solidFill>
                    <w14:schemeClr w14:val="tx1"/>
                  </w14:solidFill>
                </w14:textFill>
              </w:rPr>
              <w:t>分）</w:t>
            </w: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管理制度健全性（</w:t>
            </w:r>
            <w:r>
              <w:rPr>
                <w:rFonts w:ascii="Times New Roman" w:hAnsi="Times New Roman" w:eastAsia="仿宋" w:cs="Times New Roman"/>
                <w:color w:val="000000" w:themeColor="text1"/>
                <w:sz w:val="22"/>
                <w:szCs w:val="22"/>
                <w14:textFill>
                  <w14:solidFill>
                    <w14:schemeClr w14:val="tx1"/>
                  </w14:solidFill>
                </w14:textFill>
              </w:rPr>
              <w:t>3</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3.00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制度执行有效性（</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4.00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restart"/>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r>
              <w:rPr>
                <w:rFonts w:hint="eastAsia" w:ascii="仿宋" w:hAnsi="仿宋" w:eastAsia="仿宋" w:cs="仿宋"/>
                <w:b/>
                <w:bCs/>
                <w:color w:val="000000" w:themeColor="text1"/>
                <w:kern w:val="0"/>
                <w:sz w:val="22"/>
                <w:szCs w:val="22"/>
                <w14:textFill>
                  <w14:solidFill>
                    <w14:schemeClr w14:val="tx1"/>
                  </w14:solidFill>
                </w14:textFill>
              </w:rPr>
              <w:t>产出指标（</w:t>
            </w:r>
            <w:r>
              <w:rPr>
                <w:rFonts w:ascii="Times New Roman" w:hAnsi="Times New Roman" w:eastAsia="仿宋" w:cs="Times New Roman"/>
                <w:b/>
                <w:bCs/>
                <w:color w:val="000000" w:themeColor="text1"/>
                <w:kern w:val="0"/>
                <w:sz w:val="22"/>
                <w:szCs w:val="22"/>
                <w14:textFill>
                  <w14:solidFill>
                    <w14:schemeClr w14:val="tx1"/>
                  </w14:solidFill>
                </w14:textFill>
              </w:rPr>
              <w:t>40</w:t>
            </w:r>
            <w:r>
              <w:rPr>
                <w:rFonts w:hint="eastAsia" w:ascii="仿宋" w:hAnsi="仿宋" w:eastAsia="仿宋" w:cs="仿宋"/>
                <w:b/>
                <w:bCs/>
                <w:color w:val="000000" w:themeColor="text1"/>
                <w:kern w:val="0"/>
                <w:sz w:val="22"/>
                <w:szCs w:val="22"/>
                <w14:textFill>
                  <w14:solidFill>
                    <w14:schemeClr w14:val="tx1"/>
                  </w14:solidFill>
                </w14:textFill>
              </w:rPr>
              <w:t>分）</w:t>
            </w:r>
          </w:p>
        </w:tc>
        <w:tc>
          <w:tcPr>
            <w:tcW w:w="2268"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数量指标（</w:t>
            </w:r>
            <w:r>
              <w:rPr>
                <w:rFonts w:ascii="Times New Roman" w:hAnsi="Times New Roman" w:eastAsia="仿宋" w:cs="Times New Roman"/>
                <w:color w:val="000000" w:themeColor="text1"/>
                <w:sz w:val="22"/>
                <w:szCs w:val="22"/>
                <w14:textFill>
                  <w14:solidFill>
                    <w14:schemeClr w14:val="tx1"/>
                  </w14:solidFill>
                </w14:textFill>
              </w:rPr>
              <w:t>24</w:t>
            </w:r>
            <w:r>
              <w:rPr>
                <w:rFonts w:hint="eastAsia" w:ascii="仿宋" w:hAnsi="仿宋" w:eastAsia="仿宋" w:cs="仿宋"/>
                <w:color w:val="000000" w:themeColor="text1"/>
                <w:sz w:val="22"/>
                <w:szCs w:val="22"/>
                <w14:textFill>
                  <w14:solidFill>
                    <w14:schemeClr w14:val="tx1"/>
                  </w14:solidFill>
                </w14:textFill>
              </w:rPr>
              <w:t>分）</w:t>
            </w: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星级酒店复核评定数（</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2.67</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新评星级民宿数（</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1.71</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“惠安文旅”服务号粉丝增长率（</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4.00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“惠安文旅”服务号发布图文数（</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4.00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提升旅游服务配套设施（</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4.00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建设达标厕所数（</w:t>
            </w:r>
            <w:r>
              <w:rPr>
                <w:rFonts w:ascii="Times New Roman" w:hAnsi="Times New Roman" w:eastAsia="仿宋" w:cs="Times New Roman"/>
                <w:color w:val="000000" w:themeColor="text1"/>
                <w:sz w:val="22"/>
                <w:szCs w:val="22"/>
                <w14:textFill>
                  <w14:solidFill>
                    <w14:schemeClr w14:val="tx1"/>
                  </w14:solidFill>
                </w14:textFill>
              </w:rPr>
              <w:t>4</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2.00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restart"/>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质量指标（</w:t>
            </w:r>
            <w:r>
              <w:rPr>
                <w:rFonts w:ascii="Times New Roman" w:hAnsi="Times New Roman" w:eastAsia="仿宋" w:cs="Times New Roman"/>
                <w:color w:val="000000" w:themeColor="text1"/>
                <w:sz w:val="22"/>
                <w:szCs w:val="22"/>
                <w14:textFill>
                  <w14:solidFill>
                    <w14:schemeClr w14:val="tx1"/>
                  </w14:solidFill>
                </w14:textFill>
              </w:rPr>
              <w:t>16</w:t>
            </w:r>
            <w:r>
              <w:rPr>
                <w:rFonts w:hint="eastAsia" w:ascii="仿宋" w:hAnsi="仿宋" w:eastAsia="仿宋" w:cs="仿宋"/>
                <w:color w:val="000000" w:themeColor="text1"/>
                <w:sz w:val="22"/>
                <w:szCs w:val="22"/>
                <w14:textFill>
                  <w14:solidFill>
                    <w14:schemeClr w14:val="tx1"/>
                  </w14:solidFill>
                </w14:textFill>
              </w:rPr>
              <w:t>分）</w:t>
            </w: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全年安全无事故（</w:t>
            </w:r>
            <w:r>
              <w:rPr>
                <w:rFonts w:ascii="Times New Roman" w:hAnsi="Times New Roman" w:eastAsia="仿宋" w:cs="Times New Roman"/>
                <w:color w:val="000000" w:themeColor="text1"/>
                <w:sz w:val="22"/>
                <w:szCs w:val="22"/>
                <w14:textFill>
                  <w14:solidFill>
                    <w14:schemeClr w14:val="tx1"/>
                  </w14:solidFill>
                </w14:textFill>
              </w:rPr>
              <w:t>8</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8.00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Merge w:val="continue"/>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开展旅游安全宣传培训的企业数（</w:t>
            </w:r>
            <w:r>
              <w:rPr>
                <w:rFonts w:ascii="Times New Roman" w:hAnsi="Times New Roman" w:eastAsia="仿宋" w:cs="Times New Roman"/>
                <w:color w:val="000000" w:themeColor="text1"/>
                <w:sz w:val="22"/>
                <w:szCs w:val="22"/>
                <w14:textFill>
                  <w14:solidFill>
                    <w14:schemeClr w14:val="tx1"/>
                  </w14:solidFill>
                </w14:textFill>
              </w:rPr>
              <w:t>8</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8.00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242" w:type="dxa"/>
            <w:vMerge w:val="restart"/>
            <w:vAlign w:val="center"/>
          </w:tcPr>
          <w:p>
            <w:pPr>
              <w:spacing w:line="240" w:lineRule="auto"/>
              <w:jc w:val="center"/>
              <w:rPr>
                <w:rFonts w:ascii="仿宋" w:hAnsi="仿宋" w:eastAsia="仿宋" w:cs="仿宋"/>
                <w:b w:val="0"/>
                <w:bCs w:val="0"/>
                <w:color w:val="000000" w:themeColor="text1"/>
                <w:sz w:val="22"/>
                <w:szCs w:val="22"/>
                <w14:textFill>
                  <w14:solidFill>
                    <w14:schemeClr w14:val="tx1"/>
                  </w14:solidFill>
                </w14:textFill>
              </w:rPr>
            </w:pPr>
          </w:p>
          <w:p>
            <w:pPr>
              <w:spacing w:line="240" w:lineRule="auto"/>
              <w:jc w:val="center"/>
              <w:rPr>
                <w:rFonts w:ascii="仿宋" w:hAnsi="仿宋" w:eastAsia="仿宋" w:cs="仿宋"/>
                <w:b w:val="0"/>
                <w:bCs w:val="0"/>
                <w:color w:val="000000" w:themeColor="text1"/>
                <w:sz w:val="22"/>
                <w:szCs w:val="22"/>
                <w14:textFill>
                  <w14:solidFill>
                    <w14:schemeClr w14:val="tx1"/>
                  </w14:solidFill>
                </w14:textFill>
              </w:rPr>
            </w:pPr>
          </w:p>
          <w:p>
            <w:pPr>
              <w:spacing w:line="240" w:lineRule="auto"/>
              <w:jc w:val="center"/>
              <w:rPr>
                <w:rFonts w:ascii="仿宋" w:hAnsi="仿宋" w:eastAsia="仿宋" w:cs="仿宋"/>
                <w:b w:val="0"/>
                <w:bCs/>
                <w:color w:val="000000" w:themeColor="text1"/>
                <w:sz w:val="22"/>
                <w:szCs w:val="22"/>
                <w14:textFill>
                  <w14:solidFill>
                    <w14:schemeClr w14:val="tx1"/>
                  </w14:solidFill>
                </w14:textFill>
              </w:rPr>
            </w:pPr>
            <w:r>
              <w:rPr>
                <w:rFonts w:hint="eastAsia" w:ascii="仿宋" w:hAnsi="仿宋" w:eastAsia="仿宋" w:cs="仿宋"/>
                <w:b/>
                <w:bCs/>
                <w:color w:val="000000" w:themeColor="text1"/>
                <w:sz w:val="22"/>
                <w:szCs w:val="22"/>
                <w14:textFill>
                  <w14:solidFill>
                    <w14:schemeClr w14:val="tx1"/>
                  </w14:solidFill>
                </w14:textFill>
              </w:rPr>
              <w:t>效益指标（</w:t>
            </w:r>
            <w:r>
              <w:rPr>
                <w:rFonts w:ascii="Times New Roman" w:hAnsi="Times New Roman" w:eastAsia="仿宋" w:cs="Times New Roman"/>
                <w:b/>
                <w:bCs/>
                <w:color w:val="000000" w:themeColor="text1"/>
                <w:sz w:val="22"/>
                <w:szCs w:val="22"/>
                <w14:textFill>
                  <w14:solidFill>
                    <w14:schemeClr w14:val="tx1"/>
                  </w14:solidFill>
                </w14:textFill>
              </w:rPr>
              <w:t>25</w:t>
            </w:r>
            <w:r>
              <w:rPr>
                <w:rFonts w:hint="eastAsia" w:ascii="仿宋" w:hAnsi="仿宋" w:eastAsia="仿宋" w:cs="仿宋"/>
                <w:b/>
                <w:bCs/>
                <w:color w:val="000000" w:themeColor="text1"/>
                <w:sz w:val="22"/>
                <w:szCs w:val="22"/>
                <w14:textFill>
                  <w14:solidFill>
                    <w14:schemeClr w14:val="tx1"/>
                  </w14:solidFill>
                </w14:textFill>
              </w:rPr>
              <w:t>分）</w:t>
            </w:r>
          </w:p>
        </w:tc>
        <w:tc>
          <w:tcPr>
            <w:tcW w:w="2268"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经济效益（</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全年旅游总收入（</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2.05</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Align w:val="center"/>
          </w:tcPr>
          <w:p>
            <w:pPr>
              <w:spacing w:line="240" w:lineRule="auto"/>
              <w:jc w:val="center"/>
              <w:rPr>
                <w:rFonts w:ascii="仿宋" w:hAnsi="仿宋" w:eastAsia="仿宋" w:cs="仿宋"/>
                <w:color w:val="000000" w:themeColor="text1"/>
                <w:sz w:val="22"/>
                <w:szCs w:val="22"/>
                <w:highlight w:val="yellow"/>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社会效益（</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保护和传承非遗文化（</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5.00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生态效益（</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获评生态旅游奖项（</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5.00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p>
        </w:tc>
        <w:tc>
          <w:tcPr>
            <w:tcW w:w="2268"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可持续效益（</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制定可持续性发展规划（</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5.00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1242" w:type="dxa"/>
            <w:vMerge w:val="continue"/>
            <w:vAlign w:val="center"/>
          </w:tcPr>
          <w:p>
            <w:pPr>
              <w:spacing w:line="240" w:lineRule="auto"/>
              <w:jc w:val="center"/>
              <w:rPr>
                <w:rFonts w:ascii="仿宋" w:hAnsi="仿宋" w:eastAsia="仿宋" w:cs="仿宋"/>
                <w:b w:val="0"/>
                <w:bCs/>
                <w:color w:val="000000" w:themeColor="text1"/>
                <w:sz w:val="22"/>
                <w:szCs w:val="22"/>
                <w14:textFill>
                  <w14:solidFill>
                    <w14:schemeClr w14:val="tx1"/>
                  </w14:solidFill>
                </w14:textFill>
              </w:rPr>
            </w:pPr>
          </w:p>
        </w:tc>
        <w:tc>
          <w:tcPr>
            <w:tcW w:w="2268"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满意度（</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3939" w:type="dxa"/>
            <w:vAlign w:val="center"/>
          </w:tcPr>
          <w:p>
            <w:pPr>
              <w:spacing w:line="240" w:lineRule="auto"/>
              <w:jc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服务对象满意测评（</w:t>
            </w:r>
            <w:r>
              <w:rPr>
                <w:rFonts w:ascii="Times New Roman" w:hAnsi="Times New Roman" w:eastAsia="仿宋" w:cs="Times New Roman"/>
                <w:color w:val="000000" w:themeColor="text1"/>
                <w:sz w:val="22"/>
                <w:szCs w:val="22"/>
                <w14:textFill>
                  <w14:solidFill>
                    <w14:schemeClr w14:val="tx1"/>
                  </w14:solidFill>
                </w14:textFill>
              </w:rPr>
              <w:t>5</w:t>
            </w:r>
            <w:r>
              <w:rPr>
                <w:rFonts w:hint="eastAsia" w:ascii="仿宋" w:hAnsi="仿宋" w:eastAsia="仿宋" w:cs="仿宋"/>
                <w:color w:val="000000" w:themeColor="text1"/>
                <w:sz w:val="22"/>
                <w:szCs w:val="22"/>
                <w14:textFill>
                  <w14:solidFill>
                    <w14:schemeClr w14:val="tx1"/>
                  </w14:solidFill>
                </w14:textFill>
              </w:rPr>
              <w:t>分）</w:t>
            </w:r>
          </w:p>
        </w:tc>
        <w:tc>
          <w:tcPr>
            <w:tcW w:w="1073" w:type="dxa"/>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5.00</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7449" w:type="dxa"/>
            <w:gridSpan w:val="3"/>
            <w:tcBorders>
              <w:bottom w:val="single" w:color="auto" w:sz="4" w:space="0"/>
            </w:tcBorders>
            <w:vAlign w:val="center"/>
          </w:tcPr>
          <w:p>
            <w:pPr>
              <w:spacing w:line="240" w:lineRule="auto"/>
              <w:jc w:val="center"/>
              <w:rPr>
                <w:rFonts w:ascii="仿宋" w:hAnsi="仿宋" w:eastAsia="仿宋" w:cs="仿宋"/>
                <w:b/>
                <w:bCs/>
                <w:color w:val="000000" w:themeColor="text1"/>
                <w:sz w:val="22"/>
                <w:szCs w:val="22"/>
                <w14:textFill>
                  <w14:solidFill>
                    <w14:schemeClr w14:val="tx1"/>
                  </w14:solidFill>
                </w14:textFill>
              </w:rPr>
            </w:pPr>
            <w:r>
              <w:rPr>
                <w:rFonts w:hint="eastAsia" w:ascii="仿宋" w:hAnsi="仿宋" w:eastAsia="仿宋" w:cs="仿宋"/>
                <w:b/>
                <w:bCs/>
                <w:color w:val="000000" w:themeColor="text1"/>
                <w:sz w:val="22"/>
                <w:szCs w:val="22"/>
                <w14:textFill>
                  <w14:solidFill>
                    <w14:schemeClr w14:val="tx1"/>
                  </w14:solidFill>
                </w14:textFill>
              </w:rPr>
              <w:t>总分</w:t>
            </w:r>
          </w:p>
        </w:tc>
        <w:tc>
          <w:tcPr>
            <w:tcW w:w="1073" w:type="dxa"/>
            <w:tcBorders>
              <w:bottom w:val="single" w:color="auto" w:sz="4" w:space="0"/>
            </w:tcBorders>
          </w:tcPr>
          <w:p>
            <w:pPr>
              <w:spacing w:line="240" w:lineRule="auto"/>
              <w:jc w:val="center"/>
              <w:rPr>
                <w:rFonts w:ascii="Times New Roman" w:hAnsi="Times New Roman" w:eastAsia="仿宋" w:cs="Times New Roman"/>
                <w:color w:val="000000" w:themeColor="text1"/>
                <w:sz w:val="22"/>
                <w:szCs w:val="22"/>
                <w14:textFill>
                  <w14:solidFill>
                    <w14:schemeClr w14:val="tx1"/>
                  </w14:solidFill>
                </w14:textFill>
              </w:rPr>
            </w:pPr>
            <w:r>
              <w:rPr>
                <w:rFonts w:ascii="Times New Roman" w:hAnsi="Times New Roman" w:eastAsia="仿宋" w:cs="Times New Roman"/>
                <w:color w:val="000000" w:themeColor="text1"/>
                <w:sz w:val="22"/>
                <w:szCs w:val="22"/>
                <w14:textFill>
                  <w14:solidFill>
                    <w14:schemeClr w14:val="tx1"/>
                  </w14:solidFill>
                </w14:textFill>
              </w:rPr>
              <w:t>89.06</w:t>
            </w:r>
          </w:p>
        </w:tc>
      </w:tr>
    </w:tbl>
    <w:p>
      <w:pPr>
        <w:spacing w:before="190" w:beforeLines="50" w:after="190" w:afterLines="50"/>
        <w:ind w:firstLine="643" w:firstLineChars="200"/>
        <w:outlineLvl w:val="1"/>
        <w:rPr>
          <w:rFonts w:ascii="Times New Roman" w:hAnsi="Times New Roman" w:eastAsia="仿宋" w:cs="Times New Roman"/>
          <w:b/>
          <w:color w:val="000000" w:themeColor="text1"/>
          <w:sz w:val="32"/>
          <w:szCs w:val="32"/>
          <w14:textFill>
            <w14:solidFill>
              <w14:schemeClr w14:val="tx1"/>
            </w14:solidFill>
          </w14:textFill>
        </w:rPr>
      </w:pPr>
      <w:bookmarkStart w:id="85" w:name="_Toc1517595374"/>
      <w:bookmarkStart w:id="86" w:name="_Toc25833"/>
      <w:bookmarkStart w:id="87" w:name="_Toc126508921"/>
      <w:r>
        <w:rPr>
          <w:rFonts w:ascii="Times New Roman" w:hAnsi="Times New Roman" w:eastAsia="仿宋" w:cs="Times New Roman"/>
          <w:b/>
          <w:color w:val="000000" w:themeColor="text1"/>
          <w:sz w:val="32"/>
          <w:szCs w:val="32"/>
          <w14:textFill>
            <w14:solidFill>
              <w14:schemeClr w14:val="tx1"/>
            </w14:solidFill>
          </w14:textFill>
        </w:rPr>
        <w:t>二、绩效评价指标分析</w:t>
      </w:r>
      <w:bookmarkEnd w:id="85"/>
      <w:bookmarkEnd w:id="86"/>
      <w:bookmarkEnd w:id="87"/>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从整体来看，</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2022</w:t>
      </w:r>
      <w:r>
        <w:rPr>
          <w:rFonts w:hint="eastAsia" w:ascii="仿宋" w:hAnsi="仿宋" w:eastAsia="仿宋" w:cs="仿宋"/>
          <w:color w:val="000000" w:themeColor="text1"/>
          <w:szCs w:val="28"/>
          <w14:textFill>
            <w14:solidFill>
              <w14:schemeClr w14:val="tx1"/>
            </w14:solidFill>
          </w14:textFill>
        </w:rPr>
        <w:t>年惠安县旅游发展专项资金运作较规范，资金使用及时，整体实施情况良好，较好地完成了项目设定的各项目标。下面从项目决策、过程、产出、效益四个维度具体分析项目运行情况：</w:t>
      </w:r>
    </w:p>
    <w:p>
      <w:pPr>
        <w:ind w:firstLine="562" w:firstLineChars="200"/>
        <w:outlineLvl w:val="2"/>
        <w:rPr>
          <w:rFonts w:ascii="仿宋" w:hAnsi="仿宋" w:eastAsia="仿宋" w:cs="仿宋"/>
          <w:b/>
          <w:bCs/>
          <w:color w:val="000000" w:themeColor="text1"/>
          <w:szCs w:val="28"/>
          <w14:textFill>
            <w14:solidFill>
              <w14:schemeClr w14:val="tx1"/>
            </w14:solidFill>
          </w14:textFill>
        </w:rPr>
      </w:pPr>
      <w:bookmarkStart w:id="88" w:name="_Toc10412"/>
      <w:bookmarkStart w:id="89" w:name="_Toc406714302"/>
      <w:bookmarkStart w:id="90" w:name="_Toc126508922"/>
      <w:r>
        <w:rPr>
          <w:rFonts w:hint="eastAsia" w:ascii="仿宋" w:hAnsi="仿宋" w:eastAsia="仿宋" w:cs="仿宋"/>
          <w:b/>
          <w:bCs/>
          <w:color w:val="000000" w:themeColor="text1"/>
          <w:szCs w:val="28"/>
          <w14:textFill>
            <w14:solidFill>
              <w14:schemeClr w14:val="tx1"/>
            </w14:solidFill>
          </w14:textFill>
        </w:rPr>
        <w:t>（一）项目决策情况</w:t>
      </w:r>
      <w:bookmarkEnd w:id="88"/>
      <w:bookmarkEnd w:id="89"/>
      <w:bookmarkEnd w:id="90"/>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项目决策维度的评价主要从项目立项、绩效目标和资金投入三个方面展开。</w:t>
      </w:r>
      <w:r>
        <w:rPr>
          <w:rFonts w:hint="eastAsia" w:ascii="仿宋" w:hAnsi="仿宋" w:eastAsia="仿宋" w:cs="仿宋"/>
          <w:color w:val="000000" w:themeColor="text1"/>
          <w:shd w:val="clear" w:color="auto" w:fill="FFFFFF"/>
          <w14:textFill>
            <w14:solidFill>
              <w14:schemeClr w14:val="tx1"/>
            </w14:solidFill>
          </w14:textFill>
        </w:rPr>
        <w:t>项目立项程序规范，绩效目标设置合理，资金投入科学，但仍存在部分</w:t>
      </w:r>
      <w:r>
        <w:rPr>
          <w:rFonts w:hint="eastAsia" w:ascii="仿宋" w:hAnsi="仿宋" w:eastAsia="仿宋" w:cs="仿宋"/>
          <w:color w:val="000000" w:themeColor="text1"/>
          <w14:textFill>
            <w14:solidFill>
              <w14:schemeClr w14:val="tx1"/>
            </w14:solidFill>
          </w14:textFill>
        </w:rPr>
        <w:t>指标设置比较模糊的问题</w:t>
      </w:r>
      <w:r>
        <w:rPr>
          <w:rFonts w:hint="eastAsia" w:ascii="仿宋" w:hAnsi="仿宋" w:eastAsia="仿宋" w:cs="仿宋"/>
          <w:color w:val="000000" w:themeColor="text1"/>
          <w:shd w:val="clear" w:color="auto" w:fill="FFFFFF"/>
          <w14:textFill>
            <w14:solidFill>
              <w14:schemeClr w14:val="tx1"/>
            </w14:solidFill>
          </w14:textFill>
        </w:rPr>
        <w:t>。该部分总分</w:t>
      </w:r>
      <w:r>
        <w:rPr>
          <w:rFonts w:ascii="Times New Roman" w:hAnsi="Times New Roman" w:eastAsia="仿宋" w:cs="Times New Roman"/>
          <w:color w:val="000000" w:themeColor="text1"/>
          <w:shd w:val="clear" w:color="auto" w:fill="FFFFFF"/>
          <w14:textFill>
            <w14:solidFill>
              <w14:schemeClr w14:val="tx1"/>
            </w14:solidFill>
          </w14:textFill>
        </w:rPr>
        <w:t>20</w:t>
      </w:r>
      <w:r>
        <w:rPr>
          <w:rFonts w:hint="eastAsia" w:ascii="仿宋" w:hAnsi="仿宋" w:eastAsia="仿宋" w:cs="仿宋"/>
          <w:color w:val="000000" w:themeColor="text1"/>
          <w:shd w:val="clear" w:color="auto" w:fill="FFFFFF"/>
          <w14:textFill>
            <w14:solidFill>
              <w14:schemeClr w14:val="tx1"/>
            </w14:solidFill>
          </w14:textFill>
        </w:rPr>
        <w:t>分，得分</w:t>
      </w:r>
      <w:r>
        <w:rPr>
          <w:rFonts w:ascii="Times New Roman" w:hAnsi="Times New Roman" w:eastAsia="仿宋" w:cs="Times New Roman"/>
          <w:color w:val="000000" w:themeColor="text1"/>
          <w:szCs w:val="28"/>
          <w14:textFill>
            <w14:solidFill>
              <w14:schemeClr w14:val="tx1"/>
            </w14:solidFill>
          </w14:textFill>
        </w:rPr>
        <w:t>18.5</w:t>
      </w:r>
      <w:r>
        <w:rPr>
          <w:rFonts w:hint="eastAsia" w:ascii="仿宋" w:hAnsi="仿宋" w:eastAsia="仿宋" w:cs="仿宋"/>
          <w:color w:val="000000" w:themeColor="text1"/>
          <w:shd w:val="clear" w:color="auto" w:fill="FFFFFF"/>
          <w14:textFill>
            <w14:solidFill>
              <w14:schemeClr w14:val="tx1"/>
            </w14:solidFill>
          </w14:textFill>
        </w:rPr>
        <w:t>分，扣分</w:t>
      </w:r>
      <w:r>
        <w:rPr>
          <w:rFonts w:ascii="Times New Roman" w:hAnsi="Times New Roman" w:eastAsia="仿宋" w:cs="Times New Roman"/>
          <w:color w:val="000000" w:themeColor="text1"/>
          <w:shd w:val="clear" w:color="auto" w:fill="FFFFFF"/>
          <w14:textFill>
            <w14:solidFill>
              <w14:schemeClr w14:val="tx1"/>
            </w14:solidFill>
          </w14:textFill>
        </w:rPr>
        <w:t>1.5</w:t>
      </w:r>
      <w:r>
        <w:rPr>
          <w:rFonts w:hint="eastAsia" w:ascii="仿宋" w:hAnsi="仿宋" w:eastAsia="仿宋" w:cs="仿宋"/>
          <w:color w:val="000000" w:themeColor="text1"/>
          <w:shd w:val="clear" w:color="auto" w:fill="FFFFFF"/>
          <w14:textFill>
            <w14:solidFill>
              <w14:schemeClr w14:val="tx1"/>
            </w14:solidFill>
          </w14:textFill>
        </w:rPr>
        <w:t>分。</w:t>
      </w:r>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t>在项目立项方面，</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2022</w:t>
      </w:r>
      <w:r>
        <w:rPr>
          <w:rFonts w:hint="eastAsia" w:ascii="仿宋" w:hAnsi="仿宋" w:eastAsia="仿宋" w:cs="仿宋"/>
          <w:color w:val="000000" w:themeColor="text1"/>
          <w:szCs w:val="28"/>
          <w14:textFill>
            <w14:solidFill>
              <w14:schemeClr w14:val="tx1"/>
            </w14:solidFill>
          </w14:textFill>
        </w:rPr>
        <w:t>年惠安县旅游发展专项资金从项目立项起便依据《推动惠安县旅业高质量发展实施意见》、《惠安县旅游业高质量发展奖励措施》、《福建省人民政府关于促进旅游业高质量发展的意见》、《关于促进泉州旅游业高质量发展的行动方案》、《惠安县促进旅游业改革发展实施意见的通知》（惠政文〔</w:t>
      </w:r>
      <w:r>
        <w:rPr>
          <w:rFonts w:ascii="Times New Roman" w:hAnsi="Times New Roman" w:eastAsia="仿宋" w:cs="Times New Roman"/>
          <w:color w:val="000000" w:themeColor="text1"/>
          <w:szCs w:val="28"/>
          <w14:textFill>
            <w14:solidFill>
              <w14:schemeClr w14:val="tx1"/>
            </w14:solidFill>
          </w14:textFill>
        </w:rPr>
        <w:t>2015</w:t>
      </w:r>
      <w:r>
        <w:rPr>
          <w:rFonts w:hint="eastAsia" w:ascii="仿宋" w:hAnsi="仿宋" w:eastAsia="仿宋" w:cs="仿宋"/>
          <w:color w:val="000000" w:themeColor="text1"/>
          <w:szCs w:val="28"/>
          <w14:textFill>
            <w14:solidFill>
              <w14:schemeClr w14:val="tx1"/>
            </w14:solidFill>
          </w14:textFill>
        </w:rPr>
        <w:t>〕</w:t>
      </w:r>
      <w:r>
        <w:rPr>
          <w:rFonts w:ascii="Times New Roman" w:hAnsi="Times New Roman" w:eastAsia="仿宋" w:cs="Times New Roman"/>
          <w:color w:val="000000" w:themeColor="text1"/>
          <w:szCs w:val="28"/>
          <w14:textFill>
            <w14:solidFill>
              <w14:schemeClr w14:val="tx1"/>
            </w14:solidFill>
          </w14:textFill>
        </w:rPr>
        <w:t>149</w:t>
      </w:r>
      <w:r>
        <w:rPr>
          <w:rFonts w:hint="eastAsia" w:ascii="仿宋" w:hAnsi="仿宋" w:eastAsia="仿宋" w:cs="仿宋"/>
          <w:color w:val="000000" w:themeColor="text1"/>
          <w:szCs w:val="28"/>
          <w14:textFill>
            <w14:solidFill>
              <w14:schemeClr w14:val="tx1"/>
            </w14:solidFill>
          </w14:textFill>
        </w:rPr>
        <w:t>号）等政策文件</w:t>
      </w:r>
      <w:bookmarkStart w:id="91" w:name="_Hlk125886954"/>
      <w:r>
        <w:rPr>
          <w:rFonts w:hint="eastAsia" w:ascii="仿宋" w:hAnsi="仿宋" w:eastAsia="仿宋" w:cs="仿宋"/>
          <w:color w:val="000000" w:themeColor="text1"/>
          <w:szCs w:val="28"/>
          <w14:textFill>
            <w14:solidFill>
              <w14:schemeClr w14:val="tx1"/>
            </w14:solidFill>
          </w14:textFill>
        </w:rPr>
        <w:t>，项目按照规定的程序申请设立；审批文件、材料符合相关要求；事前已经过必要的可行性研究、专家论证、风险评估、绩效评估、集体决策，审批文件、材料符合相关要求。例如，</w:t>
      </w:r>
      <w:r>
        <w:rPr>
          <w:rFonts w:ascii="Times New Roman" w:hAnsi="Times New Roman" w:eastAsia="仿宋" w:cs="Times New Roman"/>
          <w:color w:val="000000" w:themeColor="text1"/>
          <w:szCs w:val="28"/>
          <w14:textFill>
            <w14:solidFill>
              <w14:schemeClr w14:val="tx1"/>
            </w14:solidFill>
          </w14:textFill>
        </w:rPr>
        <w:t>2021</w:t>
      </w:r>
      <w:r>
        <w:rPr>
          <w:rFonts w:hint="eastAsia" w:ascii="仿宋" w:hAnsi="仿宋" w:eastAsia="仿宋" w:cs="仿宋"/>
          <w:color w:val="000000" w:themeColor="text1"/>
          <w:szCs w:val="28"/>
          <w14:textFill>
            <w14:solidFill>
              <w14:schemeClr w14:val="tx1"/>
            </w14:solidFill>
          </w14:textFill>
        </w:rPr>
        <w:t>年惠安县文旅局委托第三方评估机构福建鑫盛项目管理咨询有限公司对惠安县</w:t>
      </w:r>
      <w:r>
        <w:rPr>
          <w:rFonts w:ascii="Times New Roman" w:hAnsi="Times New Roman" w:eastAsia="仿宋" w:cs="Times New Roman"/>
          <w:color w:val="000000" w:themeColor="text1"/>
          <w:szCs w:val="28"/>
          <w14:textFill>
            <w14:solidFill>
              <w14:schemeClr w14:val="tx1"/>
            </w14:solidFill>
          </w14:textFill>
        </w:rPr>
        <w:t>2022</w:t>
      </w:r>
      <w:r>
        <w:rPr>
          <w:rFonts w:hint="eastAsia" w:ascii="仿宋" w:hAnsi="仿宋" w:eastAsia="仿宋" w:cs="仿宋"/>
          <w:color w:val="000000" w:themeColor="text1"/>
          <w:szCs w:val="28"/>
          <w14:textFill>
            <w14:solidFill>
              <w14:schemeClr w14:val="tx1"/>
            </w14:solidFill>
          </w14:textFill>
        </w:rPr>
        <w:t>年度旅游高质量发展奖励专项资金的预算绩效进行专项评估，评估结果为“建议实施”。该部分分值为</w:t>
      </w:r>
      <w:r>
        <w:rPr>
          <w:rFonts w:ascii="Times New Roman" w:hAnsi="Times New Roman" w:eastAsia="仿宋" w:cs="Times New Roman"/>
          <w:color w:val="000000" w:themeColor="text1"/>
          <w:szCs w:val="28"/>
          <w14:textFill>
            <w14:solidFill>
              <w14:schemeClr w14:val="tx1"/>
            </w14:solidFill>
          </w14:textFill>
        </w:rPr>
        <w:t>7</w:t>
      </w:r>
      <w:r>
        <w:rPr>
          <w:rFonts w:hint="eastAsia" w:ascii="仿宋" w:hAnsi="仿宋" w:eastAsia="仿宋" w:cs="仿宋"/>
          <w:color w:val="000000" w:themeColor="text1"/>
          <w:szCs w:val="28"/>
          <w14:textFill>
            <w14:solidFill>
              <w14:schemeClr w14:val="tx1"/>
            </w14:solidFill>
          </w14:textFill>
        </w:rPr>
        <w:t>分，评估得分为</w:t>
      </w:r>
      <w:r>
        <w:rPr>
          <w:rFonts w:ascii="Times New Roman" w:hAnsi="Times New Roman" w:eastAsia="仿宋" w:cs="Times New Roman"/>
          <w:color w:val="000000" w:themeColor="text1"/>
          <w:szCs w:val="28"/>
          <w14:textFill>
            <w14:solidFill>
              <w14:schemeClr w14:val="tx1"/>
            </w14:solidFill>
          </w14:textFill>
        </w:rPr>
        <w:t>7</w:t>
      </w:r>
      <w:r>
        <w:rPr>
          <w:rFonts w:hint="eastAsia" w:ascii="仿宋" w:hAnsi="仿宋" w:eastAsia="仿宋" w:cs="仿宋"/>
          <w:color w:val="000000" w:themeColor="text1"/>
          <w:szCs w:val="28"/>
          <w14:textFill>
            <w14:solidFill>
              <w14:schemeClr w14:val="tx1"/>
            </w14:solidFill>
          </w14:textFill>
        </w:rPr>
        <w:t>分。</w:t>
      </w:r>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在绩效目标方面，通过检查该项目的财政支出项目绩效目标表和绩效自评材料，绩效目标与实际工作内容具有相关性，项目预期产出效益和效果符合正常的业绩水平。但在绩效目标设置方面有所欠缺，存在预算绩效目标设置不明确，与项目目标任务数不匹配等问题。例如，</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惠安县旅游发展专项绩效自评材料在设定社会效益指标和生态效益指标时，目标值分别为“全年旅游接待人次全市排名靠前”“旅游收入全市排名靠前”和“旅游生态环境优美，可持续发展”，指标设置较模糊，因此在绩效指标明确性方面扣</w:t>
      </w:r>
      <w:r>
        <w:rPr>
          <w:rFonts w:ascii="Times New Roman" w:hAnsi="Times New Roman" w:eastAsia="仿宋" w:cs="Times New Roman"/>
          <w:color w:val="000000" w:themeColor="text1"/>
          <w14:textFill>
            <w14:solidFill>
              <w14:schemeClr w14:val="tx1"/>
            </w14:solidFill>
          </w14:textFill>
        </w:rPr>
        <w:t>1.5</w:t>
      </w:r>
      <w:r>
        <w:rPr>
          <w:rFonts w:hint="eastAsia" w:ascii="仿宋" w:hAnsi="仿宋" w:eastAsia="仿宋" w:cs="仿宋"/>
          <w:color w:val="000000" w:themeColor="text1"/>
          <w14:textFill>
            <w14:solidFill>
              <w14:schemeClr w14:val="tx1"/>
            </w14:solidFill>
          </w14:textFill>
        </w:rPr>
        <w:t>分。该部分分值为</w:t>
      </w:r>
      <w:r>
        <w:rPr>
          <w:rFonts w:ascii="Times New Roman" w:hAnsi="Times New Roman" w:eastAsia="仿宋" w:cs="Times New Roman"/>
          <w:color w:val="000000" w:themeColor="text1"/>
          <w14:textFill>
            <w14:solidFill>
              <w14:schemeClr w14:val="tx1"/>
            </w14:solidFill>
          </w14:textFill>
        </w:rPr>
        <w:t>7</w:t>
      </w:r>
      <w:r>
        <w:rPr>
          <w:rFonts w:hint="eastAsia" w:ascii="仿宋" w:hAnsi="仿宋" w:eastAsia="仿宋" w:cs="仿宋"/>
          <w:color w:val="000000" w:themeColor="text1"/>
          <w14:textFill>
            <w14:solidFill>
              <w14:schemeClr w14:val="tx1"/>
            </w14:solidFill>
          </w14:textFill>
        </w:rPr>
        <w:t>分，评估得分为</w:t>
      </w:r>
      <w:r>
        <w:rPr>
          <w:rFonts w:ascii="Times New Roman" w:hAnsi="Times New Roman" w:eastAsia="仿宋" w:cs="Times New Roman"/>
          <w:color w:val="000000" w:themeColor="text1"/>
          <w14:textFill>
            <w14:solidFill>
              <w14:schemeClr w14:val="tx1"/>
            </w14:solidFill>
          </w14:textFill>
        </w:rPr>
        <w:t>5.5</w:t>
      </w:r>
      <w:r>
        <w:rPr>
          <w:rFonts w:hint="eastAsia" w:ascii="仿宋" w:hAnsi="仿宋" w:eastAsia="仿宋" w:cs="仿宋"/>
          <w:color w:val="000000" w:themeColor="text1"/>
          <w14:textFill>
            <w14:solidFill>
              <w14:schemeClr w14:val="tx1"/>
            </w14:solidFill>
          </w14:textFill>
        </w:rPr>
        <w:t>分。</w:t>
      </w:r>
    </w:p>
    <w:p>
      <w:pPr>
        <w:ind w:firstLine="560" w:firstLineChars="200"/>
        <w:rPr>
          <w:rFonts w:ascii="仿宋" w:hAnsi="仿宋" w:eastAsia="仿宋" w:cs="仿宋"/>
          <w:color w:val="000000" w:themeColor="text1"/>
          <w:szCs w:val="28"/>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在资金投入方面，项目预算编制经过科学论证；预算内容与项目内容匹配；预算额度测算依据充分，并按照标准编制；预算确定的项目投资额或资金量与工作任务相匹配。</w:t>
      </w:r>
      <w:r>
        <w:rPr>
          <w:rFonts w:hint="eastAsia" w:ascii="仿宋" w:hAnsi="仿宋" w:eastAsia="仿宋" w:cs="仿宋"/>
          <w:color w:val="000000" w:themeColor="text1"/>
          <w:szCs w:val="28"/>
          <w14:textFill>
            <w14:solidFill>
              <w14:schemeClr w14:val="tx1"/>
            </w14:solidFill>
          </w14:textFill>
        </w:rPr>
        <w:t>该部分分值为</w:t>
      </w:r>
      <w:r>
        <w:rPr>
          <w:rFonts w:ascii="Times New Roman" w:hAnsi="Times New Roman" w:eastAsia="仿宋" w:cs="Times New Roman"/>
          <w:color w:val="000000" w:themeColor="text1"/>
          <w:szCs w:val="28"/>
          <w14:textFill>
            <w14:solidFill>
              <w14:schemeClr w14:val="tx1"/>
            </w14:solidFill>
          </w14:textFill>
        </w:rPr>
        <w:t>6</w:t>
      </w:r>
      <w:r>
        <w:rPr>
          <w:rFonts w:hint="eastAsia" w:ascii="仿宋" w:hAnsi="仿宋" w:eastAsia="仿宋" w:cs="仿宋"/>
          <w:color w:val="000000" w:themeColor="text1"/>
          <w:szCs w:val="28"/>
          <w14:textFill>
            <w14:solidFill>
              <w14:schemeClr w14:val="tx1"/>
            </w14:solidFill>
          </w14:textFill>
        </w:rPr>
        <w:t>分，评估得分为</w:t>
      </w:r>
      <w:r>
        <w:rPr>
          <w:rFonts w:ascii="Times New Roman" w:hAnsi="Times New Roman" w:eastAsia="仿宋" w:cs="Times New Roman"/>
          <w:color w:val="000000" w:themeColor="text1"/>
          <w:szCs w:val="28"/>
          <w14:textFill>
            <w14:solidFill>
              <w14:schemeClr w14:val="tx1"/>
            </w14:solidFill>
          </w14:textFill>
        </w:rPr>
        <w:t>6</w:t>
      </w:r>
      <w:r>
        <w:rPr>
          <w:rFonts w:hint="eastAsia" w:ascii="仿宋" w:hAnsi="仿宋" w:eastAsia="仿宋" w:cs="仿宋"/>
          <w:color w:val="000000" w:themeColor="text1"/>
          <w:szCs w:val="28"/>
          <w14:textFill>
            <w14:solidFill>
              <w14:schemeClr w14:val="tx1"/>
            </w14:solidFill>
          </w14:textFill>
        </w:rPr>
        <w:t>分。</w:t>
      </w:r>
    </w:p>
    <w:bookmarkEnd w:id="91"/>
    <w:p>
      <w:pPr>
        <w:autoSpaceDE w:val="0"/>
        <w:ind w:firstLine="562"/>
        <w:outlineLvl w:val="2"/>
        <w:rPr>
          <w:rFonts w:ascii="仿宋" w:hAnsi="仿宋" w:eastAsia="仿宋" w:cs="仿宋"/>
          <w:b/>
          <w:bCs/>
          <w:color w:val="000000" w:themeColor="text1"/>
          <w14:textFill>
            <w14:solidFill>
              <w14:schemeClr w14:val="tx1"/>
            </w14:solidFill>
          </w14:textFill>
        </w:rPr>
      </w:pPr>
      <w:bookmarkStart w:id="92" w:name="_Toc119967329"/>
      <w:bookmarkStart w:id="93" w:name="_Toc126508923"/>
      <w:bookmarkStart w:id="94" w:name="_Toc14649"/>
      <w:r>
        <w:rPr>
          <w:rFonts w:hint="eastAsia" w:ascii="仿宋" w:hAnsi="仿宋" w:eastAsia="仿宋" w:cs="仿宋"/>
          <w:b/>
          <w:bCs/>
          <w:color w:val="000000" w:themeColor="text1"/>
          <w14:textFill>
            <w14:solidFill>
              <w14:schemeClr w14:val="tx1"/>
            </w14:solidFill>
          </w14:textFill>
        </w:rPr>
        <w:t>（二）项目过程情况</w:t>
      </w:r>
      <w:bookmarkEnd w:id="92"/>
      <w:bookmarkEnd w:id="93"/>
      <w:bookmarkEnd w:id="94"/>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项目过程维度的评价主要从资金管理、组织实施两个方面展开。项目资金管理合规，组织实施有据可依，但仍存在预算执行率未达标的问题。该部分总分</w:t>
      </w:r>
      <w:r>
        <w:rPr>
          <w:rFonts w:ascii="Times New Roman" w:hAnsi="Times New Roman" w:eastAsia="仿宋" w:cs="Times New Roman"/>
          <w:color w:val="000000" w:themeColor="text1"/>
          <w14:textFill>
            <w14:solidFill>
              <w14:schemeClr w14:val="tx1"/>
            </w14:solidFill>
          </w14:textFill>
        </w:rPr>
        <w:t>15</w:t>
      </w:r>
      <w:r>
        <w:rPr>
          <w:rFonts w:hint="eastAsia" w:ascii="仿宋" w:hAnsi="仿宋" w:eastAsia="仿宋" w:cs="仿宋"/>
          <w:color w:val="000000" w:themeColor="text1"/>
          <w14:textFill>
            <w14:solidFill>
              <w14:schemeClr w14:val="tx1"/>
            </w14:solidFill>
          </w14:textFill>
        </w:rPr>
        <w:t>分，得分</w:t>
      </w:r>
      <w:r>
        <w:rPr>
          <w:rFonts w:ascii="Times New Roman" w:hAnsi="Times New Roman" w:eastAsia="仿宋" w:cs="Times New Roman"/>
          <w:color w:val="000000" w:themeColor="text1"/>
          <w14:textFill>
            <w14:solidFill>
              <w14:schemeClr w14:val="tx1"/>
            </w14:solidFill>
          </w14:textFill>
        </w:rPr>
        <w:t>14.13</w:t>
      </w:r>
      <w:r>
        <w:rPr>
          <w:rFonts w:hint="eastAsia" w:ascii="仿宋" w:hAnsi="仿宋" w:eastAsia="仿宋" w:cs="仿宋"/>
          <w:color w:val="000000" w:themeColor="text1"/>
          <w14:textFill>
            <w14:solidFill>
              <w14:schemeClr w14:val="tx1"/>
            </w14:solidFill>
          </w14:textFill>
        </w:rPr>
        <w:t>分，扣分</w:t>
      </w:r>
      <w:r>
        <w:rPr>
          <w:rFonts w:ascii="Times New Roman" w:hAnsi="Times New Roman" w:eastAsia="仿宋" w:cs="Times New Roman"/>
          <w:color w:val="000000" w:themeColor="text1"/>
          <w14:textFill>
            <w14:solidFill>
              <w14:schemeClr w14:val="tx1"/>
            </w14:solidFill>
          </w14:textFill>
        </w:rPr>
        <w:t>0.87</w:t>
      </w:r>
      <w:r>
        <w:rPr>
          <w:rFonts w:hint="eastAsia" w:ascii="仿宋" w:hAnsi="仿宋" w:eastAsia="仿宋" w:cs="仿宋"/>
          <w:color w:val="000000" w:themeColor="text1"/>
          <w14:textFill>
            <w14:solidFill>
              <w14:schemeClr w14:val="tx1"/>
            </w14:solidFill>
          </w14:textFill>
        </w:rPr>
        <w:t>分。</w:t>
      </w:r>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资金管理方面，由于预算执行率=（实际支出/预算支出）*</w:t>
      </w:r>
      <w:r>
        <w:rPr>
          <w:rFonts w:ascii="Times New Roman" w:hAnsi="Times New Roman" w:eastAsia="仿宋" w:cs="Times New Roman"/>
          <w:color w:val="000000" w:themeColor="text1"/>
          <w14:textFill>
            <w14:solidFill>
              <w14:schemeClr w14:val="tx1"/>
            </w14:solidFill>
          </w14:textFill>
        </w:rPr>
        <w:t>100</w:t>
      </w:r>
      <w:r>
        <w:rPr>
          <w:rFonts w:hint="eastAsia" w:ascii="仿宋" w:hAnsi="仿宋" w:eastAsia="仿宋" w:cs="仿宋"/>
          <w:color w:val="000000" w:themeColor="text1"/>
          <w14:textFill>
            <w14:solidFill>
              <w14:schemeClr w14:val="tx1"/>
            </w14:solidFill>
          </w14:textFill>
        </w:rPr>
        <w:t>%，根据</w:t>
      </w:r>
      <w:r>
        <w:rPr>
          <w:rFonts w:ascii="Times New Roman" w:hAnsi="Times New Roman" w:eastAsia="仿宋" w:cs="Times New Roman"/>
          <w:color w:val="000000" w:themeColor="text1"/>
          <w14:textFill>
            <w14:solidFill>
              <w14:schemeClr w14:val="tx1"/>
            </w14:solidFill>
          </w14:textFill>
        </w:rPr>
        <w:t>2021</w:t>
      </w:r>
      <w:r>
        <w:rPr>
          <w:rFonts w:hint="eastAsia" w:ascii="仿宋" w:hAnsi="仿宋" w:eastAsia="仿宋" w:cs="仿宋"/>
          <w:color w:val="000000" w:themeColor="text1"/>
          <w14:textFill>
            <w14:solidFill>
              <w14:schemeClr w14:val="tx1"/>
            </w14:solidFill>
          </w14:textFill>
        </w:rPr>
        <w:t>年度和</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年度惠安县旅游事业发展中心决算的文件，可知旅游发展专项资金两年的支出决算总额为</w:t>
      </w:r>
      <w:r>
        <w:rPr>
          <w:rFonts w:ascii="Times New Roman" w:hAnsi="Times New Roman" w:eastAsia="仿宋" w:cs="Times New Roman"/>
          <w:color w:val="000000" w:themeColor="text1"/>
          <w14:textFill>
            <w14:solidFill>
              <w14:schemeClr w14:val="tx1"/>
            </w14:solidFill>
          </w14:textFill>
        </w:rPr>
        <w:t>1096.46</w:t>
      </w:r>
      <w:r>
        <w:rPr>
          <w:rFonts w:hint="eastAsia" w:ascii="仿宋" w:hAnsi="仿宋" w:eastAsia="仿宋" w:cs="仿宋"/>
          <w:color w:val="000000" w:themeColor="text1"/>
          <w14:textFill>
            <w14:solidFill>
              <w14:schemeClr w14:val="tx1"/>
            </w14:solidFill>
          </w14:textFill>
        </w:rPr>
        <w:t>万元，两年的支出预算总额为</w:t>
      </w:r>
      <w:r>
        <w:rPr>
          <w:rFonts w:ascii="Times New Roman" w:hAnsi="Times New Roman" w:eastAsia="仿宋" w:cs="Times New Roman"/>
          <w:color w:val="000000" w:themeColor="text1"/>
          <w14:textFill>
            <w14:solidFill>
              <w14:schemeClr w14:val="tx1"/>
            </w14:solidFill>
          </w14:textFill>
        </w:rPr>
        <w:t>1400</w:t>
      </w:r>
      <w:r>
        <w:rPr>
          <w:rFonts w:hint="eastAsia" w:ascii="仿宋" w:hAnsi="仿宋" w:eastAsia="仿宋" w:cs="仿宋"/>
          <w:color w:val="000000" w:themeColor="text1"/>
          <w14:textFill>
            <w14:solidFill>
              <w14:schemeClr w14:val="tx1"/>
            </w14:solidFill>
          </w14:textFill>
        </w:rPr>
        <w:t>万元，故预算执行率=（</w:t>
      </w:r>
      <w:r>
        <w:rPr>
          <w:rFonts w:ascii="Times New Roman" w:hAnsi="Times New Roman" w:eastAsia="仿宋" w:cs="Times New Roman"/>
          <w:color w:val="000000" w:themeColor="text1"/>
          <w14:textFill>
            <w14:solidFill>
              <w14:schemeClr w14:val="tx1"/>
            </w14:solidFill>
          </w14:textFill>
        </w:rPr>
        <w:t>1096.46</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1400</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100</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78.32</w:t>
      </w:r>
      <w:r>
        <w:rPr>
          <w:rFonts w:hint="eastAsia" w:ascii="仿宋" w:hAnsi="仿宋" w:eastAsia="仿宋" w:cs="仿宋"/>
          <w:color w:val="000000" w:themeColor="text1"/>
          <w14:textFill>
            <w14:solidFill>
              <w14:schemeClr w14:val="tx1"/>
            </w14:solidFill>
          </w14:textFill>
        </w:rPr>
        <w:t>%,资金执行率未达</w:t>
      </w:r>
      <w:r>
        <w:rPr>
          <w:rFonts w:ascii="Times New Roman" w:hAnsi="Times New Roman" w:eastAsia="仿宋" w:cs="Times New Roman"/>
          <w:color w:val="000000" w:themeColor="text1"/>
          <w14:textFill>
            <w14:solidFill>
              <w14:schemeClr w14:val="tx1"/>
            </w14:solidFill>
          </w14:textFill>
        </w:rPr>
        <w:t>100</w:t>
      </w:r>
      <w:r>
        <w:rPr>
          <w:rFonts w:hint="eastAsia" w:ascii="仿宋" w:hAnsi="仿宋" w:eastAsia="仿宋" w:cs="仿宋"/>
          <w:color w:val="000000" w:themeColor="text1"/>
          <w14:textFill>
            <w14:solidFill>
              <w14:schemeClr w14:val="tx1"/>
            </w14:solidFill>
          </w14:textFill>
        </w:rPr>
        <w:t>%，因此此项扣</w:t>
      </w:r>
      <w:r>
        <w:rPr>
          <w:rFonts w:ascii="Times New Roman" w:hAnsi="Times New Roman" w:eastAsia="仿宋" w:cs="Times New Roman"/>
          <w:color w:val="000000" w:themeColor="text1"/>
          <w14:textFill>
            <w14:solidFill>
              <w14:schemeClr w14:val="tx1"/>
            </w14:solidFill>
          </w14:textFill>
        </w:rPr>
        <w:t>0.87</w:t>
      </w:r>
      <w:r>
        <w:rPr>
          <w:rFonts w:hint="eastAsia" w:ascii="仿宋" w:hAnsi="仿宋" w:eastAsia="仿宋" w:cs="仿宋"/>
          <w:color w:val="000000" w:themeColor="text1"/>
          <w14:textFill>
            <w14:solidFill>
              <w14:schemeClr w14:val="tx1"/>
            </w14:solidFill>
          </w14:textFill>
        </w:rPr>
        <w:t>分（</w:t>
      </w:r>
      <w:r>
        <w:rPr>
          <w:rFonts w:ascii="Times New Roman" w:hAnsi="Times New Roman" w:eastAsia="仿宋" w:cs="Times New Roman"/>
          <w:color w:val="000000" w:themeColor="text1"/>
          <w14:textFill>
            <w14:solidFill>
              <w14:schemeClr w14:val="tx1"/>
            </w14:solidFill>
          </w14:textFill>
        </w:rPr>
        <w:t>4</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4</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78.32</w:t>
      </w:r>
      <w:r>
        <w:rPr>
          <w:rFonts w:hint="eastAsia" w:ascii="仿宋" w:hAnsi="仿宋" w:eastAsia="仿宋" w:cs="仿宋"/>
          <w:color w:val="000000" w:themeColor="text1"/>
          <w14:textFill>
            <w14:solidFill>
              <w14:schemeClr w14:val="tx1"/>
            </w14:solidFill>
          </w14:textFill>
        </w:rPr>
        <w:t>%）；资金使用符合国家财经法规和财务管理制度以及有关专项资金管理办法的规定；资金的拨付有完整的审批程序和手续；资金使用符合项目资金批复或合同规定的用途；不存在挤占、挪用、虚列支出等情况。该部分分值为</w:t>
      </w:r>
      <w:r>
        <w:rPr>
          <w:rFonts w:ascii="Times New Roman" w:hAnsi="Times New Roman" w:eastAsia="仿宋" w:cs="Times New Roman"/>
          <w:color w:val="000000" w:themeColor="text1"/>
          <w14:textFill>
            <w14:solidFill>
              <w14:schemeClr w14:val="tx1"/>
            </w14:solidFill>
          </w14:textFill>
        </w:rPr>
        <w:t>8</w:t>
      </w:r>
      <w:r>
        <w:rPr>
          <w:rFonts w:hint="eastAsia" w:ascii="仿宋" w:hAnsi="仿宋" w:eastAsia="仿宋" w:cs="仿宋"/>
          <w:color w:val="000000" w:themeColor="text1"/>
          <w14:textFill>
            <w14:solidFill>
              <w14:schemeClr w14:val="tx1"/>
            </w14:solidFill>
          </w14:textFill>
        </w:rPr>
        <w:t>分，评估得分为</w:t>
      </w:r>
      <w:r>
        <w:rPr>
          <w:rFonts w:ascii="Times New Roman" w:hAnsi="Times New Roman" w:eastAsia="仿宋" w:cs="Times New Roman"/>
          <w:color w:val="000000" w:themeColor="text1"/>
          <w14:textFill>
            <w14:solidFill>
              <w14:schemeClr w14:val="tx1"/>
            </w14:solidFill>
          </w14:textFill>
        </w:rPr>
        <w:t>7.13</w:t>
      </w:r>
      <w:r>
        <w:rPr>
          <w:rFonts w:hint="eastAsia" w:ascii="仿宋" w:hAnsi="仿宋" w:eastAsia="仿宋" w:cs="仿宋"/>
          <w:color w:val="000000" w:themeColor="text1"/>
          <w14:textFill>
            <w14:solidFill>
              <w14:schemeClr w14:val="tx1"/>
            </w14:solidFill>
          </w14:textFill>
        </w:rPr>
        <w:t>分。</w:t>
      </w:r>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组织实施方面，已具有相应的财务和业务管理制度；财务和业务管理制度合法、合规、完整，对项目顺利实施提供了保障。惠安县旅游事业发展中心依据相关法律法规和相关管理规定实施项目；项目资金申报表、技术鉴定等资料齐全并及时归档；拟补助单位的审核摸排等工作实施到位，项目实施的人员条件、场地设备、信息支撑等落实到位。该部分分值为</w:t>
      </w:r>
      <w:r>
        <w:rPr>
          <w:rFonts w:ascii="Times New Roman" w:hAnsi="Times New Roman" w:eastAsia="仿宋" w:cs="Times New Roman"/>
          <w:color w:val="000000" w:themeColor="text1"/>
          <w14:textFill>
            <w14:solidFill>
              <w14:schemeClr w14:val="tx1"/>
            </w14:solidFill>
          </w14:textFill>
        </w:rPr>
        <w:t>7</w:t>
      </w:r>
      <w:r>
        <w:rPr>
          <w:rFonts w:hint="eastAsia" w:ascii="仿宋" w:hAnsi="仿宋" w:eastAsia="仿宋" w:cs="仿宋"/>
          <w:color w:val="000000" w:themeColor="text1"/>
          <w14:textFill>
            <w14:solidFill>
              <w14:schemeClr w14:val="tx1"/>
            </w14:solidFill>
          </w14:textFill>
        </w:rPr>
        <w:t>分，评估得分为</w:t>
      </w:r>
      <w:r>
        <w:rPr>
          <w:rFonts w:ascii="Times New Roman" w:hAnsi="Times New Roman" w:eastAsia="仿宋" w:cs="Times New Roman"/>
          <w:color w:val="000000" w:themeColor="text1"/>
          <w14:textFill>
            <w14:solidFill>
              <w14:schemeClr w14:val="tx1"/>
            </w14:solidFill>
          </w14:textFill>
        </w:rPr>
        <w:t>7</w:t>
      </w:r>
      <w:r>
        <w:rPr>
          <w:rFonts w:hint="eastAsia" w:ascii="仿宋" w:hAnsi="仿宋" w:eastAsia="仿宋" w:cs="仿宋"/>
          <w:color w:val="000000" w:themeColor="text1"/>
          <w14:textFill>
            <w14:solidFill>
              <w14:schemeClr w14:val="tx1"/>
            </w14:solidFill>
          </w14:textFill>
        </w:rPr>
        <w:t>分。</w:t>
      </w:r>
    </w:p>
    <w:p>
      <w:pPr>
        <w:autoSpaceDE w:val="0"/>
        <w:ind w:firstLine="562"/>
        <w:outlineLvl w:val="2"/>
        <w:rPr>
          <w:rFonts w:ascii="仿宋" w:hAnsi="仿宋" w:eastAsia="仿宋" w:cs="仿宋"/>
          <w:b/>
          <w:bCs/>
          <w:color w:val="000000" w:themeColor="text1"/>
          <w14:textFill>
            <w14:solidFill>
              <w14:schemeClr w14:val="tx1"/>
            </w14:solidFill>
          </w14:textFill>
        </w:rPr>
      </w:pPr>
      <w:bookmarkStart w:id="95" w:name="_Toc119967330"/>
      <w:bookmarkStart w:id="96" w:name="_Toc126508924"/>
      <w:bookmarkStart w:id="97" w:name="_Toc13443"/>
      <w:r>
        <w:rPr>
          <w:rFonts w:hint="eastAsia" w:ascii="仿宋" w:hAnsi="仿宋" w:eastAsia="仿宋" w:cs="仿宋"/>
          <w:b/>
          <w:bCs/>
          <w:color w:val="000000" w:themeColor="text1"/>
          <w14:textFill>
            <w14:solidFill>
              <w14:schemeClr w14:val="tx1"/>
            </w14:solidFill>
          </w14:textFill>
        </w:rPr>
        <w:t>（三）项目产出情况</w:t>
      </w:r>
      <w:bookmarkEnd w:id="95"/>
      <w:bookmarkEnd w:id="96"/>
      <w:bookmarkEnd w:id="97"/>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产出维度的评价主要从数量指标、质量指标两个方面展开。其中，数量指标从完善旅游产业链条、开展文旅宣传和完善旅游服务设施三个方面进行考核，质量指标从安全无事故和旅游安全宣传两个方面进行考核，大部分项目已达成绩效目标值，但仍存在部分项目未达标的问题。该部分总分</w:t>
      </w:r>
      <w:r>
        <w:rPr>
          <w:rFonts w:ascii="Times New Roman" w:hAnsi="Times New Roman" w:eastAsia="仿宋" w:cs="Times New Roman"/>
          <w:color w:val="000000" w:themeColor="text1"/>
          <w14:textFill>
            <w14:solidFill>
              <w14:schemeClr w14:val="tx1"/>
            </w14:solidFill>
          </w14:textFill>
        </w:rPr>
        <w:t>40</w:t>
      </w:r>
      <w:r>
        <w:rPr>
          <w:rFonts w:hint="eastAsia" w:ascii="仿宋" w:hAnsi="仿宋" w:eastAsia="仿宋" w:cs="仿宋"/>
          <w:color w:val="000000" w:themeColor="text1"/>
          <w14:textFill>
            <w14:solidFill>
              <w14:schemeClr w14:val="tx1"/>
            </w14:solidFill>
          </w14:textFill>
        </w:rPr>
        <w:t>分，得分</w:t>
      </w:r>
      <w:r>
        <w:rPr>
          <w:rFonts w:ascii="Times New Roman" w:hAnsi="Times New Roman" w:eastAsia="仿宋" w:cs="Times New Roman"/>
          <w:color w:val="000000" w:themeColor="text1"/>
          <w14:textFill>
            <w14:solidFill>
              <w14:schemeClr w14:val="tx1"/>
            </w14:solidFill>
          </w14:textFill>
        </w:rPr>
        <w:t>34.38</w:t>
      </w:r>
      <w:r>
        <w:rPr>
          <w:rFonts w:hint="eastAsia" w:ascii="仿宋" w:hAnsi="仿宋" w:eastAsia="仿宋" w:cs="仿宋"/>
          <w:color w:val="000000" w:themeColor="text1"/>
          <w14:textFill>
            <w14:solidFill>
              <w14:schemeClr w14:val="tx1"/>
            </w14:solidFill>
          </w14:textFill>
        </w:rPr>
        <w:t>分，扣分</w:t>
      </w:r>
      <w:r>
        <w:rPr>
          <w:rFonts w:ascii="Times New Roman" w:hAnsi="Times New Roman" w:eastAsia="仿宋" w:cs="Times New Roman"/>
          <w:color w:val="000000" w:themeColor="text1"/>
          <w14:textFill>
            <w14:solidFill>
              <w14:schemeClr w14:val="tx1"/>
            </w14:solidFill>
          </w14:textFill>
        </w:rPr>
        <w:t>5.62</w:t>
      </w:r>
      <w:r>
        <w:rPr>
          <w:rFonts w:hint="eastAsia" w:ascii="仿宋" w:hAnsi="仿宋" w:eastAsia="仿宋" w:cs="仿宋"/>
          <w:color w:val="000000" w:themeColor="text1"/>
          <w14:textFill>
            <w14:solidFill>
              <w14:schemeClr w14:val="tx1"/>
            </w14:solidFill>
          </w14:textFill>
        </w:rPr>
        <w:t>分。</w:t>
      </w:r>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在数量指标方面，项目执行期间，惠安县文旅局采取了星级酒店补助、稳岗补贴、旅游民宿补助等政策帮扶旅游企业度过疫情难关，加快推动旅游市场复苏，但受疫情持续影响，星级酒店复核性评定和新评星级民宿任务完成情况较不理想，根据惠安县文旅局填报的专项资金绩效目标申报表等文件，</w:t>
      </w:r>
      <w:r>
        <w:rPr>
          <w:rFonts w:ascii="Times New Roman" w:hAnsi="Times New Roman" w:eastAsia="仿宋" w:cs="Times New Roman"/>
          <w:color w:val="000000" w:themeColor="text1"/>
          <w14:textFill>
            <w14:solidFill>
              <w14:schemeClr w14:val="tx1"/>
            </w14:solidFill>
          </w14:textFill>
        </w:rPr>
        <w:t>2021</w:t>
      </w:r>
      <w:r>
        <w:rPr>
          <w:rFonts w:hint="eastAsia" w:ascii="仿宋" w:hAnsi="仿宋" w:eastAsia="仿宋" w:cs="仿宋"/>
          <w:color w:val="000000" w:themeColor="text1"/>
          <w14:textFill>
            <w14:solidFill>
              <w14:schemeClr w14:val="tx1"/>
            </w14:solidFill>
          </w14:textFill>
        </w:rPr>
        <w:t>年和</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年累计需要完成星级酒店复核性评定</w:t>
      </w:r>
      <w:r>
        <w:rPr>
          <w:rFonts w:ascii="Times New Roman" w:hAnsi="Times New Roman" w:eastAsia="仿宋" w:cs="Times New Roman"/>
          <w:color w:val="000000" w:themeColor="text1"/>
          <w14:textFill>
            <w14:solidFill>
              <w14:schemeClr w14:val="tx1"/>
            </w14:solidFill>
          </w14:textFill>
        </w:rPr>
        <w:t>9</w:t>
      </w:r>
      <w:r>
        <w:rPr>
          <w:rFonts w:hint="eastAsia" w:ascii="仿宋" w:hAnsi="仿宋" w:eastAsia="仿宋" w:cs="仿宋"/>
          <w:color w:val="000000" w:themeColor="text1"/>
          <w14:textFill>
            <w14:solidFill>
              <w14:schemeClr w14:val="tx1"/>
            </w14:solidFill>
          </w14:textFill>
        </w:rPr>
        <w:t>家，新评星级民宿</w:t>
      </w:r>
      <w:r>
        <w:rPr>
          <w:rFonts w:ascii="Times New Roman" w:hAnsi="Times New Roman" w:eastAsia="仿宋" w:cs="Times New Roman"/>
          <w:color w:val="000000" w:themeColor="text1"/>
          <w14:textFill>
            <w14:solidFill>
              <w14:schemeClr w14:val="tx1"/>
            </w14:solidFill>
          </w14:textFill>
        </w:rPr>
        <w:t>7</w:t>
      </w:r>
      <w:r>
        <w:rPr>
          <w:rFonts w:hint="eastAsia" w:ascii="仿宋" w:hAnsi="仿宋" w:eastAsia="仿宋" w:cs="仿宋"/>
          <w:color w:val="000000" w:themeColor="text1"/>
          <w14:textFill>
            <w14:solidFill>
              <w14:schemeClr w14:val="tx1"/>
            </w14:solidFill>
          </w14:textFill>
        </w:rPr>
        <w:t>家。根据</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年旅游高质量发展资金下达文件等材料，该项目两年内已完成星级酒店评定性复核</w:t>
      </w:r>
      <w:r>
        <w:rPr>
          <w:rFonts w:ascii="Times New Roman" w:hAnsi="Times New Roman" w:eastAsia="仿宋" w:cs="Times New Roman"/>
          <w:color w:val="000000" w:themeColor="text1"/>
          <w14:textFill>
            <w14:solidFill>
              <w14:schemeClr w14:val="tx1"/>
            </w14:solidFill>
          </w14:textFill>
        </w:rPr>
        <w:t>6</w:t>
      </w:r>
      <w:r>
        <w:rPr>
          <w:rFonts w:hint="eastAsia" w:ascii="仿宋" w:hAnsi="仿宋" w:eastAsia="仿宋" w:cs="仿宋"/>
          <w:color w:val="000000" w:themeColor="text1"/>
          <w14:textFill>
            <w14:solidFill>
              <w14:schemeClr w14:val="tx1"/>
            </w14:solidFill>
          </w14:textFill>
        </w:rPr>
        <w:t>家，其中，</w:t>
      </w:r>
      <w:r>
        <w:rPr>
          <w:rFonts w:ascii="Times New Roman" w:hAnsi="Times New Roman" w:eastAsia="仿宋" w:cs="Times New Roman"/>
          <w:color w:val="000000" w:themeColor="text1"/>
          <w14:textFill>
            <w14:solidFill>
              <w14:schemeClr w14:val="tx1"/>
            </w14:solidFill>
          </w14:textFill>
        </w:rPr>
        <w:t>2021</w:t>
      </w:r>
      <w:r>
        <w:rPr>
          <w:rFonts w:hint="eastAsia" w:ascii="仿宋" w:hAnsi="仿宋" w:eastAsia="仿宋" w:cs="仿宋"/>
          <w:color w:val="000000" w:themeColor="text1"/>
          <w14:textFill>
            <w14:solidFill>
              <w14:schemeClr w14:val="tx1"/>
            </w14:solidFill>
          </w14:textFill>
        </w:rPr>
        <w:t>年完成星级酒店复核性评定</w:t>
      </w:r>
      <w:r>
        <w:rPr>
          <w:rFonts w:ascii="Times New Roman" w:hAnsi="Times New Roman" w:eastAsia="仿宋" w:cs="Times New Roman"/>
          <w:color w:val="000000" w:themeColor="text1"/>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家，</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年完成星级酒店复核性评定</w:t>
      </w:r>
      <w:r>
        <w:rPr>
          <w:rFonts w:ascii="Times New Roman" w:hAnsi="Times New Roman" w:eastAsia="仿宋" w:cs="Times New Roman"/>
          <w:color w:val="000000" w:themeColor="text1"/>
          <w14:textFill>
            <w14:solidFill>
              <w14:schemeClr w14:val="tx1"/>
            </w14:solidFill>
          </w14:textFill>
        </w:rPr>
        <w:t>1</w:t>
      </w:r>
      <w:r>
        <w:rPr>
          <w:rFonts w:hint="eastAsia" w:ascii="仿宋" w:hAnsi="仿宋" w:eastAsia="仿宋" w:cs="仿宋"/>
          <w:color w:val="000000" w:themeColor="text1"/>
          <w14:textFill>
            <w14:solidFill>
              <w14:schemeClr w14:val="tx1"/>
            </w14:solidFill>
          </w14:textFill>
        </w:rPr>
        <w:t>家，完成率为</w:t>
      </w:r>
      <w:r>
        <w:rPr>
          <w:rFonts w:ascii="Times New Roman" w:hAnsi="Times New Roman" w:eastAsia="仿宋" w:cs="Times New Roman"/>
          <w:color w:val="000000" w:themeColor="text1"/>
          <w14:textFill>
            <w14:solidFill>
              <w14:schemeClr w14:val="tx1"/>
            </w14:solidFill>
          </w14:textFill>
        </w:rPr>
        <w:t>66.67</w:t>
      </w:r>
      <w:r>
        <w:rPr>
          <w:rFonts w:hint="eastAsia" w:ascii="仿宋" w:hAnsi="仿宋" w:eastAsia="仿宋" w:cs="仿宋"/>
          <w:color w:val="000000" w:themeColor="text1"/>
          <w14:textFill>
            <w14:solidFill>
              <w14:schemeClr w14:val="tx1"/>
            </w14:solidFill>
          </w14:textFill>
        </w:rPr>
        <w:t>%，未达成规划任务数，因此此项扣</w:t>
      </w:r>
      <w:r>
        <w:rPr>
          <w:rFonts w:ascii="Times New Roman" w:hAnsi="Times New Roman" w:eastAsia="仿宋" w:cs="Times New Roman"/>
          <w:color w:val="000000" w:themeColor="text1"/>
          <w14:textFill>
            <w14:solidFill>
              <w14:schemeClr w14:val="tx1"/>
            </w14:solidFill>
          </w14:textFill>
        </w:rPr>
        <w:t>1.</w:t>
      </w:r>
      <w:r>
        <w:rPr>
          <w:rFonts w:hint="eastAsia" w:ascii="Times New Roman" w:hAnsi="Times New Roman" w:eastAsia="仿宋" w:cs="Times New Roman"/>
          <w:color w:val="000000" w:themeColor="text1"/>
          <w14:textFill>
            <w14:solidFill>
              <w14:schemeClr w14:val="tx1"/>
            </w14:solidFill>
          </w14:textFill>
        </w:rPr>
        <w:t>33</w:t>
      </w:r>
      <w:r>
        <w:rPr>
          <w:rFonts w:hint="eastAsia" w:ascii="仿宋" w:hAnsi="仿宋" w:eastAsia="仿宋" w:cs="仿宋"/>
          <w:color w:val="000000" w:themeColor="text1"/>
          <w14:textFill>
            <w14:solidFill>
              <w14:schemeClr w14:val="tx1"/>
            </w14:solidFill>
          </w14:textFill>
        </w:rPr>
        <w:t>分（</w:t>
      </w:r>
      <w:r>
        <w:rPr>
          <w:rFonts w:ascii="Times New Roman" w:hAnsi="Times New Roman" w:eastAsia="仿宋" w:cs="Times New Roman"/>
          <w:color w:val="000000" w:themeColor="text1"/>
          <w14:textFill>
            <w14:solidFill>
              <w14:schemeClr w14:val="tx1"/>
            </w14:solidFill>
          </w14:textFill>
        </w:rPr>
        <w:t>4</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4</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66.67</w:t>
      </w:r>
      <w:r>
        <w:rPr>
          <w:rFonts w:hint="eastAsia" w:ascii="仿宋" w:hAnsi="仿宋" w:eastAsia="仿宋" w:cs="仿宋"/>
          <w:color w:val="000000" w:themeColor="text1"/>
          <w14:textFill>
            <w14:solidFill>
              <w14:schemeClr w14:val="tx1"/>
            </w14:solidFill>
          </w14:textFill>
        </w:rPr>
        <w:t>%）；该项目两年内已新评星级民宿</w:t>
      </w:r>
      <w:r>
        <w:rPr>
          <w:rFonts w:ascii="Times New Roman" w:hAnsi="Times New Roman" w:eastAsia="仿宋" w:cs="Times New Roman"/>
          <w:color w:val="000000" w:themeColor="text1"/>
          <w14:textFill>
            <w14:solidFill>
              <w14:schemeClr w14:val="tx1"/>
            </w14:solidFill>
          </w14:textFill>
        </w:rPr>
        <w:t>3</w:t>
      </w:r>
      <w:r>
        <w:rPr>
          <w:rFonts w:hint="eastAsia" w:ascii="仿宋" w:hAnsi="仿宋" w:eastAsia="仿宋" w:cs="仿宋"/>
          <w:color w:val="000000" w:themeColor="text1"/>
          <w14:textFill>
            <w14:solidFill>
              <w14:schemeClr w14:val="tx1"/>
            </w14:solidFill>
          </w14:textFill>
        </w:rPr>
        <w:t>家，其中，</w:t>
      </w:r>
      <w:r>
        <w:rPr>
          <w:rFonts w:ascii="Times New Roman" w:hAnsi="Times New Roman" w:eastAsia="仿宋" w:cs="Times New Roman"/>
          <w:color w:val="000000" w:themeColor="text1"/>
          <w14:textFill>
            <w14:solidFill>
              <w14:schemeClr w14:val="tx1"/>
            </w14:solidFill>
          </w14:textFill>
        </w:rPr>
        <w:t>2</w:t>
      </w:r>
      <w:r>
        <w:rPr>
          <w:rFonts w:hint="eastAsia" w:ascii="仿宋" w:hAnsi="仿宋" w:eastAsia="仿宋" w:cs="仿宋"/>
          <w:color w:val="000000" w:themeColor="text1"/>
          <w14:textFill>
            <w14:solidFill>
              <w14:schemeClr w14:val="tx1"/>
            </w14:solidFill>
          </w14:textFill>
        </w:rPr>
        <w:t>家为乙级民宿，</w:t>
      </w:r>
      <w:r>
        <w:rPr>
          <w:rFonts w:ascii="Times New Roman" w:hAnsi="Times New Roman" w:eastAsia="仿宋" w:cs="Times New Roman"/>
          <w:color w:val="000000" w:themeColor="text1"/>
          <w14:textFill>
            <w14:solidFill>
              <w14:schemeClr w14:val="tx1"/>
            </w14:solidFill>
          </w14:textFill>
        </w:rPr>
        <w:t>1</w:t>
      </w:r>
      <w:r>
        <w:rPr>
          <w:rFonts w:hint="eastAsia" w:ascii="仿宋" w:hAnsi="仿宋" w:eastAsia="仿宋" w:cs="仿宋"/>
          <w:color w:val="000000" w:themeColor="text1"/>
          <w14:textFill>
            <w14:solidFill>
              <w14:schemeClr w14:val="tx1"/>
            </w14:solidFill>
          </w14:textFill>
        </w:rPr>
        <w:t>家为丙级民宿，完成率为</w:t>
      </w:r>
      <w:r>
        <w:rPr>
          <w:rFonts w:ascii="Times New Roman" w:hAnsi="Times New Roman" w:eastAsia="仿宋" w:cs="Times New Roman"/>
          <w:color w:val="000000" w:themeColor="text1"/>
          <w14:textFill>
            <w14:solidFill>
              <w14:schemeClr w14:val="tx1"/>
            </w14:solidFill>
          </w14:textFill>
        </w:rPr>
        <w:t>42.86</w:t>
      </w:r>
      <w:r>
        <w:rPr>
          <w:rFonts w:hint="eastAsia" w:ascii="仿宋" w:hAnsi="仿宋" w:eastAsia="仿宋" w:cs="仿宋"/>
          <w:color w:val="000000" w:themeColor="text1"/>
          <w14:textFill>
            <w14:solidFill>
              <w14:schemeClr w14:val="tx1"/>
            </w14:solidFill>
          </w14:textFill>
        </w:rPr>
        <w:t>%，未达成规划任务数，因此此项扣</w:t>
      </w:r>
      <w:r>
        <w:rPr>
          <w:rFonts w:ascii="Times New Roman" w:hAnsi="Times New Roman" w:eastAsia="仿宋" w:cs="Times New Roman"/>
          <w:color w:val="000000" w:themeColor="text1"/>
          <w14:textFill>
            <w14:solidFill>
              <w14:schemeClr w14:val="tx1"/>
            </w14:solidFill>
          </w14:textFill>
        </w:rPr>
        <w:t>2.29</w:t>
      </w:r>
      <w:r>
        <w:rPr>
          <w:rFonts w:hint="eastAsia" w:ascii="仿宋" w:hAnsi="仿宋" w:eastAsia="仿宋" w:cs="仿宋"/>
          <w:color w:val="000000" w:themeColor="text1"/>
          <w14:textFill>
            <w14:solidFill>
              <w14:schemeClr w14:val="tx1"/>
            </w14:solidFill>
          </w14:textFill>
        </w:rPr>
        <w:t>分（</w:t>
      </w:r>
      <w:r>
        <w:rPr>
          <w:rFonts w:ascii="Times New Roman" w:hAnsi="Times New Roman" w:eastAsia="仿宋" w:cs="Times New Roman"/>
          <w:color w:val="000000" w:themeColor="text1"/>
          <w14:textFill>
            <w14:solidFill>
              <w14:schemeClr w14:val="tx1"/>
            </w14:solidFill>
          </w14:textFill>
        </w:rPr>
        <w:t>4</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4</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42.86</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2021</w:t>
      </w:r>
      <w:r>
        <w:rPr>
          <w:rFonts w:hint="eastAsia" w:ascii="仿宋" w:hAnsi="仿宋" w:eastAsia="仿宋" w:cs="仿宋"/>
          <w:color w:val="000000" w:themeColor="text1"/>
          <w14:textFill>
            <w14:solidFill>
              <w14:schemeClr w14:val="tx1"/>
            </w14:solidFill>
          </w14:textFill>
        </w:rPr>
        <w:t>年和</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年惠安县文旅局计划在“惠安文旅”微信服务号上发布原创图文合计</w:t>
      </w:r>
      <w:r>
        <w:rPr>
          <w:rFonts w:ascii="Times New Roman" w:hAnsi="Times New Roman" w:eastAsia="仿宋" w:cs="Times New Roman"/>
          <w:color w:val="000000" w:themeColor="text1"/>
          <w14:textFill>
            <w14:solidFill>
              <w14:schemeClr w14:val="tx1"/>
            </w14:solidFill>
          </w14:textFill>
        </w:rPr>
        <w:t>70</w:t>
      </w:r>
      <w:r>
        <w:rPr>
          <w:rFonts w:hint="eastAsia" w:ascii="仿宋" w:hAnsi="仿宋" w:eastAsia="仿宋" w:cs="仿宋"/>
          <w:color w:val="000000" w:themeColor="text1"/>
          <w14:textFill>
            <w14:solidFill>
              <w14:schemeClr w14:val="tx1"/>
            </w14:solidFill>
          </w14:textFill>
        </w:rPr>
        <w:t>篇，使“惠安文旅”微信服务号粉丝数量增长</w:t>
      </w:r>
      <w:r>
        <w:rPr>
          <w:rFonts w:ascii="Times New Roman" w:hAnsi="Times New Roman" w:eastAsia="仿宋" w:cs="Times New Roman"/>
          <w:color w:val="000000" w:themeColor="text1"/>
          <w14:textFill>
            <w14:solidFill>
              <w14:schemeClr w14:val="tx1"/>
            </w14:solidFill>
          </w14:textFill>
        </w:rPr>
        <w:t>10</w:t>
      </w:r>
      <w:r>
        <w:rPr>
          <w:rFonts w:hint="eastAsia" w:ascii="仿宋" w:hAnsi="仿宋" w:eastAsia="仿宋" w:cs="仿宋"/>
          <w:color w:val="000000" w:themeColor="text1"/>
          <w14:textFill>
            <w14:solidFill>
              <w14:schemeClr w14:val="tx1"/>
            </w14:solidFill>
          </w14:textFill>
        </w:rPr>
        <w:t>%，截止至</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w:t>
      </w:r>
      <w:r>
        <w:rPr>
          <w:rFonts w:ascii="Times New Roman" w:hAnsi="Times New Roman" w:eastAsia="仿宋" w:cs="Times New Roman"/>
          <w:color w:val="000000" w:themeColor="text1"/>
          <w14:textFill>
            <w14:solidFill>
              <w14:schemeClr w14:val="tx1"/>
            </w14:solidFill>
          </w14:textFill>
        </w:rPr>
        <w:t>4</w:t>
      </w:r>
      <w:r>
        <w:rPr>
          <w:rFonts w:hint="eastAsia" w:ascii="仿宋" w:hAnsi="仿宋" w:eastAsia="仿宋" w:cs="仿宋"/>
          <w:color w:val="000000" w:themeColor="text1"/>
          <w14:textFill>
            <w14:solidFill>
              <w14:schemeClr w14:val="tx1"/>
            </w14:solidFill>
          </w14:textFill>
        </w:rPr>
        <w:t>月</w:t>
      </w:r>
      <w:r>
        <w:rPr>
          <w:rFonts w:ascii="Times New Roman" w:hAnsi="Times New Roman" w:eastAsia="仿宋" w:cs="Times New Roman"/>
          <w:color w:val="000000" w:themeColor="text1"/>
          <w14:textFill>
            <w14:solidFill>
              <w14:schemeClr w14:val="tx1"/>
            </w14:solidFill>
          </w14:textFill>
        </w:rPr>
        <w:t>28</w:t>
      </w:r>
      <w:r>
        <w:rPr>
          <w:rFonts w:hint="eastAsia" w:ascii="仿宋" w:hAnsi="仿宋" w:eastAsia="仿宋" w:cs="仿宋"/>
          <w:color w:val="000000" w:themeColor="text1"/>
          <w14:textFill>
            <w14:solidFill>
              <w14:schemeClr w14:val="tx1"/>
            </w14:solidFill>
          </w14:textFill>
        </w:rPr>
        <w:t>日，“惠安文旅”微信服务号总计发布原创图文</w:t>
      </w:r>
      <w:r>
        <w:rPr>
          <w:rFonts w:ascii="Times New Roman" w:hAnsi="Times New Roman" w:eastAsia="仿宋" w:cs="Times New Roman"/>
          <w:color w:val="000000" w:themeColor="text1"/>
          <w14:textFill>
            <w14:solidFill>
              <w14:schemeClr w14:val="tx1"/>
            </w14:solidFill>
          </w14:textFill>
        </w:rPr>
        <w:t>85</w:t>
      </w:r>
      <w:r>
        <w:rPr>
          <w:rFonts w:hint="eastAsia" w:ascii="仿宋" w:hAnsi="仿宋" w:eastAsia="仿宋" w:cs="仿宋"/>
          <w:color w:val="000000" w:themeColor="text1"/>
          <w14:textFill>
            <w14:solidFill>
              <w14:schemeClr w14:val="tx1"/>
            </w14:solidFill>
          </w14:textFill>
        </w:rPr>
        <w:t>篇，超额完成</w:t>
      </w:r>
      <w:r>
        <w:rPr>
          <w:rFonts w:ascii="Times New Roman" w:hAnsi="Times New Roman" w:eastAsia="仿宋" w:cs="Times New Roman"/>
          <w:color w:val="000000" w:themeColor="text1"/>
          <w14:textFill>
            <w14:solidFill>
              <w14:schemeClr w14:val="tx1"/>
            </w14:solidFill>
          </w14:textFill>
        </w:rPr>
        <w:t>15</w:t>
      </w:r>
      <w:r>
        <w:rPr>
          <w:rFonts w:hint="eastAsia" w:ascii="仿宋" w:hAnsi="仿宋" w:eastAsia="仿宋" w:cs="仿宋"/>
          <w:color w:val="000000" w:themeColor="text1"/>
          <w14:textFill>
            <w14:solidFill>
              <w14:schemeClr w14:val="tx1"/>
            </w14:solidFill>
          </w14:textFill>
        </w:rPr>
        <w:t>篇，“惠安文旅”微信服务号从最初的</w:t>
      </w:r>
      <w:r>
        <w:rPr>
          <w:rFonts w:ascii="Times New Roman" w:hAnsi="Times New Roman" w:eastAsia="仿宋" w:cs="Times New Roman"/>
          <w:color w:val="000000" w:themeColor="text1"/>
          <w14:textFill>
            <w14:solidFill>
              <w14:schemeClr w14:val="tx1"/>
            </w14:solidFill>
          </w14:textFill>
        </w:rPr>
        <w:t>1.4</w:t>
      </w:r>
      <w:r>
        <w:rPr>
          <w:rFonts w:hint="eastAsia" w:ascii="仿宋" w:hAnsi="仿宋" w:eastAsia="仿宋" w:cs="仿宋"/>
          <w:color w:val="000000" w:themeColor="text1"/>
          <w14:textFill>
            <w14:solidFill>
              <w14:schemeClr w14:val="tx1"/>
            </w14:solidFill>
          </w14:textFill>
        </w:rPr>
        <w:t>万人增至</w:t>
      </w:r>
      <w:r>
        <w:rPr>
          <w:rFonts w:ascii="Times New Roman" w:hAnsi="Times New Roman" w:eastAsia="仿宋" w:cs="Times New Roman"/>
          <w:color w:val="000000" w:themeColor="text1"/>
          <w14:textFill>
            <w14:solidFill>
              <w14:schemeClr w14:val="tx1"/>
            </w14:solidFill>
          </w14:textFill>
        </w:rPr>
        <w:t>1.6</w:t>
      </w:r>
      <w:r>
        <w:rPr>
          <w:rFonts w:hint="eastAsia" w:ascii="仿宋" w:hAnsi="仿宋" w:eastAsia="仿宋" w:cs="仿宋"/>
          <w:color w:val="000000" w:themeColor="text1"/>
          <w14:textFill>
            <w14:solidFill>
              <w14:schemeClr w14:val="tx1"/>
            </w14:solidFill>
          </w14:textFill>
        </w:rPr>
        <w:t>万人，粉丝数量增长幅度达</w:t>
      </w:r>
      <w:r>
        <w:rPr>
          <w:rFonts w:ascii="Times New Roman" w:hAnsi="Times New Roman" w:eastAsia="仿宋" w:cs="Times New Roman"/>
          <w:color w:val="000000" w:themeColor="text1"/>
          <w14:textFill>
            <w14:solidFill>
              <w14:schemeClr w14:val="tx1"/>
            </w14:solidFill>
          </w14:textFill>
        </w:rPr>
        <w:t>15</w:t>
      </w:r>
      <w:r>
        <w:rPr>
          <w:rFonts w:hint="eastAsia" w:ascii="仿宋" w:hAnsi="仿宋" w:eastAsia="仿宋" w:cs="仿宋"/>
          <w:color w:val="000000" w:themeColor="text1"/>
          <w14:textFill>
            <w14:solidFill>
              <w14:schemeClr w14:val="tx1"/>
            </w14:solidFill>
          </w14:textFill>
        </w:rPr>
        <w:t>%，两项指标均已达成目标值。另外，在完善旅游基础设施方面，惠安县文旅局根据往年的经验和数据设置了两个绩效目标值，分别是建设达标厕所</w:t>
      </w:r>
      <w:r>
        <w:rPr>
          <w:rFonts w:ascii="Times New Roman" w:hAnsi="Times New Roman" w:eastAsia="仿宋" w:cs="Times New Roman"/>
          <w:color w:val="000000" w:themeColor="text1"/>
          <w14:textFill>
            <w14:solidFill>
              <w14:schemeClr w14:val="tx1"/>
            </w14:solidFill>
          </w14:textFill>
        </w:rPr>
        <w:t>6</w:t>
      </w:r>
      <w:r>
        <w:rPr>
          <w:rFonts w:hint="eastAsia" w:ascii="仿宋" w:hAnsi="仿宋" w:eastAsia="仿宋" w:cs="仿宋"/>
          <w:color w:val="000000" w:themeColor="text1"/>
          <w14:textFill>
            <w14:solidFill>
              <w14:schemeClr w14:val="tx1"/>
            </w14:solidFill>
          </w14:textFill>
        </w:rPr>
        <w:t>家和提升旅游服务配套设施</w:t>
      </w:r>
      <w:r>
        <w:rPr>
          <w:rFonts w:ascii="Times New Roman" w:hAnsi="Times New Roman" w:eastAsia="仿宋" w:cs="Times New Roman"/>
          <w:color w:val="000000" w:themeColor="text1"/>
          <w14:textFill>
            <w14:solidFill>
              <w14:schemeClr w14:val="tx1"/>
            </w14:solidFill>
          </w14:textFill>
        </w:rPr>
        <w:t>4</w:t>
      </w:r>
      <w:r>
        <w:rPr>
          <w:rFonts w:hint="eastAsia" w:ascii="仿宋" w:hAnsi="仿宋" w:eastAsia="仿宋" w:cs="仿宋"/>
          <w:color w:val="000000" w:themeColor="text1"/>
          <w14:textFill>
            <w14:solidFill>
              <w14:schemeClr w14:val="tx1"/>
            </w14:solidFill>
          </w14:textFill>
        </w:rPr>
        <w:t>家。根据惠安县文旅局提供的资金下达文件，实际只建设了</w:t>
      </w:r>
      <w:r>
        <w:rPr>
          <w:rFonts w:ascii="Times New Roman" w:hAnsi="Times New Roman" w:eastAsia="仿宋" w:cs="Times New Roman"/>
          <w:color w:val="000000" w:themeColor="text1"/>
          <w14:textFill>
            <w14:solidFill>
              <w14:schemeClr w14:val="tx1"/>
            </w14:solidFill>
          </w14:textFill>
        </w:rPr>
        <w:t>3</w:t>
      </w:r>
      <w:r>
        <w:rPr>
          <w:rFonts w:hint="eastAsia" w:ascii="仿宋" w:hAnsi="仿宋" w:eastAsia="仿宋" w:cs="仿宋"/>
          <w:color w:val="000000" w:themeColor="text1"/>
          <w14:textFill>
            <w14:solidFill>
              <w14:schemeClr w14:val="tx1"/>
            </w14:solidFill>
          </w14:textFill>
        </w:rPr>
        <w:t>家达标厕所（其中有一家在非重点区域不给予补助），该项指标的完成率为</w:t>
      </w:r>
      <w:r>
        <w:rPr>
          <w:rFonts w:ascii="Times New Roman" w:hAnsi="Times New Roman" w:eastAsia="仿宋" w:cs="Times New Roman"/>
          <w:color w:val="000000" w:themeColor="text1"/>
          <w14:textFill>
            <w14:solidFill>
              <w14:schemeClr w14:val="tx1"/>
            </w14:solidFill>
          </w14:textFill>
        </w:rPr>
        <w:t>50</w:t>
      </w:r>
      <w:r>
        <w:rPr>
          <w:rFonts w:hint="eastAsia" w:ascii="仿宋" w:hAnsi="仿宋" w:eastAsia="仿宋" w:cs="仿宋"/>
          <w:color w:val="000000" w:themeColor="text1"/>
          <w14:textFill>
            <w14:solidFill>
              <w14:schemeClr w14:val="tx1"/>
            </w14:solidFill>
          </w14:textFill>
        </w:rPr>
        <w:t>%，未达成规划任务数，因此此项扣</w:t>
      </w:r>
      <w:r>
        <w:rPr>
          <w:rFonts w:ascii="Times New Roman" w:hAnsi="Times New Roman" w:eastAsia="仿宋" w:cs="Times New Roman"/>
          <w:color w:val="000000" w:themeColor="text1"/>
          <w14:textFill>
            <w14:solidFill>
              <w14:schemeClr w14:val="tx1"/>
            </w14:solidFill>
          </w14:textFill>
        </w:rPr>
        <w:t>2</w:t>
      </w:r>
      <w:r>
        <w:rPr>
          <w:rFonts w:hint="eastAsia" w:ascii="仿宋" w:hAnsi="仿宋" w:eastAsia="仿宋" w:cs="仿宋"/>
          <w:color w:val="000000" w:themeColor="text1"/>
          <w14:textFill>
            <w14:solidFill>
              <w14:schemeClr w14:val="tx1"/>
            </w14:solidFill>
          </w14:textFill>
        </w:rPr>
        <w:t>分（</w:t>
      </w:r>
      <w:r>
        <w:rPr>
          <w:rFonts w:ascii="Times New Roman" w:hAnsi="Times New Roman" w:eastAsia="仿宋" w:cs="Times New Roman"/>
          <w:color w:val="000000" w:themeColor="text1"/>
          <w14:textFill>
            <w14:solidFill>
              <w14:schemeClr w14:val="tx1"/>
            </w14:solidFill>
          </w14:textFill>
        </w:rPr>
        <w:t>4</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4</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50</w:t>
      </w:r>
      <w:r>
        <w:rPr>
          <w:rFonts w:hint="eastAsia" w:ascii="仿宋" w:hAnsi="仿宋" w:eastAsia="仿宋" w:cs="仿宋"/>
          <w:color w:val="000000" w:themeColor="text1"/>
          <w14:textFill>
            <w14:solidFill>
              <w14:schemeClr w14:val="tx1"/>
            </w14:solidFill>
          </w14:textFill>
        </w:rPr>
        <w:t>%）;实际完成提升旅游服务配套设施</w:t>
      </w:r>
      <w:r>
        <w:rPr>
          <w:rFonts w:ascii="Times New Roman" w:hAnsi="Times New Roman" w:eastAsia="仿宋" w:cs="Times New Roman"/>
          <w:color w:val="000000" w:themeColor="text1"/>
          <w14:textFill>
            <w14:solidFill>
              <w14:schemeClr w14:val="tx1"/>
            </w14:solidFill>
          </w14:textFill>
        </w:rPr>
        <w:t>4</w:t>
      </w:r>
      <w:r>
        <w:rPr>
          <w:rFonts w:hint="eastAsia" w:ascii="仿宋" w:hAnsi="仿宋" w:eastAsia="仿宋" w:cs="仿宋"/>
          <w:color w:val="000000" w:themeColor="text1"/>
          <w14:textFill>
            <w14:solidFill>
              <w14:schemeClr w14:val="tx1"/>
            </w14:solidFill>
          </w14:textFill>
        </w:rPr>
        <w:t>家，完成率为</w:t>
      </w:r>
      <w:r>
        <w:rPr>
          <w:rFonts w:ascii="Times New Roman" w:hAnsi="Times New Roman" w:eastAsia="仿宋" w:cs="Times New Roman"/>
          <w:color w:val="000000" w:themeColor="text1"/>
          <w14:textFill>
            <w14:solidFill>
              <w14:schemeClr w14:val="tx1"/>
            </w14:solidFill>
          </w14:textFill>
        </w:rPr>
        <w:t>100</w:t>
      </w:r>
      <w:r>
        <w:rPr>
          <w:rFonts w:hint="eastAsia" w:ascii="仿宋" w:hAnsi="仿宋" w:eastAsia="仿宋" w:cs="仿宋"/>
          <w:color w:val="000000" w:themeColor="text1"/>
          <w14:textFill>
            <w14:solidFill>
              <w14:schemeClr w14:val="tx1"/>
            </w14:solidFill>
          </w14:textFill>
        </w:rPr>
        <w:t>%，达成目标值。该部分分值为</w:t>
      </w:r>
      <w:r>
        <w:rPr>
          <w:rFonts w:ascii="Times New Roman" w:hAnsi="Times New Roman" w:eastAsia="仿宋" w:cs="Times New Roman"/>
          <w:color w:val="000000" w:themeColor="text1"/>
          <w14:textFill>
            <w14:solidFill>
              <w14:schemeClr w14:val="tx1"/>
            </w14:solidFill>
          </w14:textFill>
        </w:rPr>
        <w:t>24</w:t>
      </w:r>
      <w:r>
        <w:rPr>
          <w:rFonts w:hint="eastAsia" w:ascii="仿宋" w:hAnsi="仿宋" w:eastAsia="仿宋" w:cs="仿宋"/>
          <w:color w:val="000000" w:themeColor="text1"/>
          <w14:textFill>
            <w14:solidFill>
              <w14:schemeClr w14:val="tx1"/>
            </w14:solidFill>
          </w14:textFill>
        </w:rPr>
        <w:t>分，评估得分为</w:t>
      </w:r>
      <w:r>
        <w:rPr>
          <w:rFonts w:ascii="Times New Roman" w:hAnsi="Times New Roman" w:eastAsia="仿宋" w:cs="Times New Roman"/>
          <w:color w:val="000000" w:themeColor="text1"/>
          <w14:textFill>
            <w14:solidFill>
              <w14:schemeClr w14:val="tx1"/>
            </w14:solidFill>
          </w14:textFill>
        </w:rPr>
        <w:t>18.38</w:t>
      </w:r>
      <w:r>
        <w:rPr>
          <w:rFonts w:hint="eastAsia" w:ascii="仿宋" w:hAnsi="仿宋" w:eastAsia="仿宋" w:cs="仿宋"/>
          <w:color w:val="000000" w:themeColor="text1"/>
          <w14:textFill>
            <w14:solidFill>
              <w14:schemeClr w14:val="tx1"/>
            </w14:solidFill>
          </w14:textFill>
        </w:rPr>
        <w:t>分。</w:t>
      </w:r>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在质量指标方面，</w:t>
      </w:r>
      <w:r>
        <w:rPr>
          <w:rFonts w:ascii="Times New Roman" w:hAnsi="Times New Roman" w:eastAsia="仿宋" w:cs="Times New Roman"/>
          <w:color w:val="000000" w:themeColor="text1"/>
          <w14:textFill>
            <w14:solidFill>
              <w14:schemeClr w14:val="tx1"/>
            </w14:solidFill>
          </w14:textFill>
        </w:rPr>
        <w:t>2021</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年旅游发展专项期间，惠安县文旅局实现了“安全、秩序、质量、效益”的四个统一，没有发生重大旅游安全事故。另外，根据惠安县文旅局填报的专项资金绩效目标申报表等文件，</w:t>
      </w:r>
      <w:r>
        <w:rPr>
          <w:rFonts w:ascii="Times New Roman" w:hAnsi="Times New Roman" w:eastAsia="仿宋" w:cs="Times New Roman"/>
          <w:color w:val="000000" w:themeColor="text1"/>
          <w14:textFill>
            <w14:solidFill>
              <w14:schemeClr w14:val="tx1"/>
            </w14:solidFill>
          </w14:textFill>
        </w:rPr>
        <w:t>2021</w:t>
      </w:r>
      <w:r>
        <w:rPr>
          <w:rFonts w:hint="eastAsia" w:ascii="仿宋" w:hAnsi="仿宋" w:eastAsia="仿宋" w:cs="仿宋"/>
          <w:color w:val="000000" w:themeColor="text1"/>
          <w14:textFill>
            <w14:solidFill>
              <w14:schemeClr w14:val="tx1"/>
            </w14:solidFill>
          </w14:textFill>
        </w:rPr>
        <w:t>年和</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年累计需要对</w:t>
      </w:r>
      <w:r>
        <w:rPr>
          <w:rFonts w:ascii="Times New Roman" w:hAnsi="Times New Roman" w:eastAsia="仿宋" w:cs="Times New Roman"/>
          <w:color w:val="000000" w:themeColor="text1"/>
          <w14:textFill>
            <w14:solidFill>
              <w14:schemeClr w14:val="tx1"/>
            </w14:solidFill>
          </w14:textFill>
        </w:rPr>
        <w:t>85</w:t>
      </w:r>
      <w:r>
        <w:rPr>
          <w:rFonts w:hint="eastAsia" w:ascii="仿宋" w:hAnsi="仿宋" w:eastAsia="仿宋" w:cs="仿宋"/>
          <w:color w:val="000000" w:themeColor="text1"/>
          <w14:textFill>
            <w14:solidFill>
              <w14:schemeClr w14:val="tx1"/>
            </w14:solidFill>
          </w14:textFill>
        </w:rPr>
        <w:t>家文旅企业和事业单位开展旅游安全宣传培训，该项指标完成率为</w:t>
      </w:r>
      <w:r>
        <w:rPr>
          <w:rFonts w:ascii="Times New Roman" w:hAnsi="Times New Roman" w:eastAsia="仿宋" w:cs="Times New Roman"/>
          <w:color w:val="000000" w:themeColor="text1"/>
          <w14:textFill>
            <w14:solidFill>
              <w14:schemeClr w14:val="tx1"/>
            </w14:solidFill>
          </w14:textFill>
        </w:rPr>
        <w:t>100</w:t>
      </w:r>
      <w:r>
        <w:rPr>
          <w:rFonts w:hint="eastAsia" w:ascii="仿宋" w:hAnsi="仿宋" w:eastAsia="仿宋" w:cs="仿宋"/>
          <w:color w:val="000000" w:themeColor="text1"/>
          <w14:textFill>
            <w14:solidFill>
              <w14:schemeClr w14:val="tx1"/>
            </w14:solidFill>
          </w14:textFill>
        </w:rPr>
        <w:t>%，例如，惠安县文旅局召开</w:t>
      </w:r>
      <w:r>
        <w:rPr>
          <w:rFonts w:ascii="Times New Roman" w:hAnsi="Times New Roman" w:eastAsia="仿宋" w:cs="Times New Roman"/>
          <w:color w:val="000000" w:themeColor="text1"/>
          <w14:textFill>
            <w14:solidFill>
              <w14:schemeClr w14:val="tx1"/>
            </w14:solidFill>
          </w14:textFill>
        </w:rPr>
        <w:t>2021</w:t>
      </w:r>
      <w:r>
        <w:rPr>
          <w:rFonts w:hint="eastAsia" w:ascii="仿宋" w:hAnsi="仿宋" w:eastAsia="仿宋" w:cs="仿宋"/>
          <w:color w:val="000000" w:themeColor="text1"/>
          <w14:textFill>
            <w14:solidFill>
              <w14:schemeClr w14:val="tx1"/>
            </w14:solidFill>
          </w14:textFill>
        </w:rPr>
        <w:t>年文化体育和旅游市场岁末年初安全生产及疫情防控工作会暨开展法治教育宣传活动，全县共有</w:t>
      </w:r>
      <w:r>
        <w:rPr>
          <w:rFonts w:ascii="Times New Roman" w:hAnsi="Times New Roman" w:eastAsia="仿宋" w:cs="Times New Roman"/>
          <w:color w:val="000000" w:themeColor="text1"/>
          <w14:textFill>
            <w14:solidFill>
              <w14:schemeClr w14:val="tx1"/>
            </w14:solidFill>
          </w14:textFill>
        </w:rPr>
        <w:t>90</w:t>
      </w:r>
      <w:r>
        <w:rPr>
          <w:rFonts w:hint="eastAsia" w:ascii="仿宋" w:hAnsi="仿宋" w:eastAsia="仿宋" w:cs="仿宋"/>
          <w:color w:val="000000" w:themeColor="text1"/>
          <w14:textFill>
            <w14:solidFill>
              <w14:schemeClr w14:val="tx1"/>
            </w14:solidFill>
          </w14:textFill>
        </w:rPr>
        <w:t>家文体旅企业和文保单位参会。该部分分值为</w:t>
      </w:r>
      <w:r>
        <w:rPr>
          <w:rFonts w:ascii="Times New Roman" w:hAnsi="Times New Roman" w:eastAsia="仿宋" w:cs="Times New Roman"/>
          <w:color w:val="000000" w:themeColor="text1"/>
          <w14:textFill>
            <w14:solidFill>
              <w14:schemeClr w14:val="tx1"/>
            </w14:solidFill>
          </w14:textFill>
        </w:rPr>
        <w:t>16</w:t>
      </w:r>
      <w:r>
        <w:rPr>
          <w:rFonts w:hint="eastAsia" w:ascii="仿宋" w:hAnsi="仿宋" w:eastAsia="仿宋" w:cs="仿宋"/>
          <w:color w:val="000000" w:themeColor="text1"/>
          <w14:textFill>
            <w14:solidFill>
              <w14:schemeClr w14:val="tx1"/>
            </w14:solidFill>
          </w14:textFill>
        </w:rPr>
        <w:t>分，评估得分为</w:t>
      </w:r>
      <w:r>
        <w:rPr>
          <w:rFonts w:ascii="Times New Roman" w:hAnsi="Times New Roman" w:eastAsia="仿宋" w:cs="Times New Roman"/>
          <w:color w:val="000000" w:themeColor="text1"/>
          <w14:textFill>
            <w14:solidFill>
              <w14:schemeClr w14:val="tx1"/>
            </w14:solidFill>
          </w14:textFill>
        </w:rPr>
        <w:t>16</w:t>
      </w:r>
      <w:r>
        <w:rPr>
          <w:rFonts w:hint="eastAsia" w:ascii="仿宋" w:hAnsi="仿宋" w:eastAsia="仿宋" w:cs="仿宋"/>
          <w:color w:val="000000" w:themeColor="text1"/>
          <w14:textFill>
            <w14:solidFill>
              <w14:schemeClr w14:val="tx1"/>
            </w14:solidFill>
          </w14:textFill>
        </w:rPr>
        <w:t>分。</w:t>
      </w:r>
    </w:p>
    <w:p>
      <w:pPr>
        <w:autoSpaceDE w:val="0"/>
        <w:ind w:firstLine="562"/>
        <w:outlineLvl w:val="2"/>
        <w:rPr>
          <w:rFonts w:ascii="仿宋" w:hAnsi="仿宋" w:eastAsia="仿宋" w:cs="仿宋"/>
          <w:b/>
          <w:bCs/>
          <w:color w:val="000000" w:themeColor="text1"/>
          <w14:textFill>
            <w14:solidFill>
              <w14:schemeClr w14:val="tx1"/>
            </w14:solidFill>
          </w14:textFill>
        </w:rPr>
      </w:pPr>
      <w:bookmarkStart w:id="98" w:name="_Toc126508925"/>
      <w:bookmarkStart w:id="99" w:name="_Toc14982"/>
      <w:bookmarkStart w:id="100" w:name="_Toc119967331"/>
      <w:r>
        <w:rPr>
          <w:rFonts w:hint="eastAsia" w:ascii="仿宋" w:hAnsi="仿宋" w:eastAsia="仿宋" w:cs="仿宋"/>
          <w:b/>
          <w:bCs/>
          <w:color w:val="000000" w:themeColor="text1"/>
          <w14:textFill>
            <w14:solidFill>
              <w14:schemeClr w14:val="tx1"/>
            </w14:solidFill>
          </w14:textFill>
        </w:rPr>
        <w:t>（四）项目效益情况</w:t>
      </w:r>
      <w:bookmarkEnd w:id="98"/>
      <w:bookmarkEnd w:id="99"/>
      <w:bookmarkEnd w:id="100"/>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效益维度的评价主要从经济效益、社会效益、生态效益、可持续效益和满意度五个方面展开。其中，社会效益影响积极，生态效益良好，项目可持续发展，游客满意度较高，但受新冠疫情影响，旅游业受到严重冲击，旅游总收入有所下降，导致经济效益未达标。该部分总分</w:t>
      </w:r>
      <w:r>
        <w:rPr>
          <w:rFonts w:ascii="Times New Roman" w:hAnsi="Times New Roman" w:eastAsia="仿宋" w:cs="Times New Roman"/>
          <w:color w:val="000000" w:themeColor="text1"/>
          <w14:textFill>
            <w14:solidFill>
              <w14:schemeClr w14:val="tx1"/>
            </w14:solidFill>
          </w14:textFill>
        </w:rPr>
        <w:t>25</w:t>
      </w:r>
      <w:r>
        <w:rPr>
          <w:rFonts w:hint="eastAsia" w:ascii="仿宋" w:hAnsi="仿宋" w:eastAsia="仿宋" w:cs="仿宋"/>
          <w:color w:val="000000" w:themeColor="text1"/>
          <w14:textFill>
            <w14:solidFill>
              <w14:schemeClr w14:val="tx1"/>
            </w14:solidFill>
          </w14:textFill>
        </w:rPr>
        <w:t>分，得分</w:t>
      </w:r>
      <w:r>
        <w:rPr>
          <w:rFonts w:ascii="Times New Roman" w:hAnsi="Times New Roman" w:eastAsia="仿宋" w:cs="Times New Roman"/>
          <w:color w:val="000000" w:themeColor="text1"/>
          <w14:textFill>
            <w14:solidFill>
              <w14:schemeClr w14:val="tx1"/>
            </w14:solidFill>
          </w14:textFill>
        </w:rPr>
        <w:t>22.05</w:t>
      </w:r>
      <w:r>
        <w:rPr>
          <w:rFonts w:hint="eastAsia" w:ascii="仿宋" w:hAnsi="仿宋" w:eastAsia="仿宋" w:cs="仿宋"/>
          <w:color w:val="000000" w:themeColor="text1"/>
          <w14:textFill>
            <w14:solidFill>
              <w14:schemeClr w14:val="tx1"/>
            </w14:solidFill>
          </w14:textFill>
        </w:rPr>
        <w:t>分，扣分</w:t>
      </w:r>
      <w:r>
        <w:rPr>
          <w:rFonts w:ascii="Times New Roman" w:hAnsi="Times New Roman" w:eastAsia="仿宋" w:cs="Times New Roman"/>
          <w:color w:val="000000" w:themeColor="text1"/>
          <w14:textFill>
            <w14:solidFill>
              <w14:schemeClr w14:val="tx1"/>
            </w14:solidFill>
          </w14:textFill>
        </w:rPr>
        <w:t>2.95</w:t>
      </w:r>
      <w:r>
        <w:rPr>
          <w:rFonts w:hint="eastAsia" w:ascii="仿宋" w:hAnsi="仿宋" w:eastAsia="仿宋" w:cs="仿宋"/>
          <w:color w:val="000000" w:themeColor="text1"/>
          <w14:textFill>
            <w14:solidFill>
              <w14:schemeClr w14:val="tx1"/>
            </w14:solidFill>
          </w14:textFill>
        </w:rPr>
        <w:t>分。</w:t>
      </w:r>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在经济效益方面，</w:t>
      </w:r>
      <w:r>
        <w:rPr>
          <w:rFonts w:ascii="Times New Roman" w:hAnsi="Times New Roman" w:eastAsia="仿宋" w:cs="Times New Roman"/>
          <w:color w:val="000000" w:themeColor="text1"/>
          <w14:textFill>
            <w14:solidFill>
              <w14:schemeClr w14:val="tx1"/>
            </w14:solidFill>
          </w14:textFill>
        </w:rPr>
        <w:t>2019</w:t>
      </w:r>
      <w:r>
        <w:rPr>
          <w:rFonts w:hint="eastAsia" w:ascii="仿宋" w:hAnsi="仿宋" w:eastAsia="仿宋" w:cs="仿宋"/>
          <w:color w:val="000000" w:themeColor="text1"/>
          <w14:textFill>
            <w14:solidFill>
              <w14:schemeClr w14:val="tx1"/>
            </w14:solidFill>
          </w14:textFill>
        </w:rPr>
        <w:t>年惠安县实现全年旅游总收入</w:t>
      </w:r>
      <w:r>
        <w:rPr>
          <w:rFonts w:ascii="Times New Roman" w:hAnsi="Times New Roman" w:eastAsia="仿宋" w:cs="Times New Roman"/>
          <w:color w:val="000000" w:themeColor="text1"/>
          <w14:textFill>
            <w14:solidFill>
              <w14:schemeClr w14:val="tx1"/>
            </w14:solidFill>
          </w14:textFill>
        </w:rPr>
        <w:t>117.3</w:t>
      </w:r>
      <w:r>
        <w:rPr>
          <w:rFonts w:hint="eastAsia" w:ascii="仿宋" w:hAnsi="仿宋" w:eastAsia="仿宋" w:cs="仿宋"/>
          <w:color w:val="000000" w:themeColor="text1"/>
          <w14:textFill>
            <w14:solidFill>
              <w14:schemeClr w14:val="tx1"/>
            </w14:solidFill>
          </w14:textFill>
        </w:rPr>
        <w:t>亿元，根据惠安县政府工作报告的文件，</w:t>
      </w:r>
      <w:r>
        <w:rPr>
          <w:rFonts w:ascii="Times New Roman" w:hAnsi="Times New Roman" w:eastAsia="仿宋" w:cs="Times New Roman"/>
          <w:color w:val="000000" w:themeColor="text1"/>
          <w14:textFill>
            <w14:solidFill>
              <w14:schemeClr w14:val="tx1"/>
            </w14:solidFill>
          </w14:textFill>
        </w:rPr>
        <w:t>2021</w:t>
      </w:r>
      <w:r>
        <w:rPr>
          <w:rFonts w:hint="eastAsia" w:ascii="仿宋" w:hAnsi="仿宋" w:eastAsia="仿宋" w:cs="仿宋"/>
          <w:color w:val="000000" w:themeColor="text1"/>
          <w14:textFill>
            <w14:solidFill>
              <w14:schemeClr w14:val="tx1"/>
            </w14:solidFill>
          </w14:textFill>
        </w:rPr>
        <w:t>年惠安县实现全年旅游总收入</w:t>
      </w:r>
      <w:r>
        <w:rPr>
          <w:rFonts w:ascii="Times New Roman" w:hAnsi="Times New Roman" w:eastAsia="仿宋" w:cs="Times New Roman"/>
          <w:color w:val="000000" w:themeColor="text1"/>
          <w14:textFill>
            <w14:solidFill>
              <w14:schemeClr w14:val="tx1"/>
            </w14:solidFill>
          </w14:textFill>
        </w:rPr>
        <w:t>55</w:t>
      </w:r>
      <w:r>
        <w:rPr>
          <w:rFonts w:hint="eastAsia" w:ascii="仿宋" w:hAnsi="仿宋" w:eastAsia="仿宋" w:cs="仿宋"/>
          <w:color w:val="000000" w:themeColor="text1"/>
          <w14:textFill>
            <w14:solidFill>
              <w14:schemeClr w14:val="tx1"/>
            </w14:solidFill>
          </w14:textFill>
        </w:rPr>
        <w:t>亿元，按可比口径达</w:t>
      </w:r>
      <w:r>
        <w:rPr>
          <w:rFonts w:ascii="Times New Roman" w:hAnsi="Times New Roman" w:eastAsia="仿宋" w:cs="Times New Roman"/>
          <w:color w:val="000000" w:themeColor="text1"/>
          <w14:textFill>
            <w14:solidFill>
              <w14:schemeClr w14:val="tx1"/>
            </w14:solidFill>
          </w14:textFill>
        </w:rPr>
        <w:t>2019</w:t>
      </w:r>
      <w:r>
        <w:rPr>
          <w:rFonts w:hint="eastAsia" w:ascii="仿宋" w:hAnsi="仿宋" w:eastAsia="仿宋" w:cs="仿宋"/>
          <w:color w:val="000000" w:themeColor="text1"/>
          <w14:textFill>
            <w14:solidFill>
              <w14:schemeClr w14:val="tx1"/>
            </w14:solidFill>
          </w14:textFill>
        </w:rPr>
        <w:t>年的</w:t>
      </w:r>
      <w:r>
        <w:rPr>
          <w:rFonts w:ascii="Times New Roman" w:hAnsi="Times New Roman" w:eastAsia="仿宋" w:cs="Times New Roman"/>
          <w:color w:val="000000" w:themeColor="text1"/>
          <w14:textFill>
            <w14:solidFill>
              <w14:schemeClr w14:val="tx1"/>
            </w14:solidFill>
          </w14:textFill>
        </w:rPr>
        <w:t>46.89</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55</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117.3</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100</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年惠安县实现全年旅游总收入</w:t>
      </w:r>
      <w:r>
        <w:rPr>
          <w:rFonts w:ascii="Times New Roman" w:hAnsi="Times New Roman" w:eastAsia="仿宋" w:cs="Times New Roman"/>
          <w:color w:val="000000" w:themeColor="text1"/>
          <w14:textFill>
            <w14:solidFill>
              <w14:schemeClr w14:val="tx1"/>
            </w14:solidFill>
          </w14:textFill>
        </w:rPr>
        <w:t>41</w:t>
      </w:r>
      <w:r>
        <w:rPr>
          <w:rFonts w:hint="eastAsia" w:ascii="仿宋" w:hAnsi="仿宋" w:eastAsia="仿宋" w:cs="仿宋"/>
          <w:color w:val="000000" w:themeColor="text1"/>
          <w14:textFill>
            <w14:solidFill>
              <w14:schemeClr w14:val="tx1"/>
            </w14:solidFill>
          </w14:textFill>
        </w:rPr>
        <w:t>亿元，按可比口径达</w:t>
      </w:r>
      <w:r>
        <w:rPr>
          <w:rFonts w:ascii="Times New Roman" w:hAnsi="Times New Roman" w:eastAsia="仿宋" w:cs="Times New Roman"/>
          <w:color w:val="000000" w:themeColor="text1"/>
          <w14:textFill>
            <w14:solidFill>
              <w14:schemeClr w14:val="tx1"/>
            </w14:solidFill>
          </w14:textFill>
        </w:rPr>
        <w:t>2019</w:t>
      </w:r>
      <w:r>
        <w:rPr>
          <w:rFonts w:hint="eastAsia" w:ascii="仿宋" w:hAnsi="仿宋" w:eastAsia="仿宋" w:cs="仿宋"/>
          <w:color w:val="000000" w:themeColor="text1"/>
          <w14:textFill>
            <w14:solidFill>
              <w14:schemeClr w14:val="tx1"/>
            </w14:solidFill>
          </w14:textFill>
        </w:rPr>
        <w:t>年的</w:t>
      </w:r>
      <w:r>
        <w:rPr>
          <w:rFonts w:ascii="Times New Roman" w:hAnsi="Times New Roman" w:eastAsia="仿宋" w:cs="Times New Roman"/>
          <w:color w:val="000000" w:themeColor="text1"/>
          <w14:textFill>
            <w14:solidFill>
              <w14:schemeClr w14:val="tx1"/>
            </w14:solidFill>
          </w14:textFill>
        </w:rPr>
        <w:t>34.95</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41</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117.3</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100</w:t>
      </w:r>
      <w:r>
        <w:rPr>
          <w:rFonts w:hint="eastAsia" w:ascii="仿宋" w:hAnsi="仿宋" w:eastAsia="仿宋" w:cs="仿宋"/>
          <w:color w:val="000000" w:themeColor="text1"/>
          <w14:textFill>
            <w14:solidFill>
              <w14:schemeClr w14:val="tx1"/>
            </w14:solidFill>
          </w14:textFill>
        </w:rPr>
        <w:t>%）。两年平均旅游总收入</w:t>
      </w:r>
      <w:r>
        <w:rPr>
          <w:rFonts w:ascii="Times New Roman" w:hAnsi="Times New Roman" w:eastAsia="仿宋" w:cs="Times New Roman"/>
          <w:color w:val="000000" w:themeColor="text1"/>
          <w14:textFill>
            <w14:solidFill>
              <w14:schemeClr w14:val="tx1"/>
            </w14:solidFill>
          </w14:textFill>
        </w:rPr>
        <w:t>48</w:t>
      </w:r>
      <w:r>
        <w:rPr>
          <w:rFonts w:hint="eastAsia" w:ascii="仿宋" w:hAnsi="仿宋" w:eastAsia="仿宋" w:cs="仿宋"/>
          <w:color w:val="000000" w:themeColor="text1"/>
          <w14:textFill>
            <w14:solidFill>
              <w14:schemeClr w14:val="tx1"/>
            </w14:solidFill>
          </w14:textFill>
        </w:rPr>
        <w:t>万亿，按可比口径达</w:t>
      </w:r>
      <w:r>
        <w:rPr>
          <w:rFonts w:ascii="Times New Roman" w:hAnsi="Times New Roman" w:eastAsia="仿宋" w:cs="Times New Roman"/>
          <w:color w:val="000000" w:themeColor="text1"/>
          <w14:textFill>
            <w14:solidFill>
              <w14:schemeClr w14:val="tx1"/>
            </w14:solidFill>
          </w14:textFill>
        </w:rPr>
        <w:t>2019</w:t>
      </w:r>
      <w:r>
        <w:rPr>
          <w:rFonts w:hint="eastAsia" w:ascii="仿宋" w:hAnsi="仿宋" w:eastAsia="仿宋" w:cs="仿宋"/>
          <w:color w:val="000000" w:themeColor="text1"/>
          <w14:textFill>
            <w14:solidFill>
              <w14:schemeClr w14:val="tx1"/>
            </w14:solidFill>
          </w14:textFill>
        </w:rPr>
        <w:t>年</w:t>
      </w:r>
      <w:r>
        <w:rPr>
          <w:rFonts w:ascii="Times New Roman" w:hAnsi="Times New Roman" w:eastAsia="仿宋" w:cs="Times New Roman"/>
          <w:color w:val="000000" w:themeColor="text1"/>
          <w14:textFill>
            <w14:solidFill>
              <w14:schemeClr w14:val="tx1"/>
            </w14:solidFill>
          </w14:textFill>
        </w:rPr>
        <w:t>40.92</w:t>
      </w:r>
      <w:r>
        <w:rPr>
          <w:rFonts w:hint="eastAsia" w:ascii="仿宋" w:hAnsi="仿宋" w:eastAsia="仿宋" w:cs="仿宋"/>
          <w:color w:val="000000" w:themeColor="text1"/>
          <w14:textFill>
            <w14:solidFill>
              <w14:schemeClr w14:val="tx1"/>
            </w14:solidFill>
          </w14:textFill>
        </w:rPr>
        <w:t>%，未达到绩效目标值，因此该指标扣</w:t>
      </w:r>
      <w:r>
        <w:rPr>
          <w:rFonts w:ascii="Times New Roman" w:hAnsi="Times New Roman" w:eastAsia="仿宋" w:cs="Times New Roman"/>
          <w:color w:val="000000" w:themeColor="text1"/>
          <w14:textFill>
            <w14:solidFill>
              <w14:schemeClr w14:val="tx1"/>
            </w14:solidFill>
          </w14:textFill>
        </w:rPr>
        <w:t>2.95</w:t>
      </w:r>
      <w:r>
        <w:rPr>
          <w:rFonts w:hint="eastAsia" w:ascii="仿宋" w:hAnsi="仿宋" w:eastAsia="仿宋" w:cs="仿宋"/>
          <w:color w:val="000000" w:themeColor="text1"/>
          <w14:textFill>
            <w14:solidFill>
              <w14:schemeClr w14:val="tx1"/>
            </w14:solidFill>
          </w14:textFill>
        </w:rPr>
        <w:t>分。该部分分值为</w:t>
      </w:r>
      <w:r>
        <w:rPr>
          <w:rFonts w:ascii="Times New Roman" w:hAnsi="Times New Roman" w:eastAsia="仿宋" w:cs="Times New Roman"/>
          <w:color w:val="000000" w:themeColor="text1"/>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分，评估得分为</w:t>
      </w:r>
      <w:r>
        <w:rPr>
          <w:rFonts w:ascii="Times New Roman" w:hAnsi="Times New Roman" w:eastAsia="仿宋" w:cs="Times New Roman"/>
          <w:color w:val="000000" w:themeColor="text1"/>
          <w14:textFill>
            <w14:solidFill>
              <w14:schemeClr w14:val="tx1"/>
            </w14:solidFill>
          </w14:textFill>
        </w:rPr>
        <w:t>2.05</w:t>
      </w:r>
      <w:r>
        <w:rPr>
          <w:rFonts w:hint="eastAsia" w:ascii="仿宋" w:hAnsi="仿宋" w:eastAsia="仿宋" w:cs="仿宋"/>
          <w:color w:val="000000" w:themeColor="text1"/>
          <w14:textFill>
            <w14:solidFill>
              <w14:schemeClr w14:val="tx1"/>
            </w14:solidFill>
          </w14:textFill>
        </w:rPr>
        <w:t>分。</w:t>
      </w:r>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在社会效益方面，积极推进文旅融合发展，充分挖掘非遗文化资源并将其转化为旅游资源，实现以文促旅。非遗文化实践活动持续且富有活力；部分传统工艺项目得到保持；非遗文化内涵得到尊重；弘扬具有当代价值的文化精神；尊重相关社区、群体和个人的实践、传承及再创造权利，较好地保护和传承了非遗文化，社会效益影响积极。例如，线上在“惠安文旅”微信公众号中推出</w:t>
      </w:r>
      <w:r>
        <w:rPr>
          <w:rFonts w:ascii="Times New Roman" w:hAnsi="Times New Roman" w:eastAsia="仿宋" w:cs="Times New Roman"/>
          <w:color w:val="000000" w:themeColor="text1"/>
          <w14:textFill>
            <w14:solidFill>
              <w14:schemeClr w14:val="tx1"/>
            </w14:solidFill>
          </w14:textFill>
        </w:rPr>
        <w:t>8</w:t>
      </w:r>
      <w:r>
        <w:rPr>
          <w:rFonts w:hint="eastAsia" w:ascii="仿宋" w:hAnsi="仿宋" w:eastAsia="仿宋" w:cs="仿宋"/>
          <w:color w:val="000000" w:themeColor="text1"/>
          <w14:textFill>
            <w14:solidFill>
              <w14:schemeClr w14:val="tx1"/>
            </w14:solidFill>
          </w14:textFill>
        </w:rPr>
        <w:t>篇文章宣传惠安非遗文化和精神，线下举办</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年“惠游惠安”系列活动之“非遗进景区”、非遗竹编——篾工技艺体验文化志愿和非遗手工艺品征集评选等活动。该部分分值为</w:t>
      </w:r>
      <w:r>
        <w:rPr>
          <w:rFonts w:ascii="Times New Roman" w:hAnsi="Times New Roman" w:eastAsia="仿宋" w:cs="Times New Roman"/>
          <w:color w:val="000000" w:themeColor="text1"/>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分，评估得分为</w:t>
      </w:r>
      <w:r>
        <w:rPr>
          <w:rFonts w:ascii="Times New Roman" w:hAnsi="Times New Roman" w:eastAsia="仿宋" w:cs="Times New Roman"/>
          <w:color w:val="000000" w:themeColor="text1"/>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分。</w:t>
      </w:r>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在生态效益方面，惠安县积极开展惠安旅游业改革发展的工作，推动景城一体、景村一体、宜居宜游的全域化文旅经济强县建设，两年内一共获评三个生态旅游奖项，分别是</w:t>
      </w:r>
      <w:r>
        <w:rPr>
          <w:rFonts w:ascii="Times New Roman" w:hAnsi="Times New Roman" w:eastAsia="仿宋" w:cs="Times New Roman"/>
          <w:color w:val="000000" w:themeColor="text1"/>
          <w14:textFill>
            <w14:solidFill>
              <w14:schemeClr w14:val="tx1"/>
            </w14:solidFill>
          </w14:textFill>
        </w:rPr>
        <w:t>2021</w:t>
      </w:r>
      <w:r>
        <w:rPr>
          <w:rFonts w:hint="eastAsia" w:ascii="仿宋" w:hAnsi="仿宋" w:eastAsia="仿宋" w:cs="仿宋"/>
          <w:color w:val="000000" w:themeColor="text1"/>
          <w14:textFill>
            <w14:solidFill>
              <w14:schemeClr w14:val="tx1"/>
            </w14:solidFill>
          </w14:textFill>
        </w:rPr>
        <w:t>年惠安县崇武镇潮乐村获评省级金牌旅游村，</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年惠安县崇武镇获评全国乡村旅游重点镇、省级全域生态旅游小镇，</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年惠安县崇武镇前垵村获评省级金牌旅游村，获评的旅游荣誉称号数量超过设定的绩效目标值。该部分分值为</w:t>
      </w:r>
      <w:r>
        <w:rPr>
          <w:rFonts w:ascii="Times New Roman" w:hAnsi="Times New Roman" w:eastAsia="仿宋" w:cs="Times New Roman"/>
          <w:color w:val="000000" w:themeColor="text1"/>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分，评估得分为</w:t>
      </w:r>
      <w:r>
        <w:rPr>
          <w:rFonts w:ascii="Times New Roman" w:hAnsi="Times New Roman" w:eastAsia="仿宋" w:cs="Times New Roman"/>
          <w:color w:val="000000" w:themeColor="text1"/>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分。</w:t>
      </w:r>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在可持续效益方面，惠安县文旅局根据《十四五文体旅发展规划》、《旅游总体规划》指导方针，制定了一系列可持续发展的相关政策材料，如《惠安县推动旅游业高质量发展的意见》《惠安旅游业高质量发展奖励措施》《惠安县“十四五”文体旅规划》《惠安县文体旅目标绩效考核实施细则》《惠安研学旅行专项规划》（</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2024</w:t>
      </w:r>
      <w:r>
        <w:rPr>
          <w:rFonts w:hint="eastAsia" w:ascii="仿宋" w:hAnsi="仿宋" w:eastAsia="仿宋" w:cs="仿宋"/>
          <w:color w:val="000000" w:themeColor="text1"/>
          <w14:textFill>
            <w14:solidFill>
              <w14:schemeClr w14:val="tx1"/>
            </w14:solidFill>
          </w14:textFill>
        </w:rPr>
        <w:t>）等，制定的可持续性发展规划数量达成设定的绩效目标值。该部分分值为</w:t>
      </w:r>
      <w:r>
        <w:rPr>
          <w:rFonts w:ascii="Times New Roman" w:hAnsi="Times New Roman" w:eastAsia="仿宋" w:cs="Times New Roman"/>
          <w:color w:val="000000" w:themeColor="text1"/>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分，评估得分为</w:t>
      </w:r>
      <w:r>
        <w:rPr>
          <w:rFonts w:ascii="Times New Roman" w:hAnsi="Times New Roman" w:eastAsia="仿宋" w:cs="Times New Roman"/>
          <w:color w:val="000000" w:themeColor="text1"/>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分。</w:t>
      </w:r>
    </w:p>
    <w:p>
      <w:pPr>
        <w:ind w:firstLine="56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在满意度方面，通过整理项目绩效评价材料得</w:t>
      </w:r>
      <w:r>
        <w:rPr>
          <w:rFonts w:ascii="Times New Roman" w:hAnsi="Times New Roman" w:eastAsia="仿宋" w:cs="Times New Roman"/>
          <w:color w:val="000000" w:themeColor="text1"/>
          <w14:textFill>
            <w14:solidFill>
              <w14:schemeClr w14:val="tx1"/>
            </w14:solidFill>
          </w14:textFill>
        </w:rPr>
        <w:t>2021</w:t>
      </w:r>
      <w:r>
        <w:rPr>
          <w:rFonts w:hint="eastAsia" w:ascii="仿宋" w:hAnsi="仿宋" w:eastAsia="仿宋" w:cs="仿宋"/>
          <w:color w:val="000000" w:themeColor="text1"/>
          <w14:textFill>
            <w14:solidFill>
              <w14:schemeClr w14:val="tx1"/>
            </w14:solidFill>
          </w14:textFill>
        </w:rPr>
        <w:t>年度旅游发展专项资金服务对象满意度达</w:t>
      </w:r>
      <w:r>
        <w:rPr>
          <w:rFonts w:ascii="Times New Roman" w:hAnsi="Times New Roman" w:eastAsia="仿宋" w:cs="Times New Roman"/>
          <w:color w:val="000000" w:themeColor="text1"/>
          <w14:textFill>
            <w14:solidFill>
              <w14:schemeClr w14:val="tx1"/>
            </w14:solidFill>
          </w14:textFill>
        </w:rPr>
        <w:t>95</w:t>
      </w:r>
      <w:r>
        <w:rPr>
          <w:rFonts w:hint="eastAsia" w:ascii="仿宋" w:hAnsi="仿宋" w:eastAsia="仿宋" w:cs="仿宋"/>
          <w:color w:val="000000" w:themeColor="text1"/>
          <w14:textFill>
            <w14:solidFill>
              <w14:schemeClr w14:val="tx1"/>
            </w14:solidFill>
          </w14:textFill>
        </w:rPr>
        <w:t>%，</w:t>
      </w:r>
      <w:r>
        <w:rPr>
          <w:rFonts w:ascii="Times New Roman" w:hAnsi="Times New Roman" w:eastAsia="仿宋" w:cs="Times New Roman"/>
          <w:color w:val="000000" w:themeColor="text1"/>
          <w14:textFill>
            <w14:solidFill>
              <w14:schemeClr w14:val="tx1"/>
            </w14:solidFill>
          </w14:textFill>
        </w:rPr>
        <w:t>2022</w:t>
      </w:r>
      <w:r>
        <w:rPr>
          <w:rFonts w:hint="eastAsia" w:ascii="仿宋" w:hAnsi="仿宋" w:eastAsia="仿宋" w:cs="仿宋"/>
          <w:color w:val="000000" w:themeColor="text1"/>
          <w14:textFill>
            <w14:solidFill>
              <w14:schemeClr w14:val="tx1"/>
            </w14:solidFill>
          </w14:textFill>
        </w:rPr>
        <w:t>年度旅游发展专项资金服务对象满意度达</w:t>
      </w:r>
      <w:r>
        <w:rPr>
          <w:rFonts w:ascii="Times New Roman" w:hAnsi="Times New Roman" w:eastAsia="仿宋" w:cs="Times New Roman"/>
          <w:color w:val="000000" w:themeColor="text1"/>
          <w14:textFill>
            <w14:solidFill>
              <w14:schemeClr w14:val="tx1"/>
            </w14:solidFill>
          </w14:textFill>
        </w:rPr>
        <w:t>90</w:t>
      </w:r>
      <w:r>
        <w:rPr>
          <w:rFonts w:hint="eastAsia" w:ascii="仿宋" w:hAnsi="仿宋" w:eastAsia="仿宋" w:cs="仿宋"/>
          <w:color w:val="000000" w:themeColor="text1"/>
          <w14:textFill>
            <w14:solidFill>
              <w14:schemeClr w14:val="tx1"/>
            </w14:solidFill>
          </w14:textFill>
        </w:rPr>
        <w:t>%，在项目执行期间服务对象满意度均实现绩效目标值。该部分分值为</w:t>
      </w:r>
      <w:r>
        <w:rPr>
          <w:rFonts w:ascii="Times New Roman" w:hAnsi="Times New Roman" w:eastAsia="仿宋" w:cs="Times New Roman"/>
          <w:color w:val="000000" w:themeColor="text1"/>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分，评估得分为</w:t>
      </w:r>
      <w:r>
        <w:rPr>
          <w:rFonts w:ascii="Times New Roman" w:hAnsi="Times New Roman" w:eastAsia="仿宋" w:cs="Times New Roman"/>
          <w:color w:val="000000" w:themeColor="text1"/>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分。</w:t>
      </w:r>
      <w:bookmarkStart w:id="101" w:name="_Toc119967332"/>
      <w:bookmarkStart w:id="102" w:name="_Toc126353974"/>
      <w:bookmarkStart w:id="103" w:name="_Toc124892222"/>
    </w:p>
    <w:p>
      <w:pP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br w:type="page"/>
      </w:r>
    </w:p>
    <w:p>
      <w:pPr>
        <w:ind w:firstLine="723" w:firstLineChars="200"/>
        <w:jc w:val="center"/>
        <w:rPr>
          <w:rFonts w:ascii="仿宋" w:hAnsi="仿宋" w:eastAsia="仿宋" w:cs="仿宋"/>
          <w:b/>
          <w:bCs/>
          <w:color w:val="000000" w:themeColor="text1"/>
          <w:sz w:val="36"/>
          <w:szCs w:val="36"/>
          <w:lang w:bidi="ar"/>
          <w14:textFill>
            <w14:solidFill>
              <w14:schemeClr w14:val="tx1"/>
            </w14:solidFill>
          </w14:textFill>
        </w:rPr>
      </w:pPr>
    </w:p>
    <w:p>
      <w:pPr>
        <w:jc w:val="center"/>
        <w:outlineLvl w:val="0"/>
        <w:rPr>
          <w:rFonts w:ascii="仿宋" w:hAnsi="仿宋" w:eastAsia="仿宋" w:cs="仿宋"/>
          <w:b/>
          <w:bCs/>
          <w:color w:val="000000" w:themeColor="text1"/>
          <w:sz w:val="36"/>
          <w:szCs w:val="36"/>
          <w:lang w:bidi="ar"/>
          <w14:textFill>
            <w14:solidFill>
              <w14:schemeClr w14:val="tx1"/>
            </w14:solidFill>
          </w14:textFill>
        </w:rPr>
      </w:pPr>
      <w:bookmarkStart w:id="104" w:name="_Toc1227"/>
      <w:r>
        <w:rPr>
          <w:rFonts w:hint="eastAsia" w:ascii="仿宋" w:hAnsi="仿宋" w:eastAsia="仿宋" w:cs="仿宋"/>
          <w:b/>
          <w:bCs/>
          <w:color w:val="000000" w:themeColor="text1"/>
          <w:sz w:val="36"/>
          <w:szCs w:val="36"/>
          <w:lang w:bidi="ar"/>
          <w14:textFill>
            <w14:solidFill>
              <w14:schemeClr w14:val="tx1"/>
            </w14:solidFill>
          </w14:textFill>
        </w:rPr>
        <w:t>第四部分 存在主要问题</w:t>
      </w:r>
      <w:bookmarkEnd w:id="104"/>
    </w:p>
    <w:p>
      <w:pPr>
        <w:ind w:firstLine="723" w:firstLineChars="200"/>
        <w:jc w:val="center"/>
        <w:rPr>
          <w:rFonts w:ascii="仿宋" w:hAnsi="仿宋" w:eastAsia="仿宋" w:cs="仿宋"/>
          <w:b/>
          <w:bCs/>
          <w:color w:val="000000" w:themeColor="text1"/>
          <w:sz w:val="36"/>
          <w:szCs w:val="36"/>
          <w:lang w:bidi="ar"/>
          <w14:textFill>
            <w14:solidFill>
              <w14:schemeClr w14:val="tx1"/>
            </w14:solidFill>
          </w14:textFill>
        </w:rPr>
      </w:pPr>
    </w:p>
    <w:p>
      <w:pPr>
        <w:spacing w:before="190" w:beforeLines="50" w:after="190" w:afterLines="50"/>
        <w:ind w:firstLine="643" w:firstLineChars="200"/>
        <w:outlineLvl w:val="1"/>
        <w:rPr>
          <w:rFonts w:ascii="仿宋" w:hAnsi="仿宋" w:eastAsia="仿宋" w:cs="仿宋"/>
          <w:b/>
          <w:bCs/>
          <w:color w:val="000000" w:themeColor="text1"/>
          <w:sz w:val="32"/>
          <w:szCs w:val="32"/>
          <w14:textFill>
            <w14:solidFill>
              <w14:schemeClr w14:val="tx1"/>
            </w14:solidFill>
          </w14:textFill>
        </w:rPr>
      </w:pPr>
      <w:bookmarkStart w:id="105" w:name="_Toc126353975"/>
      <w:bookmarkStart w:id="106" w:name="_Toc1341"/>
      <w:r>
        <w:rPr>
          <w:rFonts w:hint="eastAsia" w:ascii="仿宋" w:hAnsi="仿宋" w:eastAsia="仿宋" w:cs="仿宋"/>
          <w:b/>
          <w:bCs/>
          <w:color w:val="000000" w:themeColor="text1"/>
          <w:sz w:val="32"/>
          <w:szCs w:val="32"/>
          <w:lang w:bidi="ar"/>
          <w14:textFill>
            <w14:solidFill>
              <w14:schemeClr w14:val="tx1"/>
            </w14:solidFill>
          </w14:textFill>
        </w:rPr>
        <w:t>一、预算编制</w:t>
      </w:r>
      <w:bookmarkEnd w:id="105"/>
      <w:r>
        <w:rPr>
          <w:rFonts w:hint="eastAsia" w:ascii="仿宋" w:hAnsi="仿宋" w:eastAsia="仿宋" w:cs="仿宋"/>
          <w:b/>
          <w:bCs/>
          <w:color w:val="000000" w:themeColor="text1"/>
          <w:sz w:val="32"/>
          <w:szCs w:val="32"/>
          <w:lang w:bidi="ar"/>
          <w14:textFill>
            <w14:solidFill>
              <w14:schemeClr w14:val="tx1"/>
            </w14:solidFill>
          </w14:textFill>
        </w:rPr>
        <w:t>对于项目的实际情况考虑不足</w:t>
      </w:r>
      <w:bookmarkEnd w:id="106"/>
    </w:p>
    <w:p>
      <w:pPr>
        <w:ind w:firstLine="560" w:firstLineChars="200"/>
        <w:rPr>
          <w:rFonts w:hint="eastAsia" w:ascii="Times New Roman" w:hAnsi="Times New Roman" w:eastAsia="仿宋" w:cs="Times New Roman"/>
          <w:color w:val="000000" w:themeColor="text1"/>
          <w:szCs w:val="28"/>
          <w:lang w:bidi="ar"/>
          <w14:textFill>
            <w14:solidFill>
              <w14:schemeClr w14:val="tx1"/>
            </w14:solidFill>
          </w14:textFill>
        </w:rPr>
      </w:pPr>
      <w:r>
        <w:rPr>
          <w:rFonts w:ascii="Times New Roman" w:hAnsi="Times New Roman" w:eastAsia="仿宋" w:cs="Times New Roman"/>
          <w:color w:val="000000" w:themeColor="text1"/>
          <w:szCs w:val="28"/>
          <w:lang w:bidi="ar"/>
          <w14:textFill>
            <w14:solidFill>
              <w14:schemeClr w14:val="tx1"/>
            </w14:solidFill>
          </w14:textFill>
        </w:rPr>
        <w:t>2022</w:t>
      </w:r>
      <w:r>
        <w:rPr>
          <w:rFonts w:hint="eastAsia" w:ascii="仿宋" w:hAnsi="仿宋" w:eastAsia="仿宋" w:cs="仿宋"/>
          <w:color w:val="000000" w:themeColor="text1"/>
          <w:szCs w:val="28"/>
          <w:lang w:bidi="ar"/>
          <w14:textFill>
            <w14:solidFill>
              <w14:schemeClr w14:val="tx1"/>
            </w14:solidFill>
          </w14:textFill>
        </w:rPr>
        <w:t>年的惠安县旅游发展专项资金的预算编制未能充分考虑项目的实际情况，导致预算的实际核拨与预算计划核拨存在差异。</w:t>
      </w:r>
      <w:r>
        <w:rPr>
          <w:rFonts w:hint="eastAsia" w:ascii="Times New Roman" w:hAnsi="Times New Roman" w:eastAsia="仿宋" w:cs="Times New Roman"/>
          <w:color w:val="000000" w:themeColor="text1"/>
          <w:szCs w:val="28"/>
          <w:lang w:bidi="ar"/>
          <w14:textFill>
            <w14:solidFill>
              <w14:schemeClr w14:val="tx1"/>
            </w14:solidFill>
          </w14:textFill>
        </w:rPr>
        <w:t>例如</w:t>
      </w:r>
      <w:r>
        <w:rPr>
          <w:rFonts w:ascii="Times New Roman" w:hAnsi="Times New Roman" w:eastAsia="仿宋" w:cs="Times New Roman"/>
          <w:color w:val="000000" w:themeColor="text1"/>
          <w:szCs w:val="28"/>
          <w:lang w:bidi="ar"/>
          <w14:textFill>
            <w14:solidFill>
              <w14:schemeClr w14:val="tx1"/>
            </w14:solidFill>
          </w14:textFill>
        </w:rPr>
        <w:t>，2022年该项目的财政拨款预算收入为800万元，当年该项目的预算支出为800万元；实际财政拨款预算收入为609.62万元，实际核拨预算支出为609.62万元。</w:t>
      </w:r>
    </w:p>
    <w:p>
      <w:pPr>
        <w:spacing w:before="190" w:beforeLines="50" w:after="190" w:afterLines="50"/>
        <w:ind w:firstLine="643" w:firstLineChars="200"/>
        <w:outlineLvl w:val="1"/>
        <w:rPr>
          <w:rFonts w:ascii="仿宋" w:hAnsi="仿宋" w:eastAsia="仿宋" w:cs="仿宋"/>
          <w:b/>
          <w:bCs/>
          <w:color w:val="000000" w:themeColor="text1"/>
          <w:sz w:val="32"/>
          <w:szCs w:val="32"/>
          <w14:textFill>
            <w14:solidFill>
              <w14:schemeClr w14:val="tx1"/>
            </w14:solidFill>
          </w14:textFill>
        </w:rPr>
      </w:pPr>
      <w:bookmarkStart w:id="107" w:name="_Toc18833"/>
      <w:r>
        <w:rPr>
          <w:rFonts w:hint="eastAsia" w:ascii="仿宋" w:hAnsi="仿宋" w:eastAsia="仿宋" w:cs="仿宋"/>
          <w:b/>
          <w:bCs/>
          <w:color w:val="000000" w:themeColor="text1"/>
          <w:sz w:val="32"/>
          <w:szCs w:val="32"/>
          <w:lang w:bidi="ar"/>
          <w14:textFill>
            <w14:solidFill>
              <w14:schemeClr w14:val="tx1"/>
            </w14:solidFill>
          </w14:textFill>
        </w:rPr>
        <w:t>二、旅游产业链结构合理性有待提升</w:t>
      </w:r>
      <w:bookmarkEnd w:id="107"/>
    </w:p>
    <w:p>
      <w:pPr>
        <w:ind w:firstLine="560" w:firstLineChars="200"/>
        <w:rPr>
          <w:rFonts w:ascii="仿宋" w:hAnsi="仿宋" w:eastAsia="仿宋" w:cs="仿宋"/>
          <w:color w:val="000000" w:themeColor="text1"/>
          <w:szCs w:val="28"/>
          <w:lang w:bidi="ar"/>
          <w14:textFill>
            <w14:solidFill>
              <w14:schemeClr w14:val="tx1"/>
            </w14:solidFill>
          </w14:textFill>
        </w:rPr>
      </w:pPr>
      <w:r>
        <w:rPr>
          <w:rFonts w:hint="eastAsia" w:ascii="仿宋" w:hAnsi="仿宋" w:eastAsia="仿宋" w:cs="仿宋"/>
          <w:color w:val="000000" w:themeColor="text1"/>
          <w:szCs w:val="28"/>
          <w:lang w:bidi="ar"/>
          <w14:textFill>
            <w14:solidFill>
              <w14:schemeClr w14:val="tx1"/>
            </w14:solidFill>
          </w14:textFill>
        </w:rPr>
        <w:t>目前，惠安县旅游产业链上各种类型企业的结构存在部分不合理，体现在文化旅游产品普遍散、弱、小，可游性不强，真正具有竞争力的大型文化和旅游业运营企业少，各种文化旅游资源未能得到深度挖掘和创新，导致发展后劲不足，尚未形成具有核心竞争力的品牌产品和品牌企业。建议改善旅游产业链结构，提升整个旅游产业的竞争力。</w:t>
      </w:r>
    </w:p>
    <w:p>
      <w:pPr>
        <w:spacing w:before="190" w:beforeLines="50" w:after="190" w:afterLines="50"/>
        <w:ind w:firstLine="643" w:firstLineChars="200"/>
        <w:outlineLvl w:val="1"/>
        <w:rPr>
          <w:rFonts w:ascii="仿宋" w:hAnsi="仿宋" w:eastAsia="仿宋" w:cs="仿宋"/>
          <w:b/>
          <w:bCs/>
          <w:color w:val="000000" w:themeColor="text1"/>
          <w:sz w:val="32"/>
          <w:szCs w:val="32"/>
          <w14:textFill>
            <w14:solidFill>
              <w14:schemeClr w14:val="tx1"/>
            </w14:solidFill>
          </w14:textFill>
        </w:rPr>
      </w:pPr>
      <w:bookmarkStart w:id="108" w:name="_Toc16714"/>
      <w:r>
        <w:rPr>
          <w:rFonts w:hint="eastAsia" w:ascii="仿宋" w:hAnsi="仿宋" w:eastAsia="仿宋" w:cs="仿宋"/>
          <w:b/>
          <w:bCs/>
          <w:color w:val="000000" w:themeColor="text1"/>
          <w:sz w:val="32"/>
          <w:szCs w:val="32"/>
          <w:lang w:bidi="ar"/>
          <w14:textFill>
            <w14:solidFill>
              <w14:schemeClr w14:val="tx1"/>
            </w14:solidFill>
          </w14:textFill>
        </w:rPr>
        <w:t>三、绩效指标的目标值设定考虑不够全面</w:t>
      </w:r>
      <w:bookmarkEnd w:id="108"/>
    </w:p>
    <w:p>
      <w:pPr>
        <w:ind w:firstLine="560" w:firstLineChars="200"/>
        <w:rPr>
          <w:rFonts w:ascii="仿宋" w:hAnsi="仿宋" w:eastAsia="仿宋" w:cs="仿宋"/>
          <w:color w:val="000000" w:themeColor="text1"/>
          <w:szCs w:val="28"/>
          <w:lang w:bidi="ar"/>
          <w14:textFill>
            <w14:solidFill>
              <w14:schemeClr w14:val="tx1"/>
            </w14:solidFill>
          </w14:textFill>
        </w:rPr>
      </w:pPr>
      <w:r>
        <w:rPr>
          <w:rFonts w:hint="eastAsia" w:ascii="仿宋" w:hAnsi="仿宋" w:eastAsia="仿宋" w:cs="仿宋"/>
          <w:color w:val="000000" w:themeColor="text1"/>
          <w:szCs w:val="28"/>
          <w:lang w:bidi="ar"/>
          <w14:textFill>
            <w14:solidFill>
              <w14:schemeClr w14:val="tx1"/>
            </w14:solidFill>
          </w14:textFill>
        </w:rPr>
        <w:t>在进行绩效自评工作时，惠安县文旅局对疫情影响的考虑不够充分，未及时地调整旅游发展专项绩效自评材料中设置的绩效目标，制定符合旅游企业扶持发展需求的绩效目标，导致项目预期产出的经济效益和效果不符合正常的业绩水平。设定绩效指标的目标值时，建议充分考虑时间、资源、环境等因素的限制，制定出具有可行性的目标，避免设定过高或过低的目标，以免造成太大压力或失去发展动力。</w:t>
      </w:r>
      <w:bookmarkEnd w:id="101"/>
      <w:bookmarkEnd w:id="102"/>
      <w:bookmarkEnd w:id="103"/>
      <w:bookmarkStart w:id="109" w:name="_Toc126353980"/>
      <w:bookmarkStart w:id="110" w:name="_Toc124892225"/>
      <w:bookmarkStart w:id="111" w:name="_Hlk125147498"/>
      <w:r>
        <w:rPr>
          <w:rFonts w:ascii="仿宋" w:hAnsi="仿宋" w:eastAsia="仿宋" w:cs="楷体"/>
          <w:b/>
          <w:color w:val="000000" w:themeColor="text1"/>
          <w:sz w:val="36"/>
          <w:szCs w:val="36"/>
          <w14:textFill>
            <w14:solidFill>
              <w14:schemeClr w14:val="tx1"/>
            </w14:solidFill>
          </w14:textFill>
        </w:rPr>
        <w:br w:type="page"/>
      </w:r>
    </w:p>
    <w:p>
      <w:pPr>
        <w:jc w:val="center"/>
        <w:outlineLvl w:val="0"/>
        <w:rPr>
          <w:rFonts w:ascii="仿宋" w:hAnsi="仿宋" w:eastAsia="仿宋" w:cs="楷体"/>
          <w:b/>
          <w:color w:val="000000" w:themeColor="text1"/>
          <w:sz w:val="36"/>
          <w:szCs w:val="36"/>
          <w14:textFill>
            <w14:solidFill>
              <w14:schemeClr w14:val="tx1"/>
            </w14:solidFill>
          </w14:textFill>
        </w:rPr>
      </w:pPr>
    </w:p>
    <w:p>
      <w:pPr>
        <w:jc w:val="center"/>
        <w:outlineLvl w:val="0"/>
        <w:rPr>
          <w:rFonts w:ascii="仿宋" w:hAnsi="仿宋" w:eastAsia="仿宋" w:cs="楷体"/>
          <w:b/>
          <w:color w:val="000000" w:themeColor="text1"/>
          <w:sz w:val="36"/>
          <w:szCs w:val="36"/>
          <w14:textFill>
            <w14:solidFill>
              <w14:schemeClr w14:val="tx1"/>
            </w14:solidFill>
          </w14:textFill>
        </w:rPr>
      </w:pPr>
      <w:bookmarkStart w:id="112" w:name="_Toc2805"/>
      <w:r>
        <w:rPr>
          <w:rFonts w:hint="eastAsia" w:ascii="仿宋" w:hAnsi="仿宋" w:eastAsia="仿宋" w:cs="楷体"/>
          <w:b/>
          <w:color w:val="000000" w:themeColor="text1"/>
          <w:sz w:val="36"/>
          <w:szCs w:val="36"/>
          <w14:textFill>
            <w14:solidFill>
              <w14:schemeClr w14:val="tx1"/>
            </w14:solidFill>
          </w14:textFill>
        </w:rPr>
        <w:t>第五部分 改进措施与管理建议</w:t>
      </w:r>
      <w:bookmarkEnd w:id="109"/>
      <w:bookmarkEnd w:id="110"/>
      <w:bookmarkEnd w:id="112"/>
    </w:p>
    <w:p>
      <w:pPr>
        <w:jc w:val="center"/>
        <w:outlineLvl w:val="0"/>
        <w:rPr>
          <w:rFonts w:ascii="仿宋" w:hAnsi="仿宋" w:eastAsia="仿宋" w:cs="楷体"/>
          <w:b/>
          <w:color w:val="000000" w:themeColor="text1"/>
          <w:sz w:val="36"/>
          <w:szCs w:val="36"/>
          <w14:textFill>
            <w14:solidFill>
              <w14:schemeClr w14:val="tx1"/>
            </w14:solidFill>
          </w14:textFill>
        </w:rPr>
      </w:pPr>
    </w:p>
    <w:p>
      <w:pPr>
        <w:spacing w:before="190" w:beforeLines="50" w:after="190" w:afterLines="50"/>
        <w:ind w:firstLine="643" w:firstLineChars="200"/>
        <w:outlineLvl w:val="1"/>
        <w:rPr>
          <w:rFonts w:ascii="仿宋" w:hAnsi="仿宋" w:eastAsia="仿宋" w:cs="Times New Roman"/>
          <w:b/>
          <w:color w:val="000000" w:themeColor="text1"/>
          <w:sz w:val="32"/>
          <w:szCs w:val="32"/>
          <w14:textFill>
            <w14:solidFill>
              <w14:schemeClr w14:val="tx1"/>
            </w14:solidFill>
          </w14:textFill>
        </w:rPr>
      </w:pPr>
      <w:bookmarkStart w:id="113" w:name="_Toc24223"/>
      <w:bookmarkStart w:id="114" w:name="_Toc126353982"/>
      <w:r>
        <w:rPr>
          <w:rFonts w:hint="eastAsia" w:ascii="仿宋" w:hAnsi="仿宋" w:eastAsia="仿宋" w:cs="Times New Roman"/>
          <w:b/>
          <w:color w:val="000000" w:themeColor="text1"/>
          <w:sz w:val="32"/>
          <w:szCs w:val="32"/>
          <w14:textFill>
            <w14:solidFill>
              <w14:schemeClr w14:val="tx1"/>
            </w14:solidFill>
          </w14:textFill>
        </w:rPr>
        <w:t>一、努力提升项目资金的使用效益</w:t>
      </w:r>
      <w:bookmarkEnd w:id="113"/>
    </w:p>
    <w:p>
      <w:pPr>
        <w:ind w:firstLine="560" w:firstLineChars="200"/>
        <w:rPr>
          <w:rFonts w:ascii="仿宋" w:hAnsi="仿宋" w:eastAsia="仿宋" w:cs="Times New Roman"/>
          <w:color w:val="000000" w:themeColor="text1"/>
          <w:szCs w:val="28"/>
          <w14:textFill>
            <w14:solidFill>
              <w14:schemeClr w14:val="tx1"/>
            </w14:solidFill>
          </w14:textFill>
        </w:rPr>
      </w:pPr>
      <w:r>
        <w:rPr>
          <w:rFonts w:hint="eastAsia" w:ascii="仿宋" w:hAnsi="仿宋" w:eastAsia="仿宋" w:cs="Times New Roman"/>
          <w:color w:val="000000" w:themeColor="text1"/>
          <w:szCs w:val="28"/>
          <w14:textFill>
            <w14:solidFill>
              <w14:schemeClr w14:val="tx1"/>
            </w14:solidFill>
          </w14:textFill>
        </w:rPr>
        <w:t>在年度预算分析工作中应充分研究历史数据，考虑项目当下的政策制度规定、市场环境因素以及实际可能影响项目预算的内外因素，合理地确定预算金额。根据项目实际情况，做好资金的年度统筹工作，加快相关工作的进度，确保预算编制对应的实际支出资金尽可能与年初绩效目标保持一致，提高资金的使用效益，达到资源配置的最优化。</w:t>
      </w:r>
    </w:p>
    <w:p>
      <w:pPr>
        <w:spacing w:before="190" w:beforeLines="50" w:after="190" w:afterLines="50"/>
        <w:ind w:firstLine="643" w:firstLineChars="200"/>
        <w:outlineLvl w:val="1"/>
        <w:rPr>
          <w:rFonts w:ascii="仿宋" w:hAnsi="仿宋" w:eastAsia="仿宋" w:cs="黑体"/>
          <w:b/>
          <w:color w:val="000000" w:themeColor="text1"/>
          <w:sz w:val="32"/>
          <w:szCs w:val="32"/>
          <w14:textFill>
            <w14:solidFill>
              <w14:schemeClr w14:val="tx1"/>
            </w14:solidFill>
          </w14:textFill>
        </w:rPr>
      </w:pPr>
      <w:bookmarkStart w:id="115" w:name="_Toc18449"/>
      <w:r>
        <w:rPr>
          <w:rFonts w:hint="eastAsia" w:ascii="仿宋" w:hAnsi="仿宋" w:eastAsia="仿宋" w:cs="黑体"/>
          <w:b/>
          <w:color w:val="000000" w:themeColor="text1"/>
          <w:sz w:val="32"/>
          <w:szCs w:val="32"/>
          <w14:textFill>
            <w14:solidFill>
              <w14:schemeClr w14:val="tx1"/>
            </w14:solidFill>
          </w14:textFill>
        </w:rPr>
        <w:t>二、执行相关管理制度，做好资料归档工作</w:t>
      </w:r>
      <w:bookmarkEnd w:id="115"/>
    </w:p>
    <w:p>
      <w:pPr>
        <w:ind w:firstLine="560" w:firstLineChars="200"/>
        <w:rPr>
          <w:rFonts w:ascii="仿宋" w:hAnsi="仿宋" w:eastAsia="仿宋" w:cs="Times New Roman"/>
          <w:color w:val="000000" w:themeColor="text1"/>
          <w:szCs w:val="28"/>
          <w14:textFill>
            <w14:solidFill>
              <w14:schemeClr w14:val="tx1"/>
            </w14:solidFill>
          </w14:textFill>
        </w:rPr>
      </w:pPr>
      <w:r>
        <w:rPr>
          <w:rFonts w:hint="eastAsia" w:ascii="仿宋" w:hAnsi="仿宋" w:eastAsia="仿宋" w:cs="黑体"/>
          <w:color w:val="000000" w:themeColor="text1"/>
          <w:szCs w:val="28"/>
          <w14:textFill>
            <w14:solidFill>
              <w14:schemeClr w14:val="tx1"/>
            </w14:solidFill>
          </w14:textFill>
        </w:rPr>
        <w:t>加强项目管理和相关人员对《惠安县旅游发展专项资金管理办法》的学习，熟知整理归档的方法和要点，提高责任心，及时做好本单位的档案资料的收集、整理、归档工作。按照“真实、全面、准确”的要求，检查有关项目材料收集整理的是否齐全完整，准确地纳入规范化管理程序，做到档案摆放整齐规范、有规可循、有目可查。同时，建议数字化归档，设置相关命名规范，以便进行信息检索和资料管理。</w:t>
      </w:r>
    </w:p>
    <w:p>
      <w:pPr>
        <w:spacing w:before="190" w:beforeLines="50" w:after="190" w:afterLines="50"/>
        <w:ind w:firstLine="643" w:firstLineChars="200"/>
        <w:outlineLvl w:val="1"/>
        <w:rPr>
          <w:rFonts w:ascii="仿宋" w:hAnsi="仿宋" w:eastAsia="仿宋" w:cs="黑体"/>
          <w:b/>
          <w:color w:val="000000" w:themeColor="text1"/>
          <w:sz w:val="32"/>
          <w:szCs w:val="32"/>
          <w14:textFill>
            <w14:solidFill>
              <w14:schemeClr w14:val="tx1"/>
            </w14:solidFill>
          </w14:textFill>
        </w:rPr>
      </w:pPr>
      <w:bookmarkStart w:id="116" w:name="_Toc15131"/>
      <w:r>
        <w:rPr>
          <w:rFonts w:hint="eastAsia" w:ascii="仿宋" w:hAnsi="仿宋" w:eastAsia="仿宋" w:cs="黑体"/>
          <w:b/>
          <w:color w:val="000000" w:themeColor="text1"/>
          <w:sz w:val="32"/>
          <w:szCs w:val="32"/>
          <w14:textFill>
            <w14:solidFill>
              <w14:schemeClr w14:val="tx1"/>
            </w14:solidFill>
          </w14:textFill>
        </w:rPr>
        <w:t>三、提高政策预算绩效目标的合理性</w:t>
      </w:r>
      <w:bookmarkEnd w:id="116"/>
    </w:p>
    <w:p>
      <w:pPr>
        <w:ind w:firstLine="560" w:firstLineChars="200"/>
        <w:rPr>
          <w:rFonts w:ascii="仿宋" w:hAnsi="仿宋" w:eastAsia="仿宋" w:cs="黑体"/>
          <w:color w:val="000000" w:themeColor="text1"/>
          <w:szCs w:val="28"/>
          <w14:textFill>
            <w14:solidFill>
              <w14:schemeClr w14:val="tx1"/>
            </w14:solidFill>
          </w14:textFill>
        </w:rPr>
      </w:pPr>
      <w:r>
        <w:rPr>
          <w:rFonts w:hint="eastAsia" w:ascii="仿宋" w:hAnsi="仿宋" w:eastAsia="仿宋" w:cs="黑体"/>
          <w:color w:val="000000" w:themeColor="text1"/>
          <w:szCs w:val="28"/>
          <w14:textFill>
            <w14:solidFill>
              <w14:schemeClr w14:val="tx1"/>
            </w14:solidFill>
          </w14:textFill>
        </w:rPr>
        <w:t>在开展绩效目标设定工作之前，综合考虑社会环境及单位预算管理的目标，在推动旅游业高质量发展的基础上，掌握好县城旅游相关产业的建设情况及各景点游客容量，然后再进行绩效目标设置。同时，及时申请预算资金，跟进支付进度，确保预算资金准时下达。</w:t>
      </w:r>
    </w:p>
    <w:p>
      <w:pPr>
        <w:rPr>
          <w:rFonts w:ascii="仿宋" w:hAnsi="仿宋" w:eastAsia="仿宋" w:cs="黑体"/>
          <w:color w:val="000000" w:themeColor="text1"/>
          <w:szCs w:val="28"/>
          <w14:textFill>
            <w14:solidFill>
              <w14:schemeClr w14:val="tx1"/>
            </w14:solidFill>
          </w14:textFill>
        </w:rPr>
      </w:pPr>
      <w:r>
        <w:rPr>
          <w:rFonts w:hint="eastAsia" w:ascii="仿宋" w:hAnsi="仿宋" w:eastAsia="仿宋" w:cs="黑体"/>
          <w:color w:val="000000" w:themeColor="text1"/>
          <w:szCs w:val="28"/>
          <w14:textFill>
            <w14:solidFill>
              <w14:schemeClr w14:val="tx1"/>
            </w14:solidFill>
          </w14:textFill>
        </w:rPr>
        <w:br w:type="page"/>
      </w:r>
    </w:p>
    <w:bookmarkEnd w:id="111"/>
    <w:bookmarkEnd w:id="114"/>
    <w:p>
      <w:pPr>
        <w:ind w:firstLine="560"/>
        <w:outlineLvl w:val="0"/>
        <w:rPr>
          <w:rFonts w:ascii="等线" w:hAnsi="等线" w:eastAsia="楷体" w:cs="Times New Roman"/>
          <w:color w:val="000000" w:themeColor="text1"/>
          <w:szCs w:val="36"/>
          <w14:textFill>
            <w14:solidFill>
              <w14:schemeClr w14:val="tx1"/>
            </w14:solidFill>
          </w14:textFill>
        </w:rPr>
      </w:pPr>
      <w:bookmarkStart w:id="117" w:name="_Toc117458371"/>
      <w:bookmarkStart w:id="118" w:name="_Toc119967348"/>
      <w:bookmarkStart w:id="119" w:name="_Toc3006"/>
      <w:bookmarkStart w:id="120" w:name="_Toc124892229"/>
      <w:bookmarkStart w:id="121" w:name="_Toc32200"/>
      <w:bookmarkStart w:id="122" w:name="_Toc70354055"/>
      <w:bookmarkStart w:id="123" w:name="_Toc126353986"/>
      <w:r>
        <w:rPr>
          <w:rFonts w:hint="eastAsia" w:ascii="仿宋" w:hAnsi="仿宋" w:eastAsia="仿宋" w:cs="仿宋"/>
          <w:color w:val="000000" w:themeColor="text1"/>
          <w:szCs w:val="36"/>
          <w14:textFill>
            <w14:solidFill>
              <w14:schemeClr w14:val="tx1"/>
            </w14:solidFill>
          </w14:textFill>
        </w:rPr>
        <w:t>附件：</w:t>
      </w:r>
      <w:bookmarkEnd w:id="117"/>
      <w:bookmarkEnd w:id="118"/>
      <w:bookmarkEnd w:id="119"/>
      <w:bookmarkEnd w:id="120"/>
      <w:bookmarkEnd w:id="121"/>
      <w:bookmarkEnd w:id="122"/>
      <w:bookmarkEnd w:id="123"/>
    </w:p>
    <w:p>
      <w:pPr>
        <w:spacing w:before="190" w:beforeLines="50" w:after="190" w:afterLines="50"/>
        <w:ind w:firstLine="643"/>
        <w:rPr>
          <w:rFonts w:ascii="仿宋" w:hAnsi="仿宋" w:eastAsia="仿宋" w:cs="仿宋"/>
          <w:b/>
          <w:color w:val="000000" w:themeColor="text1"/>
          <w:sz w:val="16"/>
          <w:szCs w:val="16"/>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惠安县</w:t>
      </w:r>
      <w:r>
        <w:rPr>
          <w:rFonts w:ascii="Times New Roman" w:hAnsi="Times New Roman" w:eastAsia="仿宋" w:cs="Times New Roman"/>
          <w:b/>
          <w:color w:val="000000" w:themeColor="text1"/>
          <w:sz w:val="32"/>
          <w:szCs w:val="32"/>
          <w14:textFill>
            <w14:solidFill>
              <w14:schemeClr w14:val="tx1"/>
            </w14:solidFill>
          </w14:textFill>
        </w:rPr>
        <w:t>2021</w:t>
      </w:r>
      <w:r>
        <w:rPr>
          <w:rFonts w:hint="eastAsia" w:ascii="仿宋" w:hAnsi="仿宋" w:eastAsia="仿宋" w:cs="仿宋"/>
          <w:b/>
          <w:color w:val="000000" w:themeColor="text1"/>
          <w:sz w:val="32"/>
          <w:szCs w:val="32"/>
          <w14:textFill>
            <w14:solidFill>
              <w14:schemeClr w14:val="tx1"/>
            </w14:solidFill>
          </w14:textFill>
        </w:rPr>
        <w:t>-</w:t>
      </w:r>
      <w:r>
        <w:rPr>
          <w:rFonts w:ascii="Times New Roman" w:hAnsi="Times New Roman" w:eastAsia="仿宋" w:cs="Times New Roman"/>
          <w:b/>
          <w:color w:val="000000" w:themeColor="text1"/>
          <w:sz w:val="32"/>
          <w:szCs w:val="32"/>
          <w14:textFill>
            <w14:solidFill>
              <w14:schemeClr w14:val="tx1"/>
            </w14:solidFill>
          </w14:textFill>
        </w:rPr>
        <w:t>2022</w:t>
      </w:r>
      <w:r>
        <w:rPr>
          <w:rFonts w:hint="eastAsia" w:ascii="仿宋" w:hAnsi="仿宋" w:eastAsia="仿宋" w:cs="仿宋"/>
          <w:b/>
          <w:color w:val="000000" w:themeColor="text1"/>
          <w:sz w:val="32"/>
          <w:szCs w:val="32"/>
          <w14:textFill>
            <w14:solidFill>
              <w14:schemeClr w14:val="tx1"/>
            </w14:solidFill>
          </w14:textFill>
        </w:rPr>
        <w:t>年度旅游发展专项资金绩效评价表</w:t>
      </w:r>
    </w:p>
    <w:tbl>
      <w:tblPr>
        <w:tblStyle w:val="13"/>
        <w:tblW w:w="8869" w:type="dxa"/>
        <w:tblInd w:w="0" w:type="dxa"/>
        <w:tblLayout w:type="fixed"/>
        <w:tblCellMar>
          <w:top w:w="0" w:type="dxa"/>
          <w:left w:w="108" w:type="dxa"/>
          <w:bottom w:w="0" w:type="dxa"/>
          <w:right w:w="108" w:type="dxa"/>
        </w:tblCellMar>
      </w:tblPr>
      <w:tblGrid>
        <w:gridCol w:w="985"/>
        <w:gridCol w:w="1410"/>
        <w:gridCol w:w="1922"/>
        <w:gridCol w:w="3822"/>
        <w:gridCol w:w="730"/>
      </w:tblGrid>
      <w:tr>
        <w:tblPrEx>
          <w:tblCellMar>
            <w:top w:w="0" w:type="dxa"/>
            <w:left w:w="108" w:type="dxa"/>
            <w:bottom w:w="0" w:type="dxa"/>
            <w:right w:w="108" w:type="dxa"/>
          </w:tblCellMar>
        </w:tblPrEx>
        <w:trPr>
          <w:trHeight w:val="503" w:hRule="atLeast"/>
          <w:tblHeader/>
        </w:trPr>
        <w:tc>
          <w:tcPr>
            <w:tcW w:w="985"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spacing w:line="240" w:lineRule="auto"/>
              <w:jc w:val="center"/>
              <w:rPr>
                <w:rFonts w:ascii="仿宋" w:hAnsi="仿宋" w:eastAsia="仿宋" w:cs="仿宋"/>
                <w:b/>
                <w:bCs/>
                <w:color w:val="000000" w:themeColor="text1"/>
                <w:kern w:val="0"/>
                <w:sz w:val="18"/>
                <w:szCs w:val="18"/>
                <w14:textFill>
                  <w14:solidFill>
                    <w14:schemeClr w14:val="tx1"/>
                  </w14:solidFill>
                </w14:textFill>
              </w:rPr>
            </w:pPr>
            <w:r>
              <w:rPr>
                <w:rFonts w:hint="eastAsia" w:ascii="仿宋" w:hAnsi="仿宋" w:eastAsia="仿宋" w:cs="仿宋"/>
                <w:b/>
                <w:bCs/>
                <w:color w:val="000000" w:themeColor="text1"/>
                <w:kern w:val="0"/>
                <w:sz w:val="18"/>
                <w:szCs w:val="18"/>
                <w14:textFill>
                  <w14:solidFill>
                    <w14:schemeClr w14:val="tx1"/>
                  </w14:solidFill>
                </w14:textFill>
              </w:rPr>
              <w:t>一级指标</w:t>
            </w:r>
          </w:p>
        </w:tc>
        <w:tc>
          <w:tcPr>
            <w:tcW w:w="1410"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40" w:lineRule="auto"/>
              <w:jc w:val="center"/>
              <w:rPr>
                <w:rFonts w:ascii="仿宋" w:hAnsi="仿宋" w:eastAsia="仿宋" w:cs="仿宋"/>
                <w:b/>
                <w:bCs/>
                <w:color w:val="000000" w:themeColor="text1"/>
                <w:kern w:val="0"/>
                <w:sz w:val="18"/>
                <w:szCs w:val="18"/>
                <w14:textFill>
                  <w14:solidFill>
                    <w14:schemeClr w14:val="tx1"/>
                  </w14:solidFill>
                </w14:textFill>
              </w:rPr>
            </w:pPr>
            <w:r>
              <w:rPr>
                <w:rFonts w:hint="eastAsia" w:ascii="仿宋" w:hAnsi="仿宋" w:eastAsia="仿宋" w:cs="仿宋"/>
                <w:b/>
                <w:bCs/>
                <w:color w:val="000000" w:themeColor="text1"/>
                <w:kern w:val="0"/>
                <w:sz w:val="18"/>
                <w:szCs w:val="18"/>
                <w14:textFill>
                  <w14:solidFill>
                    <w14:schemeClr w14:val="tx1"/>
                  </w14:solidFill>
                </w14:textFill>
              </w:rPr>
              <w:t>二级指标</w:t>
            </w:r>
          </w:p>
        </w:tc>
        <w:tc>
          <w:tcPr>
            <w:tcW w:w="1922"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40" w:lineRule="auto"/>
              <w:jc w:val="center"/>
              <w:rPr>
                <w:rFonts w:ascii="仿宋" w:hAnsi="仿宋" w:eastAsia="仿宋" w:cs="仿宋"/>
                <w:b/>
                <w:bCs/>
                <w:color w:val="000000" w:themeColor="text1"/>
                <w:kern w:val="0"/>
                <w:sz w:val="18"/>
                <w:szCs w:val="18"/>
                <w14:textFill>
                  <w14:solidFill>
                    <w14:schemeClr w14:val="tx1"/>
                  </w14:solidFill>
                </w14:textFill>
              </w:rPr>
            </w:pPr>
            <w:r>
              <w:rPr>
                <w:rFonts w:hint="eastAsia" w:ascii="仿宋" w:hAnsi="仿宋" w:eastAsia="仿宋" w:cs="仿宋"/>
                <w:b/>
                <w:bCs/>
                <w:color w:val="000000" w:themeColor="text1"/>
                <w:kern w:val="0"/>
                <w:sz w:val="18"/>
                <w:szCs w:val="18"/>
                <w14:textFill>
                  <w14:solidFill>
                    <w14:schemeClr w14:val="tx1"/>
                  </w14:solidFill>
                </w14:textFill>
              </w:rPr>
              <w:t>三级指标</w:t>
            </w:r>
          </w:p>
        </w:tc>
        <w:tc>
          <w:tcPr>
            <w:tcW w:w="3822"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40" w:lineRule="auto"/>
              <w:jc w:val="center"/>
              <w:rPr>
                <w:rFonts w:ascii="仿宋" w:hAnsi="仿宋" w:eastAsia="仿宋" w:cs="仿宋"/>
                <w:b/>
                <w:bCs/>
                <w:color w:val="000000" w:themeColor="text1"/>
                <w:kern w:val="0"/>
                <w:sz w:val="18"/>
                <w:szCs w:val="18"/>
                <w14:textFill>
                  <w14:solidFill>
                    <w14:schemeClr w14:val="tx1"/>
                  </w14:solidFill>
                </w14:textFill>
              </w:rPr>
            </w:pPr>
            <w:r>
              <w:rPr>
                <w:rFonts w:hint="eastAsia" w:ascii="仿宋" w:hAnsi="仿宋" w:eastAsia="仿宋" w:cs="仿宋"/>
                <w:b/>
                <w:bCs/>
                <w:color w:val="000000" w:themeColor="text1"/>
                <w:kern w:val="0"/>
                <w:sz w:val="18"/>
                <w:szCs w:val="18"/>
                <w14:textFill>
                  <w14:solidFill>
                    <w14:schemeClr w14:val="tx1"/>
                  </w14:solidFill>
                </w14:textFill>
              </w:rPr>
              <w:t>评价规则</w:t>
            </w:r>
          </w:p>
        </w:tc>
        <w:tc>
          <w:tcPr>
            <w:tcW w:w="730"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40" w:lineRule="auto"/>
              <w:jc w:val="center"/>
              <w:rPr>
                <w:rFonts w:ascii="仿宋" w:hAnsi="仿宋" w:eastAsia="仿宋" w:cs="仿宋"/>
                <w:b/>
                <w:bCs/>
                <w:color w:val="000000" w:themeColor="text1"/>
                <w:kern w:val="0"/>
                <w:sz w:val="18"/>
                <w:szCs w:val="18"/>
                <w14:textFill>
                  <w14:solidFill>
                    <w14:schemeClr w14:val="tx1"/>
                  </w14:solidFill>
                </w14:textFill>
              </w:rPr>
            </w:pPr>
            <w:r>
              <w:rPr>
                <w:rFonts w:hint="eastAsia" w:ascii="仿宋" w:hAnsi="仿宋" w:eastAsia="仿宋" w:cs="仿宋"/>
                <w:b/>
                <w:bCs/>
                <w:color w:val="000000" w:themeColor="text1"/>
                <w:kern w:val="0"/>
                <w:sz w:val="18"/>
                <w:szCs w:val="18"/>
                <w14:textFill>
                  <w14:solidFill>
                    <w14:schemeClr w14:val="tx1"/>
                  </w14:solidFill>
                </w14:textFill>
              </w:rPr>
              <w:t>评分</w:t>
            </w:r>
          </w:p>
        </w:tc>
      </w:tr>
      <w:tr>
        <w:tblPrEx>
          <w:tblCellMar>
            <w:top w:w="0" w:type="dxa"/>
            <w:left w:w="108" w:type="dxa"/>
            <w:bottom w:w="0" w:type="dxa"/>
            <w:right w:w="108" w:type="dxa"/>
          </w:tblCellMar>
        </w:tblPrEx>
        <w:trPr>
          <w:trHeight w:val="2016" w:hRule="atLeast"/>
        </w:trPr>
        <w:tc>
          <w:tcPr>
            <w:tcW w:w="98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r>
              <w:rPr>
                <w:rFonts w:hint="eastAsia" w:ascii="仿宋" w:hAnsi="仿宋" w:eastAsia="仿宋" w:cs="仿宋"/>
                <w:b/>
                <w:bCs/>
                <w:color w:val="000000" w:themeColor="text1"/>
                <w:kern w:val="0"/>
                <w:sz w:val="18"/>
                <w:szCs w:val="18"/>
                <w14:textFill>
                  <w14:solidFill>
                    <w14:schemeClr w14:val="tx1"/>
                  </w14:solidFill>
                </w14:textFill>
              </w:rPr>
              <w:t>决策指标（</w:t>
            </w:r>
            <w:r>
              <w:rPr>
                <w:rFonts w:ascii="Times New Roman" w:hAnsi="Times New Roman" w:eastAsia="仿宋" w:cs="Times New Roman"/>
                <w:b/>
                <w:bCs/>
                <w:color w:val="000000" w:themeColor="text1"/>
                <w:kern w:val="0"/>
                <w:sz w:val="18"/>
                <w:szCs w:val="18"/>
                <w14:textFill>
                  <w14:solidFill>
                    <w14:schemeClr w14:val="tx1"/>
                  </w14:solidFill>
                </w14:textFill>
              </w:rPr>
              <w:t>20</w:t>
            </w:r>
            <w:r>
              <w:rPr>
                <w:rFonts w:hint="eastAsia" w:ascii="仿宋" w:hAnsi="仿宋" w:eastAsia="仿宋" w:cs="仿宋"/>
                <w:b/>
                <w:bCs/>
                <w:color w:val="000000" w:themeColor="text1"/>
                <w:kern w:val="0"/>
                <w:sz w:val="18"/>
                <w:szCs w:val="18"/>
                <w14:textFill>
                  <w14:solidFill>
                    <w14:schemeClr w14:val="tx1"/>
                  </w14:solidFill>
                </w14:textFill>
              </w:rPr>
              <w:t>分）</w:t>
            </w:r>
          </w:p>
        </w:tc>
        <w:tc>
          <w:tcPr>
            <w:tcW w:w="14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项目立项（</w:t>
            </w:r>
            <w:r>
              <w:rPr>
                <w:rFonts w:ascii="Times New Roman" w:hAnsi="Times New Roman" w:eastAsia="仿宋" w:cs="Times New Roman"/>
                <w:color w:val="000000" w:themeColor="text1"/>
                <w:kern w:val="0"/>
                <w:sz w:val="18"/>
                <w:szCs w:val="18"/>
                <w14:textFill>
                  <w14:solidFill>
                    <w14:schemeClr w14:val="tx1"/>
                  </w14:solidFill>
                </w14:textFill>
              </w:rPr>
              <w:t>7</w:t>
            </w:r>
            <w:r>
              <w:rPr>
                <w:rFonts w:hint="eastAsia" w:ascii="仿宋" w:hAnsi="仿宋" w:eastAsia="仿宋" w:cs="仿宋"/>
                <w:color w:val="000000" w:themeColor="text1"/>
                <w:kern w:val="0"/>
                <w:sz w:val="18"/>
                <w:szCs w:val="18"/>
                <w14:textFill>
                  <w14:solidFill>
                    <w14:schemeClr w14:val="tx1"/>
                  </w14:solidFill>
                </w14:textFill>
              </w:rPr>
              <w:t>分）</w:t>
            </w:r>
          </w:p>
        </w:tc>
        <w:tc>
          <w:tcPr>
            <w:tcW w:w="192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立项依据充分性（</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1</w:t>
            </w:r>
            <w:r>
              <w:rPr>
                <w:rFonts w:hint="eastAsia" w:ascii="仿宋" w:hAnsi="仿宋" w:eastAsia="仿宋" w:cs="仿宋"/>
                <w:color w:val="000000" w:themeColor="text1"/>
                <w:kern w:val="0"/>
                <w:sz w:val="18"/>
                <w:szCs w:val="18"/>
                <w14:textFill>
                  <w14:solidFill>
                    <w14:schemeClr w14:val="tx1"/>
                  </w14:solidFill>
                </w14:textFill>
              </w:rPr>
              <w:t>.项目立项是否符合法律、法规、规章或者省委省政府规范性文件情况；</w:t>
            </w:r>
            <w:r>
              <w:rPr>
                <w:rFonts w:ascii="Times New Roman" w:hAnsi="Times New Roman" w:eastAsia="仿宋" w:cs="Times New Roman"/>
                <w:color w:val="000000" w:themeColor="text1"/>
                <w:kern w:val="0"/>
                <w:sz w:val="18"/>
                <w:szCs w:val="18"/>
                <w14:textFill>
                  <w14:solidFill>
                    <w14:schemeClr w14:val="tx1"/>
                  </w14:solidFill>
                </w14:textFill>
              </w:rPr>
              <w:t>2</w:t>
            </w:r>
            <w:r>
              <w:rPr>
                <w:rFonts w:hint="eastAsia" w:ascii="仿宋" w:hAnsi="仿宋" w:eastAsia="仿宋" w:cs="仿宋"/>
                <w:color w:val="000000" w:themeColor="text1"/>
                <w:kern w:val="0"/>
                <w:sz w:val="18"/>
                <w:szCs w:val="18"/>
                <w14:textFill>
                  <w14:solidFill>
                    <w14:schemeClr w14:val="tx1"/>
                  </w14:solidFill>
                </w14:textFill>
              </w:rPr>
              <w:t>.项目立项是否与部门职责范围相符，属于部门履职所需；</w:t>
            </w:r>
            <w:r>
              <w:rPr>
                <w:rFonts w:ascii="Times New Roman" w:hAnsi="Times New Roman" w:eastAsia="仿宋" w:cs="Times New Roman"/>
                <w:color w:val="000000" w:themeColor="text1"/>
                <w:kern w:val="0"/>
                <w:sz w:val="18"/>
                <w:szCs w:val="18"/>
                <w14:textFill>
                  <w14:solidFill>
                    <w14:schemeClr w14:val="tx1"/>
                  </w14:solidFill>
                </w14:textFill>
              </w:rPr>
              <w:t>3</w:t>
            </w:r>
            <w:r>
              <w:rPr>
                <w:rFonts w:hint="eastAsia" w:ascii="仿宋" w:hAnsi="仿宋" w:eastAsia="仿宋" w:cs="仿宋"/>
                <w:color w:val="000000" w:themeColor="text1"/>
                <w:kern w:val="0"/>
                <w:sz w:val="18"/>
                <w:szCs w:val="18"/>
                <w14:textFill>
                  <w14:solidFill>
                    <w14:schemeClr w14:val="tx1"/>
                  </w14:solidFill>
                </w14:textFill>
              </w:rPr>
              <w:t>.项目是否属于公共财政支持范围，是否符合中央、地方事权支出责任划分原则；</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.项目是否与相关部门同类项目或部门内部相关项目重复。</w:t>
            </w:r>
            <w:r>
              <w:rPr>
                <w:rFonts w:hint="eastAsia" w:ascii="仿宋" w:hAnsi="仿宋" w:eastAsia="仿宋" w:cs="仿宋"/>
                <w:color w:val="000000" w:themeColor="text1"/>
                <w:sz w:val="18"/>
                <w:szCs w:val="18"/>
                <w:lang w:bidi="ar"/>
                <w14:textFill>
                  <w14:solidFill>
                    <w14:schemeClr w14:val="tx1"/>
                  </w14:solidFill>
                </w14:textFill>
              </w:rPr>
              <w:t>一项不符合扣</w:t>
            </w:r>
            <w:r>
              <w:rPr>
                <w:rFonts w:ascii="Times New Roman" w:hAnsi="Times New Roman" w:eastAsia="仿宋" w:cs="Times New Roman"/>
                <w:color w:val="000000" w:themeColor="text1"/>
                <w:sz w:val="18"/>
                <w:szCs w:val="18"/>
                <w:lang w:bidi="ar"/>
                <w14:textFill>
                  <w14:solidFill>
                    <w14:schemeClr w14:val="tx1"/>
                  </w14:solidFill>
                </w14:textFill>
              </w:rPr>
              <w:t>1</w:t>
            </w:r>
            <w:r>
              <w:rPr>
                <w:rFonts w:hint="eastAsia" w:ascii="仿宋" w:hAnsi="仿宋" w:eastAsia="仿宋" w:cs="仿宋"/>
                <w:color w:val="000000" w:themeColor="text1"/>
                <w:sz w:val="18"/>
                <w:szCs w:val="18"/>
                <w:lang w:bidi="ar"/>
                <w14:textFill>
                  <w14:solidFill>
                    <w14:schemeClr w14:val="tx1"/>
                  </w14:solidFill>
                </w14:textFill>
              </w:rPr>
              <w:t>分。</w:t>
            </w:r>
          </w:p>
        </w:tc>
        <w:tc>
          <w:tcPr>
            <w:tcW w:w="7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4.00</w:t>
            </w:r>
          </w:p>
        </w:tc>
      </w:tr>
      <w:tr>
        <w:tblPrEx>
          <w:tblCellMar>
            <w:top w:w="0" w:type="dxa"/>
            <w:left w:w="108" w:type="dxa"/>
            <w:bottom w:w="0" w:type="dxa"/>
            <w:right w:w="108" w:type="dxa"/>
          </w:tblCellMar>
        </w:tblPrEx>
        <w:trPr>
          <w:trHeight w:val="737" w:hRule="atLeast"/>
        </w:trPr>
        <w:tc>
          <w:tcPr>
            <w:tcW w:w="9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p>
        </w:tc>
        <w:tc>
          <w:tcPr>
            <w:tcW w:w="192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立项程序规范性（</w:t>
            </w:r>
            <w:r>
              <w:rPr>
                <w:rFonts w:ascii="Times New Roman" w:hAnsi="Times New Roman" w:eastAsia="仿宋" w:cs="Times New Roman"/>
                <w:color w:val="000000" w:themeColor="text1"/>
                <w:kern w:val="0"/>
                <w:sz w:val="18"/>
                <w:szCs w:val="18"/>
                <w14:textFill>
                  <w14:solidFill>
                    <w14:schemeClr w14:val="tx1"/>
                  </w14:solidFill>
                </w14:textFill>
              </w:rPr>
              <w:t>3</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Style w:val="28"/>
                <w:rFonts w:hint="default" w:ascii="Times New Roman" w:hAnsi="Times New Roman" w:eastAsia="仿宋" w:cs="Times New Roman"/>
                <w:color w:val="000000" w:themeColor="text1"/>
                <w:lang w:bidi="ar"/>
                <w14:textFill>
                  <w14:solidFill>
                    <w14:schemeClr w14:val="tx1"/>
                  </w14:solidFill>
                </w14:textFill>
              </w:rPr>
              <w:t>1</w:t>
            </w:r>
            <w:r>
              <w:rPr>
                <w:rStyle w:val="28"/>
                <w:rFonts w:hint="default" w:ascii="仿宋" w:hAnsi="仿宋" w:eastAsia="仿宋" w:cs="仿宋"/>
                <w:color w:val="000000" w:themeColor="text1"/>
                <w:lang w:bidi="ar"/>
                <w14:textFill>
                  <w14:solidFill>
                    <w14:schemeClr w14:val="tx1"/>
                  </w14:solidFill>
                </w14:textFill>
              </w:rPr>
              <w:t>.项目是否按照规定的程序申请设立；</w:t>
            </w:r>
            <w:r>
              <w:rPr>
                <w:rFonts w:ascii="Times New Roman" w:hAnsi="Times New Roman" w:eastAsia="仿宋" w:cs="Times New Roman"/>
                <w:color w:val="000000" w:themeColor="text1"/>
                <w:sz w:val="18"/>
                <w:szCs w:val="18"/>
                <w:lang w:bidi="ar"/>
                <w14:textFill>
                  <w14:solidFill>
                    <w14:schemeClr w14:val="tx1"/>
                  </w14:solidFill>
                </w14:textFill>
              </w:rPr>
              <w:t>2</w:t>
            </w:r>
            <w:r>
              <w:rPr>
                <w:rFonts w:hint="eastAsia" w:ascii="仿宋" w:hAnsi="仿宋" w:eastAsia="仿宋" w:cs="仿宋"/>
                <w:color w:val="000000" w:themeColor="text1"/>
                <w:kern w:val="0"/>
                <w:sz w:val="18"/>
                <w:szCs w:val="18"/>
                <w14:textFill>
                  <w14:solidFill>
                    <w14:schemeClr w14:val="tx1"/>
                  </w14:solidFill>
                </w14:textFill>
              </w:rPr>
              <w:t>.</w:t>
            </w:r>
            <w:r>
              <w:rPr>
                <w:rStyle w:val="28"/>
                <w:rFonts w:hint="default" w:ascii="仿宋" w:hAnsi="仿宋" w:eastAsia="仿宋" w:cs="仿宋"/>
                <w:color w:val="000000" w:themeColor="text1"/>
                <w:lang w:bidi="ar"/>
                <w14:textFill>
                  <w14:solidFill>
                    <w14:schemeClr w14:val="tx1"/>
                  </w14:solidFill>
                </w14:textFill>
              </w:rPr>
              <w:t>事前是否已经过必要的可行性研究、专家论证、风险评估、绩效评估、集体决策</w:t>
            </w:r>
            <w:r>
              <w:rPr>
                <w:rFonts w:hint="eastAsia" w:ascii="仿宋" w:hAnsi="仿宋" w:eastAsia="仿宋" w:cs="仿宋"/>
                <w:color w:val="000000" w:themeColor="text1"/>
                <w:sz w:val="18"/>
                <w:szCs w:val="18"/>
                <w:lang w:bidi="ar"/>
                <w14:textFill>
                  <w14:solidFill>
                    <w14:schemeClr w14:val="tx1"/>
                  </w14:solidFill>
                </w14:textFill>
              </w:rPr>
              <w:t>,</w:t>
            </w:r>
            <w:r>
              <w:rPr>
                <w:rStyle w:val="28"/>
                <w:rFonts w:hint="default" w:ascii="仿宋" w:hAnsi="仿宋" w:eastAsia="仿宋" w:cs="仿宋"/>
                <w:color w:val="000000" w:themeColor="text1"/>
                <w:lang w:bidi="ar"/>
                <w14:textFill>
                  <w14:solidFill>
                    <w14:schemeClr w14:val="tx1"/>
                  </w14:solidFill>
                </w14:textFill>
              </w:rPr>
              <w:t>审批文件、材料是否符合相关要求。</w:t>
            </w:r>
            <w:r>
              <w:rPr>
                <w:rFonts w:hint="eastAsia" w:ascii="仿宋" w:hAnsi="仿宋" w:eastAsia="仿宋" w:cs="仿宋"/>
                <w:color w:val="000000" w:themeColor="text1"/>
                <w:sz w:val="18"/>
                <w:szCs w:val="18"/>
                <w:lang w:bidi="ar"/>
                <w14:textFill>
                  <w14:solidFill>
                    <w14:schemeClr w14:val="tx1"/>
                  </w14:solidFill>
                </w14:textFill>
              </w:rPr>
              <w:t>一项不符合扣</w:t>
            </w:r>
            <w:r>
              <w:rPr>
                <w:rFonts w:ascii="Times New Roman" w:hAnsi="Times New Roman" w:eastAsia="仿宋" w:cs="Times New Roman"/>
                <w:color w:val="000000" w:themeColor="text1"/>
                <w:sz w:val="18"/>
                <w:szCs w:val="18"/>
                <w:lang w:bidi="ar"/>
                <w14:textFill>
                  <w14:solidFill>
                    <w14:schemeClr w14:val="tx1"/>
                  </w14:solidFill>
                </w14:textFill>
              </w:rPr>
              <w:t>1.5</w:t>
            </w:r>
            <w:r>
              <w:rPr>
                <w:rFonts w:hint="eastAsia" w:ascii="仿宋" w:hAnsi="仿宋" w:eastAsia="仿宋" w:cs="仿宋"/>
                <w:color w:val="000000" w:themeColor="text1"/>
                <w:sz w:val="18"/>
                <w:szCs w:val="18"/>
                <w:lang w:bidi="ar"/>
                <w14:textFill>
                  <w14:solidFill>
                    <w14:schemeClr w14:val="tx1"/>
                  </w14:solidFill>
                </w14:textFill>
              </w:rPr>
              <w:t>分。</w:t>
            </w:r>
          </w:p>
        </w:tc>
        <w:tc>
          <w:tcPr>
            <w:tcW w:w="7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3.00</w:t>
            </w:r>
          </w:p>
        </w:tc>
      </w:tr>
      <w:tr>
        <w:tblPrEx>
          <w:tblCellMar>
            <w:top w:w="0" w:type="dxa"/>
            <w:left w:w="108" w:type="dxa"/>
            <w:bottom w:w="0" w:type="dxa"/>
            <w:right w:w="108" w:type="dxa"/>
          </w:tblCellMar>
        </w:tblPrEx>
        <w:trPr>
          <w:trHeight w:val="1078" w:hRule="atLeast"/>
        </w:trPr>
        <w:tc>
          <w:tcPr>
            <w:tcW w:w="9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绩效目标（</w:t>
            </w:r>
            <w:r>
              <w:rPr>
                <w:rFonts w:ascii="Times New Roman" w:hAnsi="Times New Roman" w:eastAsia="仿宋" w:cs="Times New Roman"/>
                <w:color w:val="000000" w:themeColor="text1"/>
                <w:kern w:val="0"/>
                <w:sz w:val="18"/>
                <w:szCs w:val="18"/>
                <w14:textFill>
                  <w14:solidFill>
                    <w14:schemeClr w14:val="tx1"/>
                  </w14:solidFill>
                </w14:textFill>
              </w:rPr>
              <w:t>7</w:t>
            </w:r>
            <w:r>
              <w:rPr>
                <w:rFonts w:hint="eastAsia" w:ascii="仿宋" w:hAnsi="仿宋" w:eastAsia="仿宋" w:cs="仿宋"/>
                <w:color w:val="000000" w:themeColor="text1"/>
                <w:kern w:val="0"/>
                <w:sz w:val="18"/>
                <w:szCs w:val="18"/>
                <w14:textFill>
                  <w14:solidFill>
                    <w14:schemeClr w14:val="tx1"/>
                  </w14:solidFill>
                </w14:textFill>
              </w:rPr>
              <w:t>分）</w:t>
            </w:r>
          </w:p>
        </w:tc>
        <w:tc>
          <w:tcPr>
            <w:tcW w:w="192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绩效目标合理性（</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1</w:t>
            </w:r>
            <w:r>
              <w:rPr>
                <w:rFonts w:hint="eastAsia" w:ascii="仿宋" w:hAnsi="仿宋" w:eastAsia="仿宋" w:cs="仿宋"/>
                <w:color w:val="000000" w:themeColor="text1"/>
                <w:kern w:val="0"/>
                <w:sz w:val="18"/>
                <w:szCs w:val="18"/>
                <w14:textFill>
                  <w14:solidFill>
                    <w14:schemeClr w14:val="tx1"/>
                  </w14:solidFill>
                </w14:textFill>
              </w:rPr>
              <w:t>.项目是否有绩效目标；</w:t>
            </w:r>
            <w:r>
              <w:rPr>
                <w:rFonts w:ascii="Times New Roman" w:hAnsi="Times New Roman" w:eastAsia="仿宋" w:cs="Times New Roman"/>
                <w:color w:val="000000" w:themeColor="text1"/>
                <w:kern w:val="0"/>
                <w:sz w:val="18"/>
                <w:szCs w:val="18"/>
                <w14:textFill>
                  <w14:solidFill>
                    <w14:schemeClr w14:val="tx1"/>
                  </w14:solidFill>
                </w14:textFill>
              </w:rPr>
              <w:t>2</w:t>
            </w:r>
            <w:r>
              <w:rPr>
                <w:rFonts w:hint="eastAsia" w:ascii="仿宋" w:hAnsi="仿宋" w:eastAsia="仿宋" w:cs="仿宋"/>
                <w:color w:val="000000" w:themeColor="text1"/>
                <w:kern w:val="0"/>
                <w:sz w:val="18"/>
                <w:szCs w:val="18"/>
                <w14:textFill>
                  <w14:solidFill>
                    <w14:schemeClr w14:val="tx1"/>
                  </w14:solidFill>
                </w14:textFill>
              </w:rPr>
              <w:t>.项目绩效目标与实际工作内容是否具有相关性；</w:t>
            </w:r>
            <w:r>
              <w:rPr>
                <w:rFonts w:ascii="Times New Roman" w:hAnsi="Times New Roman" w:eastAsia="仿宋" w:cs="Times New Roman"/>
                <w:color w:val="000000" w:themeColor="text1"/>
                <w:kern w:val="0"/>
                <w:sz w:val="18"/>
                <w:szCs w:val="18"/>
                <w14:textFill>
                  <w14:solidFill>
                    <w14:schemeClr w14:val="tx1"/>
                  </w14:solidFill>
                </w14:textFill>
              </w:rPr>
              <w:t>3</w:t>
            </w:r>
            <w:r>
              <w:rPr>
                <w:rFonts w:hint="eastAsia" w:ascii="仿宋" w:hAnsi="仿宋" w:eastAsia="仿宋" w:cs="仿宋"/>
                <w:color w:val="000000" w:themeColor="text1"/>
                <w:kern w:val="0"/>
                <w:sz w:val="18"/>
                <w:szCs w:val="18"/>
                <w14:textFill>
                  <w14:solidFill>
                    <w14:schemeClr w14:val="tx1"/>
                  </w14:solidFill>
                </w14:textFill>
              </w:rPr>
              <w:t>.项目预期产出效益和效果是否符合正常的业绩水平；</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.是否与预算确定的项目投资额或资金量相匹配。</w:t>
            </w:r>
            <w:r>
              <w:rPr>
                <w:rFonts w:hint="eastAsia" w:ascii="仿宋" w:hAnsi="仿宋" w:eastAsia="仿宋" w:cs="仿宋"/>
                <w:color w:val="000000" w:themeColor="text1"/>
                <w:sz w:val="18"/>
                <w:szCs w:val="18"/>
                <w:lang w:bidi="ar"/>
                <w14:textFill>
                  <w14:solidFill>
                    <w14:schemeClr w14:val="tx1"/>
                  </w14:solidFill>
                </w14:textFill>
              </w:rPr>
              <w:t>一项不符合扣</w:t>
            </w:r>
            <w:r>
              <w:rPr>
                <w:rFonts w:ascii="Times New Roman" w:hAnsi="Times New Roman" w:eastAsia="仿宋" w:cs="Times New Roman"/>
                <w:color w:val="000000" w:themeColor="text1"/>
                <w:sz w:val="18"/>
                <w:szCs w:val="18"/>
                <w:lang w:bidi="ar"/>
                <w14:textFill>
                  <w14:solidFill>
                    <w14:schemeClr w14:val="tx1"/>
                  </w14:solidFill>
                </w14:textFill>
              </w:rPr>
              <w:t>1</w:t>
            </w:r>
            <w:r>
              <w:rPr>
                <w:rFonts w:hint="eastAsia" w:ascii="仿宋" w:hAnsi="仿宋" w:eastAsia="仿宋" w:cs="仿宋"/>
                <w:color w:val="000000" w:themeColor="text1"/>
                <w:sz w:val="18"/>
                <w:szCs w:val="18"/>
                <w:lang w:bidi="ar"/>
                <w14:textFill>
                  <w14:solidFill>
                    <w14:schemeClr w14:val="tx1"/>
                  </w14:solidFill>
                </w14:textFill>
              </w:rPr>
              <w:t>分。</w:t>
            </w:r>
          </w:p>
        </w:tc>
        <w:tc>
          <w:tcPr>
            <w:tcW w:w="7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4.00</w:t>
            </w:r>
          </w:p>
        </w:tc>
      </w:tr>
      <w:tr>
        <w:tblPrEx>
          <w:tblCellMar>
            <w:top w:w="0" w:type="dxa"/>
            <w:left w:w="108" w:type="dxa"/>
            <w:bottom w:w="0" w:type="dxa"/>
            <w:right w:w="108" w:type="dxa"/>
          </w:tblCellMar>
        </w:tblPrEx>
        <w:trPr>
          <w:trHeight w:val="737" w:hRule="atLeast"/>
        </w:trPr>
        <w:tc>
          <w:tcPr>
            <w:tcW w:w="9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p>
        </w:tc>
        <w:tc>
          <w:tcPr>
            <w:tcW w:w="192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绩效指标明确性（</w:t>
            </w:r>
            <w:r>
              <w:rPr>
                <w:rFonts w:ascii="Times New Roman" w:hAnsi="Times New Roman" w:eastAsia="仿宋" w:cs="Times New Roman"/>
                <w:color w:val="000000" w:themeColor="text1"/>
                <w:kern w:val="0"/>
                <w:sz w:val="18"/>
                <w:szCs w:val="18"/>
                <w14:textFill>
                  <w14:solidFill>
                    <w14:schemeClr w14:val="tx1"/>
                  </w14:solidFill>
                </w14:textFill>
              </w:rPr>
              <w:t>3</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1</w:t>
            </w:r>
            <w:r>
              <w:rPr>
                <w:rFonts w:hint="eastAsia" w:ascii="仿宋" w:hAnsi="仿宋" w:eastAsia="仿宋" w:cs="仿宋"/>
                <w:color w:val="000000" w:themeColor="text1"/>
                <w:kern w:val="0"/>
                <w:sz w:val="18"/>
                <w:szCs w:val="18"/>
                <w14:textFill>
                  <w14:solidFill>
                    <w14:schemeClr w14:val="tx1"/>
                  </w14:solidFill>
                </w14:textFill>
              </w:rPr>
              <w:t>.将项目绩效目标细化分解为具体的绩效指标；</w:t>
            </w:r>
            <w:r>
              <w:rPr>
                <w:rFonts w:ascii="Times New Roman" w:hAnsi="Times New Roman" w:eastAsia="仿宋" w:cs="Times New Roman"/>
                <w:color w:val="000000" w:themeColor="text1"/>
                <w:kern w:val="0"/>
                <w:sz w:val="18"/>
                <w:szCs w:val="18"/>
                <w14:textFill>
                  <w14:solidFill>
                    <w14:schemeClr w14:val="tx1"/>
                  </w14:solidFill>
                </w14:textFill>
              </w:rPr>
              <w:t>2</w:t>
            </w:r>
            <w:r>
              <w:rPr>
                <w:rFonts w:hint="eastAsia" w:ascii="仿宋" w:hAnsi="仿宋" w:eastAsia="仿宋" w:cs="仿宋"/>
                <w:color w:val="000000" w:themeColor="text1"/>
                <w:kern w:val="0"/>
                <w:sz w:val="18"/>
                <w:szCs w:val="18"/>
                <w14:textFill>
                  <w14:solidFill>
                    <w14:schemeClr w14:val="tx1"/>
                  </w14:solidFill>
                </w14:textFill>
              </w:rPr>
              <w:t>.通过清晰、可衡量的指标值予以体现，与项目目标任务数或计划数相对应。</w:t>
            </w:r>
            <w:r>
              <w:rPr>
                <w:rFonts w:hint="eastAsia" w:ascii="仿宋" w:hAnsi="仿宋" w:eastAsia="仿宋" w:cs="仿宋"/>
                <w:color w:val="000000" w:themeColor="text1"/>
                <w:sz w:val="18"/>
                <w:szCs w:val="18"/>
                <w:lang w:bidi="ar"/>
                <w14:textFill>
                  <w14:solidFill>
                    <w14:schemeClr w14:val="tx1"/>
                  </w14:solidFill>
                </w14:textFill>
              </w:rPr>
              <w:t>一项不符合扣</w:t>
            </w:r>
            <w:r>
              <w:rPr>
                <w:rFonts w:ascii="Times New Roman" w:hAnsi="Times New Roman" w:eastAsia="仿宋" w:cs="Times New Roman"/>
                <w:color w:val="000000" w:themeColor="text1"/>
                <w:sz w:val="18"/>
                <w:szCs w:val="18"/>
                <w:lang w:bidi="ar"/>
                <w14:textFill>
                  <w14:solidFill>
                    <w14:schemeClr w14:val="tx1"/>
                  </w14:solidFill>
                </w14:textFill>
              </w:rPr>
              <w:t>1.5</w:t>
            </w:r>
            <w:r>
              <w:rPr>
                <w:rFonts w:hint="eastAsia" w:ascii="仿宋" w:hAnsi="仿宋" w:eastAsia="仿宋" w:cs="仿宋"/>
                <w:color w:val="000000" w:themeColor="text1"/>
                <w:sz w:val="18"/>
                <w:szCs w:val="18"/>
                <w:lang w:bidi="ar"/>
                <w14:textFill>
                  <w14:solidFill>
                    <w14:schemeClr w14:val="tx1"/>
                  </w14:solidFill>
                </w14:textFill>
              </w:rPr>
              <w:t>分。</w:t>
            </w:r>
          </w:p>
        </w:tc>
        <w:tc>
          <w:tcPr>
            <w:tcW w:w="7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1.50</w:t>
            </w:r>
          </w:p>
        </w:tc>
      </w:tr>
      <w:tr>
        <w:tblPrEx>
          <w:tblCellMar>
            <w:top w:w="0" w:type="dxa"/>
            <w:left w:w="108" w:type="dxa"/>
            <w:bottom w:w="0" w:type="dxa"/>
            <w:right w:w="108" w:type="dxa"/>
          </w:tblCellMar>
        </w:tblPrEx>
        <w:trPr>
          <w:trHeight w:val="737" w:hRule="atLeast"/>
        </w:trPr>
        <w:tc>
          <w:tcPr>
            <w:tcW w:w="9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restart"/>
            <w:tcBorders>
              <w:top w:val="single" w:color="auto" w:sz="4" w:space="0"/>
              <w:left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资金投入（</w:t>
            </w:r>
            <w:r>
              <w:rPr>
                <w:rFonts w:ascii="Times New Roman" w:hAnsi="Times New Roman" w:eastAsia="仿宋" w:cs="Times New Roman"/>
                <w:color w:val="000000" w:themeColor="text1"/>
                <w:kern w:val="0"/>
                <w:sz w:val="18"/>
                <w:szCs w:val="18"/>
                <w14:textFill>
                  <w14:solidFill>
                    <w14:schemeClr w14:val="tx1"/>
                  </w14:solidFill>
                </w14:textFill>
              </w:rPr>
              <w:t>6</w:t>
            </w:r>
            <w:r>
              <w:rPr>
                <w:rFonts w:hint="eastAsia" w:ascii="仿宋" w:hAnsi="仿宋" w:eastAsia="仿宋" w:cs="仿宋"/>
                <w:color w:val="000000" w:themeColor="text1"/>
                <w:kern w:val="0"/>
                <w:sz w:val="18"/>
                <w:szCs w:val="18"/>
                <w14:textFill>
                  <w14:solidFill>
                    <w14:schemeClr w14:val="tx1"/>
                  </w14:solidFill>
                </w14:textFill>
              </w:rPr>
              <w:t>分）</w:t>
            </w:r>
          </w:p>
        </w:tc>
        <w:tc>
          <w:tcPr>
            <w:tcW w:w="192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预算编制科学性（</w:t>
            </w:r>
            <w:r>
              <w:rPr>
                <w:rFonts w:ascii="Times New Roman" w:hAnsi="Times New Roman" w:eastAsia="仿宋" w:cs="Times New Roman"/>
                <w:color w:val="000000" w:themeColor="text1"/>
                <w:kern w:val="0"/>
                <w:sz w:val="18"/>
                <w:szCs w:val="18"/>
                <w14:textFill>
                  <w14:solidFill>
                    <w14:schemeClr w14:val="tx1"/>
                  </w14:solidFill>
                </w14:textFill>
              </w:rPr>
              <w:t>3</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1</w:t>
            </w:r>
            <w:r>
              <w:rPr>
                <w:rFonts w:hint="eastAsia" w:ascii="仿宋" w:hAnsi="仿宋" w:eastAsia="仿宋" w:cs="仿宋"/>
                <w:color w:val="000000" w:themeColor="text1"/>
                <w:kern w:val="0"/>
                <w:sz w:val="18"/>
                <w:szCs w:val="18"/>
                <w14:textFill>
                  <w14:solidFill>
                    <w14:schemeClr w14:val="tx1"/>
                  </w14:solidFill>
                </w14:textFill>
              </w:rPr>
              <w:t>.预算内容与项目内容是否匹配；</w:t>
            </w:r>
            <w:r>
              <w:rPr>
                <w:rFonts w:ascii="Times New Roman" w:hAnsi="Times New Roman" w:eastAsia="仿宋" w:cs="Times New Roman"/>
                <w:color w:val="000000" w:themeColor="text1"/>
                <w:kern w:val="0"/>
                <w:sz w:val="18"/>
                <w:szCs w:val="18"/>
                <w14:textFill>
                  <w14:solidFill>
                    <w14:schemeClr w14:val="tx1"/>
                  </w14:solidFill>
                </w14:textFill>
              </w:rPr>
              <w:t>2</w:t>
            </w:r>
            <w:r>
              <w:rPr>
                <w:rFonts w:hint="eastAsia" w:ascii="仿宋" w:hAnsi="仿宋" w:eastAsia="仿宋" w:cs="仿宋"/>
                <w:color w:val="000000" w:themeColor="text1"/>
                <w:kern w:val="0"/>
                <w:sz w:val="18"/>
                <w:szCs w:val="18"/>
                <w14:textFill>
                  <w14:solidFill>
                    <w14:schemeClr w14:val="tx1"/>
                  </w14:solidFill>
                </w14:textFill>
              </w:rPr>
              <w:t>.预算确定的项目投资额或资金量是否与工作任务相匹配。一项不符合扣</w:t>
            </w:r>
            <w:r>
              <w:rPr>
                <w:rFonts w:ascii="Times New Roman" w:hAnsi="Times New Roman" w:eastAsia="仿宋" w:cs="Times New Roman"/>
                <w:color w:val="000000" w:themeColor="text1"/>
                <w:kern w:val="0"/>
                <w:sz w:val="18"/>
                <w:szCs w:val="18"/>
                <w14:textFill>
                  <w14:solidFill>
                    <w14:schemeClr w14:val="tx1"/>
                  </w14:solidFill>
                </w14:textFill>
              </w:rPr>
              <w:t>1.5</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Times New Roman" w:hAnsi="Times New Roman" w:eastAsia="仿宋" w:cs="Times New Roman"/>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3.00</w:t>
            </w:r>
          </w:p>
        </w:tc>
      </w:tr>
      <w:tr>
        <w:tblPrEx>
          <w:tblCellMar>
            <w:top w:w="0" w:type="dxa"/>
            <w:left w:w="108" w:type="dxa"/>
            <w:bottom w:w="0" w:type="dxa"/>
            <w:right w:w="108" w:type="dxa"/>
          </w:tblCellMar>
        </w:tblPrEx>
        <w:trPr>
          <w:trHeight w:val="1171" w:hRule="atLeast"/>
        </w:trPr>
        <w:tc>
          <w:tcPr>
            <w:tcW w:w="9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continue"/>
            <w:tcBorders>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p>
        </w:tc>
        <w:tc>
          <w:tcPr>
            <w:tcW w:w="192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资金分配合理性（</w:t>
            </w:r>
            <w:r>
              <w:rPr>
                <w:rFonts w:ascii="Times New Roman" w:hAnsi="Times New Roman" w:eastAsia="仿宋" w:cs="Times New Roman"/>
                <w:color w:val="000000" w:themeColor="text1"/>
                <w:kern w:val="0"/>
                <w:sz w:val="18"/>
                <w:szCs w:val="18"/>
                <w14:textFill>
                  <w14:solidFill>
                    <w14:schemeClr w14:val="tx1"/>
                  </w14:solidFill>
                </w14:textFill>
              </w:rPr>
              <w:t>3</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1</w:t>
            </w:r>
            <w:r>
              <w:rPr>
                <w:rFonts w:hint="eastAsia" w:ascii="仿宋" w:hAnsi="仿宋" w:eastAsia="仿宋" w:cs="仿宋"/>
                <w:color w:val="000000" w:themeColor="text1"/>
                <w:kern w:val="0"/>
                <w:sz w:val="18"/>
                <w:szCs w:val="18"/>
                <w14:textFill>
                  <w14:solidFill>
                    <w14:schemeClr w14:val="tx1"/>
                  </w14:solidFill>
                </w14:textFill>
              </w:rPr>
              <w:t>.预算资金分配依据是否充分；</w:t>
            </w:r>
            <w:r>
              <w:rPr>
                <w:rFonts w:ascii="Times New Roman" w:hAnsi="Times New Roman" w:eastAsia="仿宋" w:cs="Times New Roman"/>
                <w:color w:val="000000" w:themeColor="text1"/>
                <w:kern w:val="0"/>
                <w:sz w:val="18"/>
                <w:szCs w:val="18"/>
                <w14:textFill>
                  <w14:solidFill>
                    <w14:schemeClr w14:val="tx1"/>
                  </w14:solidFill>
                </w14:textFill>
              </w:rPr>
              <w:t>2</w:t>
            </w:r>
            <w:r>
              <w:rPr>
                <w:rFonts w:hint="eastAsia" w:ascii="仿宋" w:hAnsi="仿宋" w:eastAsia="仿宋" w:cs="仿宋"/>
                <w:color w:val="000000" w:themeColor="text1"/>
                <w:kern w:val="0"/>
                <w:sz w:val="18"/>
                <w:szCs w:val="18"/>
                <w14:textFill>
                  <w14:solidFill>
                    <w14:schemeClr w14:val="tx1"/>
                  </w14:solidFill>
                </w14:textFill>
              </w:rPr>
              <w:t>.资金分配额度是否合理，与项目单位或地方实际是否相适应。一项不符合扣</w:t>
            </w:r>
            <w:r>
              <w:rPr>
                <w:rFonts w:ascii="Times New Roman" w:hAnsi="Times New Roman" w:eastAsia="仿宋" w:cs="Times New Roman"/>
                <w:color w:val="000000" w:themeColor="text1"/>
                <w:kern w:val="0"/>
                <w:sz w:val="18"/>
                <w:szCs w:val="18"/>
                <w14:textFill>
                  <w14:solidFill>
                    <w14:schemeClr w14:val="tx1"/>
                  </w14:solidFill>
                </w14:textFill>
              </w:rPr>
              <w:t>1.5</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3.00</w:t>
            </w:r>
          </w:p>
        </w:tc>
      </w:tr>
      <w:tr>
        <w:tblPrEx>
          <w:tblCellMar>
            <w:top w:w="0" w:type="dxa"/>
            <w:left w:w="108" w:type="dxa"/>
            <w:bottom w:w="0" w:type="dxa"/>
            <w:right w:w="108" w:type="dxa"/>
          </w:tblCellMar>
        </w:tblPrEx>
        <w:trPr>
          <w:trHeight w:val="737" w:hRule="atLeast"/>
        </w:trPr>
        <w:tc>
          <w:tcPr>
            <w:tcW w:w="98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r>
              <w:rPr>
                <w:rFonts w:hint="eastAsia" w:ascii="仿宋" w:hAnsi="仿宋" w:eastAsia="仿宋" w:cs="仿宋"/>
                <w:b/>
                <w:bCs/>
                <w:color w:val="000000" w:themeColor="text1"/>
                <w:kern w:val="0"/>
                <w:sz w:val="18"/>
                <w:szCs w:val="18"/>
                <w14:textFill>
                  <w14:solidFill>
                    <w14:schemeClr w14:val="tx1"/>
                  </w14:solidFill>
                </w14:textFill>
              </w:rPr>
              <w:t>过程指标（</w:t>
            </w:r>
            <w:r>
              <w:rPr>
                <w:rFonts w:ascii="Times New Roman" w:hAnsi="Times New Roman" w:eastAsia="仿宋" w:cs="Times New Roman"/>
                <w:b/>
                <w:bCs/>
                <w:color w:val="000000" w:themeColor="text1"/>
                <w:kern w:val="0"/>
                <w:sz w:val="18"/>
                <w:szCs w:val="18"/>
                <w14:textFill>
                  <w14:solidFill>
                    <w14:schemeClr w14:val="tx1"/>
                  </w14:solidFill>
                </w14:textFill>
              </w:rPr>
              <w:t>15</w:t>
            </w:r>
            <w:r>
              <w:rPr>
                <w:rFonts w:hint="eastAsia" w:ascii="仿宋" w:hAnsi="仿宋" w:eastAsia="仿宋" w:cs="仿宋"/>
                <w:b/>
                <w:bCs/>
                <w:color w:val="000000" w:themeColor="text1"/>
                <w:kern w:val="0"/>
                <w:sz w:val="18"/>
                <w:szCs w:val="18"/>
                <w14:textFill>
                  <w14:solidFill>
                    <w14:schemeClr w14:val="tx1"/>
                  </w14:solidFill>
                </w14:textFill>
              </w:rPr>
              <w:t>分）</w:t>
            </w:r>
          </w:p>
        </w:tc>
        <w:tc>
          <w:tcPr>
            <w:tcW w:w="14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资金管理（</w:t>
            </w:r>
            <w:r>
              <w:rPr>
                <w:rFonts w:ascii="Times New Roman" w:hAnsi="Times New Roman" w:eastAsia="仿宋" w:cs="Times New Roman"/>
                <w:color w:val="000000" w:themeColor="text1"/>
                <w:kern w:val="0"/>
                <w:sz w:val="18"/>
                <w:szCs w:val="18"/>
                <w14:textFill>
                  <w14:solidFill>
                    <w14:schemeClr w14:val="tx1"/>
                  </w14:solidFill>
                </w14:textFill>
              </w:rPr>
              <w:t>8</w:t>
            </w:r>
            <w:r>
              <w:rPr>
                <w:rFonts w:hint="eastAsia" w:ascii="仿宋" w:hAnsi="仿宋" w:eastAsia="仿宋" w:cs="仿宋"/>
                <w:color w:val="000000" w:themeColor="text1"/>
                <w:kern w:val="0"/>
                <w:sz w:val="18"/>
                <w:szCs w:val="18"/>
                <w14:textFill>
                  <w14:solidFill>
                    <w14:schemeClr w14:val="tx1"/>
                  </w14:solidFill>
                </w14:textFill>
              </w:rPr>
              <w:t>分）</w:t>
            </w:r>
          </w:p>
        </w:tc>
        <w:tc>
          <w:tcPr>
            <w:tcW w:w="1922"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预算执行率（</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预算执行率=（实际支出/预算支出）*</w:t>
            </w:r>
            <w:r>
              <w:rPr>
                <w:rFonts w:ascii="Times New Roman" w:hAnsi="Times New Roman" w:eastAsia="仿宋" w:cs="Times New Roman"/>
                <w:color w:val="000000" w:themeColor="text1"/>
                <w:kern w:val="0"/>
                <w:sz w:val="18"/>
                <w:szCs w:val="18"/>
                <w14:textFill>
                  <w14:solidFill>
                    <w14:schemeClr w14:val="tx1"/>
                  </w14:solidFill>
                </w14:textFill>
              </w:rPr>
              <w:t>100</w:t>
            </w:r>
            <w:r>
              <w:rPr>
                <w:rFonts w:hint="eastAsia" w:ascii="仿宋" w:hAnsi="仿宋" w:eastAsia="仿宋" w:cs="仿宋"/>
                <w:color w:val="000000" w:themeColor="text1"/>
                <w:kern w:val="0"/>
                <w:sz w:val="18"/>
                <w:szCs w:val="18"/>
                <w14:textFill>
                  <w14:solidFill>
                    <w14:schemeClr w14:val="tx1"/>
                  </w14:solidFill>
                </w14:textFill>
              </w:rPr>
              <w:t>%，其中,实际支出是指部门本年度实际发生的支出金额,预算支出是指本年度预算中规定的支出金额。若完成年初预算支出计</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分，未完成年初预算按比例扣减。</w:t>
            </w:r>
          </w:p>
        </w:tc>
        <w:tc>
          <w:tcPr>
            <w:tcW w:w="730"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3.13</w:t>
            </w:r>
          </w:p>
        </w:tc>
      </w:tr>
      <w:tr>
        <w:tblPrEx>
          <w:tblCellMar>
            <w:top w:w="0" w:type="dxa"/>
            <w:left w:w="108" w:type="dxa"/>
            <w:bottom w:w="0" w:type="dxa"/>
            <w:right w:w="108" w:type="dxa"/>
          </w:tblCellMar>
        </w:tblPrEx>
        <w:trPr>
          <w:trHeight w:val="1806" w:hRule="atLeast"/>
        </w:trPr>
        <w:tc>
          <w:tcPr>
            <w:tcW w:w="985" w:type="dxa"/>
            <w:vMerge w:val="continue"/>
            <w:tcBorders>
              <w:top w:val="nil"/>
              <w:left w:val="single" w:color="auto" w:sz="4" w:space="0"/>
              <w:bottom w:val="single" w:color="auto"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p>
        </w:tc>
        <w:tc>
          <w:tcPr>
            <w:tcW w:w="1922"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资金使用合规性（</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1</w:t>
            </w:r>
            <w:r>
              <w:rPr>
                <w:rFonts w:hint="eastAsia" w:ascii="仿宋" w:hAnsi="仿宋" w:eastAsia="仿宋" w:cs="仿宋"/>
                <w:color w:val="000000" w:themeColor="text1"/>
                <w:kern w:val="0"/>
                <w:sz w:val="18"/>
                <w:szCs w:val="18"/>
                <w14:textFill>
                  <w14:solidFill>
                    <w14:schemeClr w14:val="tx1"/>
                  </w14:solidFill>
                </w14:textFill>
              </w:rPr>
              <w:t>.是否符合国家财经法规和财务管理制度以及有关专项资金管理办法的规定；</w:t>
            </w:r>
            <w:r>
              <w:rPr>
                <w:rFonts w:ascii="Times New Roman" w:hAnsi="Times New Roman" w:eastAsia="仿宋" w:cs="Times New Roman"/>
                <w:color w:val="000000" w:themeColor="text1"/>
                <w:kern w:val="0"/>
                <w:sz w:val="18"/>
                <w:szCs w:val="18"/>
                <w14:textFill>
                  <w14:solidFill>
                    <w14:schemeClr w14:val="tx1"/>
                  </w14:solidFill>
                </w14:textFill>
              </w:rPr>
              <w:t>2</w:t>
            </w:r>
            <w:r>
              <w:rPr>
                <w:rFonts w:hint="eastAsia" w:ascii="仿宋" w:hAnsi="仿宋" w:eastAsia="仿宋" w:cs="仿宋"/>
                <w:color w:val="000000" w:themeColor="text1"/>
                <w:kern w:val="0"/>
                <w:sz w:val="18"/>
                <w:szCs w:val="18"/>
                <w14:textFill>
                  <w14:solidFill>
                    <w14:schemeClr w14:val="tx1"/>
                  </w14:solidFill>
                </w14:textFill>
              </w:rPr>
              <w:t>.资金的拨付是否有完整的审批程序和手续；</w:t>
            </w:r>
            <w:r>
              <w:rPr>
                <w:rFonts w:ascii="Times New Roman" w:hAnsi="Times New Roman" w:eastAsia="仿宋" w:cs="Times New Roman"/>
                <w:color w:val="000000" w:themeColor="text1"/>
                <w:kern w:val="0"/>
                <w:sz w:val="18"/>
                <w:szCs w:val="18"/>
                <w14:textFill>
                  <w14:solidFill>
                    <w14:schemeClr w14:val="tx1"/>
                  </w14:solidFill>
                </w14:textFill>
              </w:rPr>
              <w:t>3</w:t>
            </w:r>
            <w:r>
              <w:rPr>
                <w:rFonts w:hint="eastAsia" w:ascii="仿宋" w:hAnsi="仿宋" w:eastAsia="仿宋" w:cs="仿宋"/>
                <w:color w:val="000000" w:themeColor="text1"/>
                <w:kern w:val="0"/>
                <w:sz w:val="18"/>
                <w:szCs w:val="18"/>
                <w14:textFill>
                  <w14:solidFill>
                    <w14:schemeClr w14:val="tx1"/>
                  </w14:solidFill>
                </w14:textFill>
              </w:rPr>
              <w:t>.符合项目预算批复或合同规定的用途；</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.是否存在截留、挤占、挪用、虚列支出、资金沉淀等情况。一项不符合扣</w:t>
            </w:r>
            <w:r>
              <w:rPr>
                <w:rFonts w:ascii="Times New Roman" w:hAnsi="Times New Roman" w:eastAsia="仿宋" w:cs="Times New Roman"/>
                <w:color w:val="000000" w:themeColor="text1"/>
                <w:kern w:val="0"/>
                <w:sz w:val="18"/>
                <w:szCs w:val="18"/>
                <w14:textFill>
                  <w14:solidFill>
                    <w14:schemeClr w14:val="tx1"/>
                  </w14:solidFill>
                </w14:textFill>
              </w:rPr>
              <w:t>1</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Times New Roman" w:hAnsi="Times New Roman" w:eastAsia="仿宋" w:cs="Times New Roman"/>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4.00</w:t>
            </w:r>
          </w:p>
        </w:tc>
      </w:tr>
      <w:tr>
        <w:tblPrEx>
          <w:tblCellMar>
            <w:top w:w="0" w:type="dxa"/>
            <w:left w:w="108" w:type="dxa"/>
            <w:bottom w:w="0" w:type="dxa"/>
            <w:right w:w="108" w:type="dxa"/>
          </w:tblCellMar>
        </w:tblPrEx>
        <w:trPr>
          <w:trHeight w:val="1022" w:hRule="atLeast"/>
        </w:trPr>
        <w:tc>
          <w:tcPr>
            <w:tcW w:w="985" w:type="dxa"/>
            <w:vMerge w:val="continue"/>
            <w:tcBorders>
              <w:top w:val="nil"/>
              <w:left w:val="single" w:color="auto" w:sz="4" w:space="0"/>
              <w:bottom w:val="single" w:color="auto"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组织实施（</w:t>
            </w:r>
            <w:r>
              <w:rPr>
                <w:rFonts w:ascii="Times New Roman" w:hAnsi="Times New Roman" w:eastAsia="仿宋" w:cs="Times New Roman"/>
                <w:color w:val="000000" w:themeColor="text1"/>
                <w:kern w:val="0"/>
                <w:sz w:val="18"/>
                <w:szCs w:val="18"/>
                <w14:textFill>
                  <w14:solidFill>
                    <w14:schemeClr w14:val="tx1"/>
                  </w14:solidFill>
                </w14:textFill>
              </w:rPr>
              <w:t>7</w:t>
            </w:r>
            <w:r>
              <w:rPr>
                <w:rFonts w:hint="eastAsia" w:ascii="仿宋" w:hAnsi="仿宋" w:eastAsia="仿宋" w:cs="仿宋"/>
                <w:color w:val="000000" w:themeColor="text1"/>
                <w:kern w:val="0"/>
                <w:sz w:val="18"/>
                <w:szCs w:val="18"/>
                <w14:textFill>
                  <w14:solidFill>
                    <w14:schemeClr w14:val="tx1"/>
                  </w14:solidFill>
                </w14:textFill>
              </w:rPr>
              <w:t>分）</w:t>
            </w:r>
          </w:p>
        </w:tc>
        <w:tc>
          <w:tcPr>
            <w:tcW w:w="1922"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管理制度健全性（</w:t>
            </w:r>
            <w:r>
              <w:rPr>
                <w:rFonts w:ascii="Times New Roman" w:hAnsi="Times New Roman" w:eastAsia="仿宋" w:cs="Times New Roman"/>
                <w:color w:val="000000" w:themeColor="text1"/>
                <w:kern w:val="0"/>
                <w:sz w:val="18"/>
                <w:szCs w:val="18"/>
                <w14:textFill>
                  <w14:solidFill>
                    <w14:schemeClr w14:val="tx1"/>
                  </w14:solidFill>
                </w14:textFill>
              </w:rPr>
              <w:t>3</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1</w:t>
            </w:r>
            <w:r>
              <w:rPr>
                <w:rFonts w:hint="eastAsia" w:ascii="仿宋" w:hAnsi="仿宋" w:eastAsia="仿宋" w:cs="仿宋"/>
                <w:color w:val="000000" w:themeColor="text1"/>
                <w:kern w:val="0"/>
                <w:sz w:val="18"/>
                <w:szCs w:val="18"/>
                <w14:textFill>
                  <w14:solidFill>
                    <w14:schemeClr w14:val="tx1"/>
                  </w14:solidFill>
                </w14:textFill>
              </w:rPr>
              <w:t>.是否已制定或具有相应的管理办法、财务和业务管理制度；</w:t>
            </w:r>
            <w:r>
              <w:rPr>
                <w:rFonts w:ascii="Times New Roman" w:hAnsi="Times New Roman" w:eastAsia="仿宋" w:cs="Times New Roman"/>
                <w:color w:val="000000" w:themeColor="text1"/>
                <w:kern w:val="0"/>
                <w:sz w:val="18"/>
                <w:szCs w:val="18"/>
                <w14:textFill>
                  <w14:solidFill>
                    <w14:schemeClr w14:val="tx1"/>
                  </w14:solidFill>
                </w14:textFill>
              </w:rPr>
              <w:t>2</w:t>
            </w:r>
            <w:r>
              <w:rPr>
                <w:rFonts w:hint="eastAsia" w:ascii="仿宋" w:hAnsi="仿宋" w:eastAsia="仿宋" w:cs="仿宋"/>
                <w:color w:val="000000" w:themeColor="text1"/>
                <w:kern w:val="0"/>
                <w:sz w:val="18"/>
                <w:szCs w:val="18"/>
                <w14:textFill>
                  <w14:solidFill>
                    <w14:schemeClr w14:val="tx1"/>
                  </w14:solidFill>
                </w14:textFill>
              </w:rPr>
              <w:t>.管理办法、财务和业务管理制度是否合法、合规、完善。一项不符合扣</w:t>
            </w:r>
            <w:r>
              <w:rPr>
                <w:rFonts w:ascii="Times New Roman" w:hAnsi="Times New Roman" w:eastAsia="仿宋" w:cs="Times New Roman"/>
                <w:color w:val="000000" w:themeColor="text1"/>
                <w:kern w:val="0"/>
                <w:sz w:val="18"/>
                <w:szCs w:val="18"/>
                <w14:textFill>
                  <w14:solidFill>
                    <w14:schemeClr w14:val="tx1"/>
                  </w14:solidFill>
                </w14:textFill>
              </w:rPr>
              <w:t>1.5</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3.00</w:t>
            </w:r>
          </w:p>
        </w:tc>
      </w:tr>
      <w:tr>
        <w:tblPrEx>
          <w:tblCellMar>
            <w:top w:w="0" w:type="dxa"/>
            <w:left w:w="108" w:type="dxa"/>
            <w:bottom w:w="0" w:type="dxa"/>
            <w:right w:w="108" w:type="dxa"/>
          </w:tblCellMar>
        </w:tblPrEx>
        <w:trPr>
          <w:trHeight w:val="370" w:hRule="atLeast"/>
        </w:trPr>
        <w:tc>
          <w:tcPr>
            <w:tcW w:w="985" w:type="dxa"/>
            <w:vMerge w:val="continue"/>
            <w:tcBorders>
              <w:top w:val="nil"/>
              <w:left w:val="single" w:color="auto" w:sz="4" w:space="0"/>
              <w:bottom w:val="single" w:color="auto"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continue"/>
            <w:tcBorders>
              <w:top w:val="nil"/>
              <w:left w:val="single" w:color="auto" w:sz="4" w:space="0"/>
              <w:bottom w:val="single" w:color="auto" w:sz="4" w:space="0"/>
              <w:right w:val="single" w:color="auto" w:sz="4" w:space="0"/>
            </w:tcBorders>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p>
        </w:tc>
        <w:tc>
          <w:tcPr>
            <w:tcW w:w="1922"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制度执行有效性（</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nil"/>
              <w:left w:val="nil"/>
              <w:bottom w:val="single" w:color="auto" w:sz="4" w:space="0"/>
              <w:right w:val="single" w:color="auto" w:sz="4" w:space="0"/>
            </w:tcBorders>
            <w:shd w:val="clear" w:color="auto" w:fill="auto"/>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1</w:t>
            </w:r>
            <w:r>
              <w:rPr>
                <w:rFonts w:hint="eastAsia" w:ascii="仿宋" w:hAnsi="仿宋" w:eastAsia="仿宋" w:cs="仿宋"/>
                <w:color w:val="000000" w:themeColor="text1"/>
                <w:kern w:val="0"/>
                <w:sz w:val="18"/>
                <w:szCs w:val="18"/>
                <w14:textFill>
                  <w14:solidFill>
                    <w14:schemeClr w14:val="tx1"/>
                  </w14:solidFill>
                </w14:textFill>
              </w:rPr>
              <w:t>.是否遵循相关法律法规和业务管理规定；</w:t>
            </w:r>
            <w:r>
              <w:rPr>
                <w:rFonts w:ascii="Times New Roman" w:hAnsi="Times New Roman" w:eastAsia="仿宋" w:cs="Times New Roman"/>
                <w:color w:val="000000" w:themeColor="text1"/>
                <w:kern w:val="0"/>
                <w:sz w:val="18"/>
                <w:szCs w:val="18"/>
                <w14:textFill>
                  <w14:solidFill>
                    <w14:schemeClr w14:val="tx1"/>
                  </w14:solidFill>
                </w14:textFill>
              </w:rPr>
              <w:t>2</w:t>
            </w:r>
            <w:r>
              <w:rPr>
                <w:rFonts w:hint="eastAsia" w:ascii="仿宋" w:hAnsi="仿宋" w:eastAsia="仿宋" w:cs="仿宋"/>
                <w:color w:val="000000" w:themeColor="text1"/>
                <w:kern w:val="0"/>
                <w:sz w:val="18"/>
                <w:szCs w:val="18"/>
                <w14:textFill>
                  <w14:solidFill>
                    <w14:schemeClr w14:val="tx1"/>
                  </w14:solidFill>
                </w14:textFill>
              </w:rPr>
              <w:t>.项目调整及支出调整手续是否完备；</w:t>
            </w:r>
            <w:r>
              <w:rPr>
                <w:rFonts w:ascii="Times New Roman" w:hAnsi="Times New Roman" w:eastAsia="仿宋" w:cs="Times New Roman"/>
                <w:color w:val="000000" w:themeColor="text1"/>
                <w:kern w:val="0"/>
                <w:sz w:val="18"/>
                <w:szCs w:val="18"/>
                <w14:textFill>
                  <w14:solidFill>
                    <w14:schemeClr w14:val="tx1"/>
                  </w14:solidFill>
                </w14:textFill>
              </w:rPr>
              <w:t>3</w:t>
            </w:r>
            <w:r>
              <w:rPr>
                <w:rFonts w:hint="eastAsia" w:ascii="仿宋" w:hAnsi="仿宋" w:eastAsia="仿宋" w:cs="仿宋"/>
                <w:color w:val="000000" w:themeColor="text1"/>
                <w:kern w:val="0"/>
                <w:sz w:val="18"/>
                <w:szCs w:val="18"/>
                <w14:textFill>
                  <w14:solidFill>
                    <w14:schemeClr w14:val="tx1"/>
                  </w14:solidFill>
                </w14:textFill>
              </w:rPr>
              <w:t>.项目合同书、验收报告、技术鉴定等资料是否齐全并及时归档；</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.项目实施的人员条件、场地设备、信息支撑等是否落实到位。一项不符合扣</w:t>
            </w:r>
            <w:r>
              <w:rPr>
                <w:rFonts w:ascii="Times New Roman" w:hAnsi="Times New Roman" w:eastAsia="仿宋" w:cs="Times New Roman"/>
                <w:color w:val="000000" w:themeColor="text1"/>
                <w:kern w:val="0"/>
                <w:sz w:val="18"/>
                <w:szCs w:val="18"/>
                <w14:textFill>
                  <w14:solidFill>
                    <w14:schemeClr w14:val="tx1"/>
                  </w14:solidFill>
                </w14:textFill>
              </w:rPr>
              <w:t>1</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4.00</w:t>
            </w:r>
          </w:p>
        </w:tc>
      </w:tr>
      <w:tr>
        <w:tblPrEx>
          <w:tblCellMar>
            <w:top w:w="0" w:type="dxa"/>
            <w:left w:w="108" w:type="dxa"/>
            <w:bottom w:w="0" w:type="dxa"/>
            <w:right w:w="108" w:type="dxa"/>
          </w:tblCellMar>
        </w:tblPrEx>
        <w:trPr>
          <w:trHeight w:val="737" w:hRule="atLeast"/>
        </w:trPr>
        <w:tc>
          <w:tcPr>
            <w:tcW w:w="985"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r>
              <w:rPr>
                <w:rFonts w:hint="eastAsia" w:ascii="仿宋" w:hAnsi="仿宋" w:eastAsia="仿宋" w:cs="仿宋"/>
                <w:b/>
                <w:bCs/>
                <w:color w:val="000000" w:themeColor="text1"/>
                <w:kern w:val="0"/>
                <w:sz w:val="18"/>
                <w:szCs w:val="18"/>
                <w14:textFill>
                  <w14:solidFill>
                    <w14:schemeClr w14:val="tx1"/>
                  </w14:solidFill>
                </w14:textFill>
              </w:rPr>
              <w:t>产出指标（</w:t>
            </w:r>
            <w:r>
              <w:rPr>
                <w:rFonts w:ascii="Times New Roman" w:hAnsi="Times New Roman" w:eastAsia="仿宋" w:cs="Times New Roman"/>
                <w:b/>
                <w:bCs/>
                <w:color w:val="000000" w:themeColor="text1"/>
                <w:kern w:val="0"/>
                <w:sz w:val="18"/>
                <w:szCs w:val="18"/>
                <w14:textFill>
                  <w14:solidFill>
                    <w14:schemeClr w14:val="tx1"/>
                  </w14:solidFill>
                </w14:textFill>
              </w:rPr>
              <w:t>40</w:t>
            </w:r>
            <w:r>
              <w:rPr>
                <w:rFonts w:hint="eastAsia" w:ascii="仿宋" w:hAnsi="仿宋" w:eastAsia="仿宋" w:cs="仿宋"/>
                <w:b/>
                <w:bCs/>
                <w:color w:val="000000" w:themeColor="text1"/>
                <w:kern w:val="0"/>
                <w:sz w:val="18"/>
                <w:szCs w:val="18"/>
                <w14:textFill>
                  <w14:solidFill>
                    <w14:schemeClr w14:val="tx1"/>
                  </w14:solidFill>
                </w14:textFill>
              </w:rPr>
              <w:t>分）</w:t>
            </w:r>
          </w:p>
        </w:tc>
        <w:tc>
          <w:tcPr>
            <w:tcW w:w="1410" w:type="dxa"/>
            <w:vMerge w:val="restart"/>
            <w:tcBorders>
              <w:top w:val="nil"/>
              <w:left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数量指标（</w:t>
            </w:r>
            <w:r>
              <w:rPr>
                <w:rFonts w:ascii="Times New Roman" w:hAnsi="Times New Roman" w:eastAsia="仿宋" w:cs="Times New Roman"/>
                <w:color w:val="000000" w:themeColor="text1"/>
                <w:kern w:val="0"/>
                <w:sz w:val="18"/>
                <w:szCs w:val="18"/>
                <w14:textFill>
                  <w14:solidFill>
                    <w14:schemeClr w14:val="tx1"/>
                  </w14:solidFill>
                </w14:textFill>
              </w:rPr>
              <w:t>24</w:t>
            </w:r>
            <w:r>
              <w:rPr>
                <w:rFonts w:hint="eastAsia" w:ascii="仿宋" w:hAnsi="仿宋" w:eastAsia="仿宋" w:cs="仿宋"/>
                <w:color w:val="000000" w:themeColor="text1"/>
                <w:kern w:val="0"/>
                <w:sz w:val="18"/>
                <w:szCs w:val="18"/>
                <w14:textFill>
                  <w14:solidFill>
                    <w14:schemeClr w14:val="tx1"/>
                  </w14:solidFill>
                </w14:textFill>
              </w:rPr>
              <w:t>分）</w:t>
            </w:r>
          </w:p>
        </w:tc>
        <w:tc>
          <w:tcPr>
            <w:tcW w:w="19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星级酒店复核评定数（</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若实际完成的星级酒店复核评定数大于或等于任务数，得满分，否则得分为（各年累计星级酒店复核评定数/累计任务数）*</w:t>
            </w:r>
            <w:r>
              <w:rPr>
                <w:rFonts w:ascii="Times New Roman" w:hAnsi="Times New Roman" w:eastAsia="仿宋" w:cs="Times New Roman"/>
                <w:color w:val="000000" w:themeColor="text1"/>
                <w:kern w:val="0"/>
                <w:sz w:val="18"/>
                <w:szCs w:val="18"/>
                <w14:textFill>
                  <w14:solidFill>
                    <w14:schemeClr w14:val="tx1"/>
                  </w14:solidFill>
                </w14:textFill>
              </w:rPr>
              <w:t>100</w:t>
            </w:r>
            <w:r>
              <w:rPr>
                <w:rFonts w:hint="eastAsia" w:ascii="仿宋" w:hAnsi="仿宋" w:eastAsia="仿宋" w:cs="仿宋"/>
                <w:color w:val="000000" w:themeColor="text1"/>
                <w:kern w:val="0"/>
                <w:sz w:val="18"/>
                <w:szCs w:val="18"/>
                <w14:textFill>
                  <w14:solidFill>
                    <w14:schemeClr w14:val="tx1"/>
                  </w14:solidFill>
                </w14:textFill>
              </w:rPr>
              <w:t>%*</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2.67</w:t>
            </w:r>
          </w:p>
        </w:tc>
      </w:tr>
      <w:tr>
        <w:tblPrEx>
          <w:tblCellMar>
            <w:top w:w="0" w:type="dxa"/>
            <w:left w:w="108" w:type="dxa"/>
            <w:bottom w:w="0" w:type="dxa"/>
            <w:right w:w="108" w:type="dxa"/>
          </w:tblCellMar>
        </w:tblPrEx>
        <w:trPr>
          <w:trHeight w:val="1134" w:hRule="atLeast"/>
        </w:trPr>
        <w:tc>
          <w:tcPr>
            <w:tcW w:w="985"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continue"/>
            <w:tcBorders>
              <w:left w:val="single" w:color="auto" w:sz="4" w:space="0"/>
              <w:right w:val="single" w:color="auto" w:sz="4" w:space="0"/>
            </w:tcBorders>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p>
        </w:tc>
        <w:tc>
          <w:tcPr>
            <w:tcW w:w="19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新评星级民宿数（</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若实际完成的新评星级民宿数大于或等于任务数，得满分，否则得分为（各年累计新评星级民宿数/累计任务数）*</w:t>
            </w:r>
            <w:r>
              <w:rPr>
                <w:rFonts w:ascii="Times New Roman" w:hAnsi="Times New Roman" w:eastAsia="仿宋" w:cs="Times New Roman"/>
                <w:color w:val="000000" w:themeColor="text1"/>
                <w:kern w:val="0"/>
                <w:sz w:val="18"/>
                <w:szCs w:val="18"/>
                <w14:textFill>
                  <w14:solidFill>
                    <w14:schemeClr w14:val="tx1"/>
                  </w14:solidFill>
                </w14:textFill>
              </w:rPr>
              <w:t>100</w:t>
            </w:r>
            <w:r>
              <w:rPr>
                <w:rFonts w:hint="eastAsia" w:ascii="仿宋" w:hAnsi="仿宋" w:eastAsia="仿宋" w:cs="仿宋"/>
                <w:color w:val="000000" w:themeColor="text1"/>
                <w:kern w:val="0"/>
                <w:sz w:val="18"/>
                <w:szCs w:val="18"/>
                <w14:textFill>
                  <w14:solidFill>
                    <w14:schemeClr w14:val="tx1"/>
                  </w14:solidFill>
                </w14:textFill>
              </w:rPr>
              <w:t>%*</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1.71</w:t>
            </w:r>
          </w:p>
        </w:tc>
      </w:tr>
      <w:tr>
        <w:tblPrEx>
          <w:tblCellMar>
            <w:top w:w="0" w:type="dxa"/>
            <w:left w:w="108" w:type="dxa"/>
            <w:bottom w:w="0" w:type="dxa"/>
            <w:right w:w="108" w:type="dxa"/>
          </w:tblCellMar>
        </w:tblPrEx>
        <w:trPr>
          <w:trHeight w:val="737" w:hRule="atLeast"/>
        </w:trPr>
        <w:tc>
          <w:tcPr>
            <w:tcW w:w="985"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continue"/>
            <w:tcBorders>
              <w:left w:val="single" w:color="auto" w:sz="4" w:space="0"/>
              <w:right w:val="single" w:color="auto" w:sz="4" w:space="0"/>
            </w:tcBorders>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p>
        </w:tc>
        <w:tc>
          <w:tcPr>
            <w:tcW w:w="19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“惠安文旅”服务号粉丝增长率（</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若“惠安文旅”服务号粉丝增长率大于或等于任务数，得满分，否则得分为（各年累计“惠安文旅”服务号粉丝增长率/任务数）*</w:t>
            </w:r>
            <w:r>
              <w:rPr>
                <w:rFonts w:ascii="Times New Roman" w:hAnsi="Times New Roman" w:eastAsia="仿宋" w:cs="Times New Roman"/>
                <w:color w:val="000000" w:themeColor="text1"/>
                <w:kern w:val="0"/>
                <w:sz w:val="18"/>
                <w:szCs w:val="18"/>
                <w14:textFill>
                  <w14:solidFill>
                    <w14:schemeClr w14:val="tx1"/>
                  </w14:solidFill>
                </w14:textFill>
              </w:rPr>
              <w:t>100</w:t>
            </w:r>
            <w:r>
              <w:rPr>
                <w:rFonts w:hint="eastAsia" w:ascii="仿宋" w:hAnsi="仿宋" w:eastAsia="仿宋" w:cs="仿宋"/>
                <w:color w:val="000000" w:themeColor="text1"/>
                <w:kern w:val="0"/>
                <w:sz w:val="18"/>
                <w:szCs w:val="18"/>
                <w14:textFill>
                  <w14:solidFill>
                    <w14:schemeClr w14:val="tx1"/>
                  </w14:solidFill>
                </w14:textFill>
              </w:rPr>
              <w:t>%*</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4.00</w:t>
            </w:r>
          </w:p>
        </w:tc>
      </w:tr>
      <w:tr>
        <w:tblPrEx>
          <w:tblCellMar>
            <w:top w:w="0" w:type="dxa"/>
            <w:left w:w="108" w:type="dxa"/>
            <w:bottom w:w="0" w:type="dxa"/>
            <w:right w:w="108" w:type="dxa"/>
          </w:tblCellMar>
        </w:tblPrEx>
        <w:trPr>
          <w:trHeight w:val="737" w:hRule="atLeast"/>
        </w:trPr>
        <w:tc>
          <w:tcPr>
            <w:tcW w:w="985"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continue"/>
            <w:tcBorders>
              <w:left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p>
        </w:tc>
        <w:tc>
          <w:tcPr>
            <w:tcW w:w="19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“惠安文旅”服务号发布图文数（</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分）</w:t>
            </w:r>
            <w:r>
              <w:rPr>
                <w:rFonts w:hint="eastAsia" w:ascii="仿宋" w:hAnsi="仿宋" w:eastAsia="仿宋" w:cs="仿宋"/>
                <w:color w:val="000000" w:themeColor="text1"/>
                <w:kern w:val="0"/>
                <w:sz w:val="18"/>
                <w:szCs w:val="18"/>
                <w14:textFill>
                  <w14:solidFill>
                    <w14:schemeClr w14:val="tx1"/>
                  </w14:solidFill>
                </w14:textFill>
              </w:rPr>
              <w:tab/>
            </w:r>
          </w:p>
        </w:tc>
        <w:tc>
          <w:tcPr>
            <w:tcW w:w="38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若“惠安文旅”服务号实际发布图文数大于或等于任务数，得满分，否则得分为（各年累计“惠安文旅”服务号发布图文数/任务数）*</w:t>
            </w:r>
            <w:r>
              <w:rPr>
                <w:rFonts w:ascii="Times New Roman" w:hAnsi="Times New Roman" w:eastAsia="仿宋" w:cs="Times New Roman"/>
                <w:color w:val="000000" w:themeColor="text1"/>
                <w:kern w:val="0"/>
                <w:sz w:val="18"/>
                <w:szCs w:val="18"/>
                <w14:textFill>
                  <w14:solidFill>
                    <w14:schemeClr w14:val="tx1"/>
                  </w14:solidFill>
                </w14:textFill>
              </w:rPr>
              <w:t>100</w:t>
            </w:r>
            <w:r>
              <w:rPr>
                <w:rFonts w:hint="eastAsia" w:ascii="仿宋" w:hAnsi="仿宋" w:eastAsia="仿宋" w:cs="仿宋"/>
                <w:color w:val="000000" w:themeColor="text1"/>
                <w:kern w:val="0"/>
                <w:sz w:val="18"/>
                <w:szCs w:val="18"/>
                <w14:textFill>
                  <w14:solidFill>
                    <w14:schemeClr w14:val="tx1"/>
                  </w14:solidFill>
                </w14:textFill>
              </w:rPr>
              <w:t>%*</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4.00</w:t>
            </w:r>
          </w:p>
        </w:tc>
      </w:tr>
      <w:tr>
        <w:tblPrEx>
          <w:tblCellMar>
            <w:top w:w="0" w:type="dxa"/>
            <w:left w:w="108" w:type="dxa"/>
            <w:bottom w:w="0" w:type="dxa"/>
            <w:right w:w="108" w:type="dxa"/>
          </w:tblCellMar>
        </w:tblPrEx>
        <w:trPr>
          <w:trHeight w:val="737" w:hRule="atLeast"/>
        </w:trPr>
        <w:tc>
          <w:tcPr>
            <w:tcW w:w="985" w:type="dxa"/>
            <w:vMerge w:val="continue"/>
            <w:tcBorders>
              <w:top w:val="nil"/>
              <w:left w:val="single" w:color="auto" w:sz="4" w:space="0"/>
              <w:bottom w:val="single" w:color="auto"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continue"/>
            <w:tcBorders>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p>
        </w:tc>
        <w:tc>
          <w:tcPr>
            <w:tcW w:w="19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提升旅游服务配套设施（</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若实际提升旅游服务配套设施数量大于或等于任务数，得满分，否则得分为（各年累计提升旅游服务配套设施数/累计任务数）*</w:t>
            </w:r>
            <w:r>
              <w:rPr>
                <w:rFonts w:ascii="Times New Roman" w:hAnsi="Times New Roman" w:eastAsia="仿宋" w:cs="Times New Roman"/>
                <w:color w:val="000000" w:themeColor="text1"/>
                <w:kern w:val="0"/>
                <w:sz w:val="18"/>
                <w:szCs w:val="18"/>
                <w14:textFill>
                  <w14:solidFill>
                    <w14:schemeClr w14:val="tx1"/>
                  </w14:solidFill>
                </w14:textFill>
              </w:rPr>
              <w:t>100</w:t>
            </w:r>
            <w:r>
              <w:rPr>
                <w:rFonts w:hint="eastAsia" w:ascii="仿宋" w:hAnsi="仿宋" w:eastAsia="仿宋" w:cs="仿宋"/>
                <w:color w:val="000000" w:themeColor="text1"/>
                <w:kern w:val="0"/>
                <w:sz w:val="18"/>
                <w:szCs w:val="18"/>
                <w14:textFill>
                  <w14:solidFill>
                    <w14:schemeClr w14:val="tx1"/>
                  </w14:solidFill>
                </w14:textFill>
              </w:rPr>
              <w:t>%*</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vAlign w:val="center"/>
          </w:tcPr>
          <w:p>
            <w:pPr>
              <w:widowControl/>
              <w:spacing w:line="240" w:lineRule="auto"/>
              <w:rPr>
                <w:rFonts w:ascii="Times New Roman" w:hAnsi="Times New Roman" w:eastAsia="仿宋" w:cs="Times New Roman"/>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4.00</w:t>
            </w:r>
          </w:p>
        </w:tc>
      </w:tr>
      <w:tr>
        <w:tblPrEx>
          <w:tblCellMar>
            <w:top w:w="0" w:type="dxa"/>
            <w:left w:w="108" w:type="dxa"/>
            <w:bottom w:w="0" w:type="dxa"/>
            <w:right w:w="108" w:type="dxa"/>
          </w:tblCellMar>
        </w:tblPrEx>
        <w:trPr>
          <w:trHeight w:val="737" w:hRule="atLeast"/>
        </w:trPr>
        <w:tc>
          <w:tcPr>
            <w:tcW w:w="985"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p>
        </w:tc>
        <w:tc>
          <w:tcPr>
            <w:tcW w:w="19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建设达标厕所数（</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分）</w:t>
            </w:r>
            <w:r>
              <w:rPr>
                <w:rFonts w:hint="eastAsia" w:ascii="仿宋" w:hAnsi="仿宋" w:eastAsia="仿宋" w:cs="仿宋"/>
                <w:color w:val="000000" w:themeColor="text1"/>
                <w:kern w:val="0"/>
                <w:sz w:val="18"/>
                <w:szCs w:val="18"/>
                <w14:textFill>
                  <w14:solidFill>
                    <w14:schemeClr w14:val="tx1"/>
                  </w14:solidFill>
                </w14:textFill>
              </w:rPr>
              <w:tab/>
            </w:r>
          </w:p>
        </w:tc>
        <w:tc>
          <w:tcPr>
            <w:tcW w:w="38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若实际建设达标厕所数量大于或等于任务数，得满分，否则得分为（各年累计建设达标厕所数/累计任务数）*</w:t>
            </w:r>
            <w:r>
              <w:rPr>
                <w:rFonts w:ascii="Times New Roman" w:hAnsi="Times New Roman" w:eastAsia="仿宋" w:cs="Times New Roman"/>
                <w:color w:val="000000" w:themeColor="text1"/>
                <w:kern w:val="0"/>
                <w:sz w:val="18"/>
                <w:szCs w:val="18"/>
                <w14:textFill>
                  <w14:solidFill>
                    <w14:schemeClr w14:val="tx1"/>
                  </w14:solidFill>
                </w14:textFill>
              </w:rPr>
              <w:t>100</w:t>
            </w:r>
            <w:r>
              <w:rPr>
                <w:rFonts w:hint="eastAsia" w:ascii="仿宋" w:hAnsi="仿宋" w:eastAsia="仿宋" w:cs="仿宋"/>
                <w:color w:val="000000" w:themeColor="text1"/>
                <w:kern w:val="0"/>
                <w:sz w:val="18"/>
                <w:szCs w:val="18"/>
                <w14:textFill>
                  <w14:solidFill>
                    <w14:schemeClr w14:val="tx1"/>
                  </w14:solidFill>
                </w14:textFill>
              </w:rPr>
              <w:t>%*</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2.00</w:t>
            </w:r>
          </w:p>
        </w:tc>
      </w:tr>
      <w:tr>
        <w:tblPrEx>
          <w:tblCellMar>
            <w:top w:w="0" w:type="dxa"/>
            <w:left w:w="108" w:type="dxa"/>
            <w:bottom w:w="0" w:type="dxa"/>
            <w:right w:w="108" w:type="dxa"/>
          </w:tblCellMar>
        </w:tblPrEx>
        <w:trPr>
          <w:trHeight w:val="737" w:hRule="atLeast"/>
        </w:trPr>
        <w:tc>
          <w:tcPr>
            <w:tcW w:w="985"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质量指标（</w:t>
            </w:r>
            <w:r>
              <w:rPr>
                <w:rFonts w:ascii="Times New Roman" w:hAnsi="Times New Roman" w:eastAsia="仿宋" w:cs="Times New Roman"/>
                <w:color w:val="000000" w:themeColor="text1"/>
                <w:kern w:val="0"/>
                <w:sz w:val="18"/>
                <w:szCs w:val="18"/>
                <w14:textFill>
                  <w14:solidFill>
                    <w14:schemeClr w14:val="tx1"/>
                  </w14:solidFill>
                </w14:textFill>
              </w:rPr>
              <w:t>16</w:t>
            </w:r>
            <w:r>
              <w:rPr>
                <w:rFonts w:hint="eastAsia" w:ascii="仿宋" w:hAnsi="仿宋" w:eastAsia="仿宋" w:cs="仿宋"/>
                <w:color w:val="000000" w:themeColor="text1"/>
                <w:kern w:val="0"/>
                <w:sz w:val="18"/>
                <w:szCs w:val="18"/>
                <w14:textFill>
                  <w14:solidFill>
                    <w14:schemeClr w14:val="tx1"/>
                  </w14:solidFill>
                </w14:textFill>
              </w:rPr>
              <w:t>分）</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全年安全无事故（</w:t>
            </w:r>
            <w:r>
              <w:rPr>
                <w:rFonts w:ascii="Times New Roman" w:hAnsi="Times New Roman" w:eastAsia="仿宋" w:cs="Times New Roman"/>
                <w:color w:val="000000" w:themeColor="text1"/>
                <w:kern w:val="0"/>
                <w:sz w:val="18"/>
                <w:szCs w:val="18"/>
                <w14:textFill>
                  <w14:solidFill>
                    <w14:schemeClr w14:val="tx1"/>
                  </w14:solidFill>
                </w14:textFill>
              </w:rPr>
              <w:t>8</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若惠安县全年发生旅游安全事故的次数为</w:t>
            </w:r>
            <w:r>
              <w:rPr>
                <w:rFonts w:ascii="Times New Roman" w:hAnsi="Times New Roman" w:eastAsia="仿宋" w:cs="Times New Roman"/>
                <w:color w:val="000000" w:themeColor="text1"/>
                <w:kern w:val="0"/>
                <w:sz w:val="18"/>
                <w:szCs w:val="18"/>
                <w14:textFill>
                  <w14:solidFill>
                    <w14:schemeClr w14:val="tx1"/>
                  </w14:solidFill>
                </w14:textFill>
              </w:rPr>
              <w:t>0</w:t>
            </w:r>
            <w:r>
              <w:rPr>
                <w:rFonts w:hint="eastAsia" w:ascii="Times New Roman" w:hAnsi="Times New Roman" w:eastAsia="仿宋" w:cs="Times New Roman"/>
                <w:color w:val="000000" w:themeColor="text1"/>
                <w:kern w:val="0"/>
                <w:sz w:val="18"/>
                <w:szCs w:val="18"/>
                <w14:textFill>
                  <w14:solidFill>
                    <w14:schemeClr w14:val="tx1"/>
                  </w14:solidFill>
                </w14:textFill>
              </w:rPr>
              <w:t>，</w:t>
            </w:r>
            <w:r>
              <w:rPr>
                <w:rFonts w:hint="eastAsia" w:ascii="仿宋" w:hAnsi="仿宋" w:eastAsia="仿宋" w:cs="仿宋"/>
                <w:color w:val="000000" w:themeColor="text1"/>
                <w:kern w:val="0"/>
                <w:sz w:val="18"/>
                <w:szCs w:val="18"/>
                <w14:textFill>
                  <w14:solidFill>
                    <w14:schemeClr w14:val="tx1"/>
                  </w14:solidFill>
                </w14:textFill>
              </w:rPr>
              <w:t>得满分，否则为</w:t>
            </w:r>
            <w:r>
              <w:rPr>
                <w:rFonts w:ascii="Times New Roman" w:hAnsi="Times New Roman" w:eastAsia="仿宋" w:cs="Times New Roman"/>
                <w:color w:val="000000" w:themeColor="text1"/>
                <w:kern w:val="0"/>
                <w:sz w:val="18"/>
                <w:szCs w:val="18"/>
                <w14:textFill>
                  <w14:solidFill>
                    <w14:schemeClr w14:val="tx1"/>
                  </w14:solidFill>
                </w14:textFill>
              </w:rPr>
              <w:t>0</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8.00</w:t>
            </w:r>
          </w:p>
        </w:tc>
      </w:tr>
      <w:tr>
        <w:tblPrEx>
          <w:tblCellMar>
            <w:top w:w="0" w:type="dxa"/>
            <w:left w:w="108" w:type="dxa"/>
            <w:bottom w:w="0" w:type="dxa"/>
            <w:right w:w="108" w:type="dxa"/>
          </w:tblCellMar>
        </w:tblPrEx>
        <w:trPr>
          <w:trHeight w:val="542" w:hRule="atLeast"/>
        </w:trPr>
        <w:tc>
          <w:tcPr>
            <w:tcW w:w="985"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p>
        </w:tc>
        <w:tc>
          <w:tcPr>
            <w:tcW w:w="19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开展旅游安全宣传培训的企业数（</w:t>
            </w:r>
            <w:r>
              <w:rPr>
                <w:rFonts w:ascii="Times New Roman" w:hAnsi="Times New Roman" w:eastAsia="仿宋" w:cs="Times New Roman"/>
                <w:color w:val="000000" w:themeColor="text1"/>
                <w:kern w:val="0"/>
                <w:sz w:val="18"/>
                <w:szCs w:val="18"/>
                <w14:textFill>
                  <w14:solidFill>
                    <w14:schemeClr w14:val="tx1"/>
                  </w14:solidFill>
                </w14:textFill>
              </w:rPr>
              <w:t>8</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若实际完成旅游安全宣传培训的企业数量大于或等于任务数，得满分，否则得分为（各年累计开展旅游安全宣传培训的企业数量/累计任务数）*</w:t>
            </w:r>
            <w:r>
              <w:rPr>
                <w:rFonts w:ascii="Times New Roman" w:hAnsi="Times New Roman" w:eastAsia="仿宋" w:cs="Times New Roman"/>
                <w:color w:val="000000" w:themeColor="text1"/>
                <w:kern w:val="0"/>
                <w:sz w:val="18"/>
                <w:szCs w:val="18"/>
                <w14:textFill>
                  <w14:solidFill>
                    <w14:schemeClr w14:val="tx1"/>
                  </w14:solidFill>
                </w14:textFill>
              </w:rPr>
              <w:t>100</w:t>
            </w:r>
            <w:r>
              <w:rPr>
                <w:rFonts w:hint="eastAsia" w:ascii="仿宋" w:hAnsi="仿宋" w:eastAsia="仿宋" w:cs="仿宋"/>
                <w:color w:val="000000" w:themeColor="text1"/>
                <w:kern w:val="0"/>
                <w:sz w:val="18"/>
                <w:szCs w:val="18"/>
                <w14:textFill>
                  <w14:solidFill>
                    <w14:schemeClr w14:val="tx1"/>
                  </w14:solidFill>
                </w14:textFill>
              </w:rPr>
              <w:t>%*</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8.00</w:t>
            </w:r>
          </w:p>
        </w:tc>
      </w:tr>
      <w:tr>
        <w:tblPrEx>
          <w:tblCellMar>
            <w:top w:w="0" w:type="dxa"/>
            <w:left w:w="108" w:type="dxa"/>
            <w:bottom w:w="0" w:type="dxa"/>
            <w:right w:w="108" w:type="dxa"/>
          </w:tblCellMar>
        </w:tblPrEx>
        <w:trPr>
          <w:trHeight w:val="764" w:hRule="atLeast"/>
        </w:trPr>
        <w:tc>
          <w:tcPr>
            <w:tcW w:w="985" w:type="dxa"/>
            <w:vMerge w:val="restart"/>
            <w:tcBorders>
              <w:top w:val="nil"/>
              <w:left w:val="single" w:color="auto" w:sz="4" w:space="0"/>
              <w:right w:val="single" w:color="auto" w:sz="4" w:space="0"/>
            </w:tcBorders>
            <w:shd w:val="clear" w:color="auto" w:fill="auto"/>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r>
              <w:rPr>
                <w:rFonts w:hint="eastAsia" w:ascii="仿宋" w:hAnsi="仿宋" w:eastAsia="仿宋" w:cs="仿宋"/>
                <w:b/>
                <w:bCs/>
                <w:color w:val="000000" w:themeColor="text1"/>
                <w:kern w:val="0"/>
                <w:sz w:val="18"/>
                <w:szCs w:val="18"/>
                <w14:textFill>
                  <w14:solidFill>
                    <w14:schemeClr w14:val="tx1"/>
                  </w14:solidFill>
                </w14:textFill>
              </w:rPr>
              <w:t>效益指标（25分）</w:t>
            </w:r>
          </w:p>
        </w:tc>
        <w:tc>
          <w:tcPr>
            <w:tcW w:w="141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经济效益（</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1922" w:type="dxa"/>
            <w:tcBorders>
              <w:top w:val="nil"/>
              <w:left w:val="nil"/>
              <w:bottom w:val="single" w:color="auto" w:sz="4" w:space="0"/>
              <w:right w:val="single" w:color="auto" w:sz="4" w:space="0"/>
            </w:tcBorders>
            <w:shd w:val="clear" w:color="auto" w:fill="auto"/>
            <w:vAlign w:val="center"/>
          </w:tcPr>
          <w:p>
            <w:pPr>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全年旅游总收入（</w:t>
            </w:r>
            <w:r>
              <w:rPr>
                <w:rFonts w:ascii="Times New Roman" w:hAnsi="Times New Roman" w:eastAsia="仿宋" w:cs="Times New Roman"/>
                <w:color w:val="000000" w:themeColor="text1"/>
                <w:sz w:val="18"/>
                <w:szCs w:val="18"/>
                <w14:textFill>
                  <w14:solidFill>
                    <w14:schemeClr w14:val="tx1"/>
                  </w14:solidFill>
                </w14:textFill>
              </w:rPr>
              <w:t>5</w:t>
            </w:r>
            <w:r>
              <w:rPr>
                <w:rFonts w:hint="eastAsia" w:ascii="仿宋" w:hAnsi="仿宋" w:eastAsia="仿宋" w:cs="仿宋"/>
                <w:color w:val="000000" w:themeColor="text1"/>
                <w:sz w:val="18"/>
                <w:szCs w:val="18"/>
                <w14:textFill>
                  <w14:solidFill>
                    <w14:schemeClr w14:val="tx1"/>
                  </w14:solidFill>
                </w14:textFill>
              </w:rPr>
              <w:t>分）</w:t>
            </w:r>
          </w:p>
        </w:tc>
        <w:tc>
          <w:tcPr>
            <w:tcW w:w="3822" w:type="dxa"/>
            <w:tcBorders>
              <w:top w:val="nil"/>
              <w:left w:val="nil"/>
              <w:bottom w:val="single" w:color="auto" w:sz="4" w:space="0"/>
              <w:right w:val="single" w:color="auto" w:sz="4" w:space="0"/>
            </w:tcBorders>
            <w:shd w:val="clear" w:color="auto" w:fill="auto"/>
            <w:vAlign w:val="center"/>
          </w:tcPr>
          <w:p>
            <w:pPr>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若惠安县各年全年旅游总收入达成或者超过</w:t>
            </w:r>
            <w:r>
              <w:rPr>
                <w:rFonts w:ascii="Times New Roman" w:hAnsi="Times New Roman" w:eastAsia="仿宋" w:cs="Times New Roman"/>
                <w:color w:val="000000" w:themeColor="text1"/>
                <w:sz w:val="18"/>
                <w:szCs w:val="18"/>
                <w14:textFill>
                  <w14:solidFill>
                    <w14:schemeClr w14:val="tx1"/>
                  </w14:solidFill>
                </w14:textFill>
              </w:rPr>
              <w:t>2019</w:t>
            </w:r>
            <w:r>
              <w:rPr>
                <w:rFonts w:hint="eastAsia" w:ascii="仿宋" w:hAnsi="仿宋" w:eastAsia="仿宋" w:cs="仿宋"/>
                <w:color w:val="000000" w:themeColor="text1"/>
                <w:sz w:val="18"/>
                <w:szCs w:val="18"/>
                <w14:textFill>
                  <w14:solidFill>
                    <w14:schemeClr w14:val="tx1"/>
                  </w14:solidFill>
                </w14:textFill>
              </w:rPr>
              <w:t>年惠安县全年旅游总收入（无疫情时期）</w:t>
            </w:r>
            <w:r>
              <w:rPr>
                <w:rFonts w:hint="eastAsia" w:ascii="仿宋" w:hAnsi="仿宋" w:eastAsia="仿宋" w:cs="仿宋"/>
                <w:color w:val="000000" w:themeColor="text1"/>
                <w:kern w:val="0"/>
                <w:sz w:val="18"/>
                <w:szCs w:val="18"/>
                <w14:textFill>
                  <w14:solidFill>
                    <w14:schemeClr w14:val="tx1"/>
                  </w14:solidFill>
                </w14:textFill>
              </w:rPr>
              <w:t>，得满分，否则根据（惠安县平均全年旅游总收入/</w:t>
            </w:r>
            <w:r>
              <w:rPr>
                <w:rFonts w:ascii="Times New Roman" w:hAnsi="Times New Roman" w:eastAsia="仿宋" w:cs="Times New Roman"/>
                <w:color w:val="000000" w:themeColor="text1"/>
                <w:kern w:val="0"/>
                <w:sz w:val="18"/>
                <w:szCs w:val="18"/>
                <w14:textFill>
                  <w14:solidFill>
                    <w14:schemeClr w14:val="tx1"/>
                  </w14:solidFill>
                </w14:textFill>
              </w:rPr>
              <w:t>2019</w:t>
            </w:r>
            <w:r>
              <w:rPr>
                <w:rFonts w:hint="eastAsia" w:ascii="仿宋" w:hAnsi="仿宋" w:eastAsia="仿宋" w:cs="仿宋"/>
                <w:color w:val="000000" w:themeColor="text1"/>
                <w:kern w:val="0"/>
                <w:sz w:val="18"/>
                <w:szCs w:val="18"/>
                <w14:textFill>
                  <w14:solidFill>
                    <w14:schemeClr w14:val="tx1"/>
                  </w14:solidFill>
                </w14:textFill>
              </w:rPr>
              <w:t>年惠安县</w:t>
            </w:r>
            <w:r>
              <w:rPr>
                <w:rFonts w:hint="eastAsia" w:ascii="仿宋" w:hAnsi="仿宋" w:eastAsia="仿宋" w:cs="仿宋"/>
                <w:color w:val="000000" w:themeColor="text1"/>
                <w:sz w:val="18"/>
                <w:szCs w:val="18"/>
                <w14:textFill>
                  <w14:solidFill>
                    <w14:schemeClr w14:val="tx1"/>
                  </w14:solidFill>
                </w14:textFill>
              </w:rPr>
              <w:t>全年旅游总收入</w:t>
            </w:r>
            <w:r>
              <w:rPr>
                <w:rFonts w:hint="eastAsia" w:ascii="仿宋" w:hAnsi="仿宋" w:eastAsia="仿宋" w:cs="仿宋"/>
                <w:color w:val="000000" w:themeColor="text1"/>
                <w:kern w:val="0"/>
                <w:sz w:val="18"/>
                <w:szCs w:val="18"/>
                <w14:textFill>
                  <w14:solidFill>
                    <w14:schemeClr w14:val="tx1"/>
                  </w14:solidFill>
                </w14:textFill>
              </w:rPr>
              <w:t>）*</w:t>
            </w:r>
            <w:r>
              <w:rPr>
                <w:rFonts w:ascii="Times New Roman" w:hAnsi="Times New Roman" w:eastAsia="仿宋" w:cs="Times New Roman"/>
                <w:color w:val="000000" w:themeColor="text1"/>
                <w:kern w:val="0"/>
                <w:sz w:val="18"/>
                <w:szCs w:val="18"/>
                <w14:textFill>
                  <w14:solidFill>
                    <w14:schemeClr w14:val="tx1"/>
                  </w14:solidFill>
                </w14:textFill>
              </w:rPr>
              <w:t>100</w:t>
            </w:r>
            <w:r>
              <w:rPr>
                <w:rFonts w:hint="eastAsia" w:ascii="仿宋" w:hAnsi="仿宋" w:eastAsia="仿宋" w:cs="仿宋"/>
                <w:color w:val="000000" w:themeColor="text1"/>
                <w:kern w:val="0"/>
                <w:sz w:val="18"/>
                <w:szCs w:val="18"/>
                <w14:textFill>
                  <w14:solidFill>
                    <w14:schemeClr w14:val="tx1"/>
                  </w14:solidFill>
                </w14:textFill>
              </w:rPr>
              <w:t>%*</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2.05</w:t>
            </w:r>
          </w:p>
        </w:tc>
      </w:tr>
      <w:tr>
        <w:tblPrEx>
          <w:tblCellMar>
            <w:top w:w="0" w:type="dxa"/>
            <w:left w:w="108" w:type="dxa"/>
            <w:bottom w:w="0" w:type="dxa"/>
            <w:right w:w="108" w:type="dxa"/>
          </w:tblCellMar>
        </w:tblPrEx>
        <w:trPr>
          <w:trHeight w:val="764" w:hRule="atLeast"/>
        </w:trPr>
        <w:tc>
          <w:tcPr>
            <w:tcW w:w="985" w:type="dxa"/>
            <w:vMerge w:val="continue"/>
            <w:tcBorders>
              <w:left w:val="single" w:color="auto" w:sz="4" w:space="0"/>
              <w:right w:val="single" w:color="auto" w:sz="4" w:space="0"/>
            </w:tcBorders>
            <w:shd w:val="clear" w:color="auto" w:fill="auto"/>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社会效益（</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1922" w:type="dxa"/>
            <w:tcBorders>
              <w:top w:val="nil"/>
              <w:left w:val="nil"/>
              <w:bottom w:val="single" w:color="auto" w:sz="4" w:space="0"/>
              <w:right w:val="single" w:color="auto" w:sz="4" w:space="0"/>
            </w:tcBorders>
            <w:shd w:val="clear" w:color="auto" w:fill="auto"/>
            <w:vAlign w:val="center"/>
          </w:tcPr>
          <w:p>
            <w:pPr>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保护和传承非遗文化（</w:t>
            </w:r>
            <w:r>
              <w:rPr>
                <w:rFonts w:ascii="Times New Roman" w:hAnsi="Times New Roman" w:eastAsia="仿宋" w:cs="Times New Roman"/>
                <w:color w:val="000000" w:themeColor="text1"/>
                <w:sz w:val="18"/>
                <w:szCs w:val="18"/>
                <w14:textFill>
                  <w14:solidFill>
                    <w14:schemeClr w14:val="tx1"/>
                  </w14:solidFill>
                </w14:textFill>
              </w:rPr>
              <w:t>5</w:t>
            </w:r>
            <w:r>
              <w:rPr>
                <w:rFonts w:hint="eastAsia" w:ascii="仿宋" w:hAnsi="仿宋" w:eastAsia="仿宋" w:cs="仿宋"/>
                <w:color w:val="000000" w:themeColor="text1"/>
                <w:sz w:val="18"/>
                <w:szCs w:val="18"/>
                <w14:textFill>
                  <w14:solidFill>
                    <w14:schemeClr w14:val="tx1"/>
                  </w14:solidFill>
                </w14:textFill>
              </w:rPr>
              <w:t>分）</w:t>
            </w:r>
          </w:p>
        </w:tc>
        <w:tc>
          <w:tcPr>
            <w:tcW w:w="3822" w:type="dxa"/>
            <w:tcBorders>
              <w:top w:val="nil"/>
              <w:left w:val="nil"/>
              <w:bottom w:val="single" w:color="auto" w:sz="4" w:space="0"/>
              <w:right w:val="single" w:color="auto" w:sz="4" w:space="0"/>
            </w:tcBorders>
            <w:shd w:val="clear" w:color="auto" w:fill="auto"/>
            <w:vAlign w:val="center"/>
          </w:tcPr>
          <w:p>
            <w:pPr>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1</w:t>
            </w:r>
            <w:r>
              <w:rPr>
                <w:rFonts w:hint="eastAsia" w:ascii="仿宋" w:hAnsi="仿宋" w:eastAsia="仿宋" w:cs="仿宋"/>
                <w:color w:val="000000" w:themeColor="text1"/>
                <w:kern w:val="0"/>
                <w:sz w:val="18"/>
                <w:szCs w:val="18"/>
                <w14:textFill>
                  <w14:solidFill>
                    <w14:schemeClr w14:val="tx1"/>
                  </w14:solidFill>
                </w14:textFill>
              </w:rPr>
              <w:t>.实践活动是否持续并富有活力；</w:t>
            </w:r>
            <w:r>
              <w:rPr>
                <w:rFonts w:ascii="Times New Roman" w:hAnsi="Times New Roman" w:eastAsia="仿宋" w:cs="Times New Roman"/>
                <w:color w:val="000000" w:themeColor="text1"/>
                <w:kern w:val="0"/>
                <w:sz w:val="18"/>
                <w:szCs w:val="18"/>
                <w14:textFill>
                  <w14:solidFill>
                    <w14:schemeClr w14:val="tx1"/>
                  </w14:solidFill>
                </w14:textFill>
              </w:rPr>
              <w:t>2</w:t>
            </w:r>
            <w:r>
              <w:rPr>
                <w:rFonts w:hint="eastAsia" w:ascii="仿宋" w:hAnsi="仿宋" w:eastAsia="仿宋" w:cs="仿宋"/>
                <w:color w:val="000000" w:themeColor="text1"/>
                <w:kern w:val="0"/>
                <w:sz w:val="18"/>
                <w:szCs w:val="18"/>
                <w14:textFill>
                  <w14:solidFill>
                    <w14:schemeClr w14:val="tx1"/>
                  </w14:solidFill>
                </w14:textFill>
              </w:rPr>
              <w:t>.基本实践方式，如手工技艺之于某些传统工艺项目，是否得到保持；</w:t>
            </w:r>
            <w:r>
              <w:rPr>
                <w:rFonts w:ascii="Times New Roman" w:hAnsi="Times New Roman" w:eastAsia="仿宋" w:cs="Times New Roman"/>
                <w:color w:val="000000" w:themeColor="text1"/>
                <w:kern w:val="0"/>
                <w:sz w:val="18"/>
                <w:szCs w:val="18"/>
                <w14:textFill>
                  <w14:solidFill>
                    <w14:schemeClr w14:val="tx1"/>
                  </w14:solidFill>
                </w14:textFill>
              </w:rPr>
              <w:t>3</w:t>
            </w:r>
            <w:r>
              <w:rPr>
                <w:rFonts w:hint="eastAsia" w:ascii="仿宋" w:hAnsi="仿宋" w:eastAsia="仿宋" w:cs="仿宋"/>
                <w:color w:val="000000" w:themeColor="text1"/>
                <w:kern w:val="0"/>
                <w:sz w:val="18"/>
                <w:szCs w:val="18"/>
                <w14:textFill>
                  <w14:solidFill>
                    <w14:schemeClr w14:val="tx1"/>
                  </w14:solidFill>
                </w14:textFill>
              </w:rPr>
              <w:t>.基本文化内涵是否得到尊重；</w:t>
            </w:r>
            <w:r>
              <w:rPr>
                <w:rFonts w:ascii="Times New Roman" w:hAnsi="Times New Roman" w:eastAsia="仿宋" w:cs="Times New Roman"/>
                <w:color w:val="000000" w:themeColor="text1"/>
                <w:kern w:val="0"/>
                <w:sz w:val="18"/>
                <w:szCs w:val="18"/>
                <w14:textFill>
                  <w14:solidFill>
                    <w14:schemeClr w14:val="tx1"/>
                  </w14:solidFill>
                </w14:textFill>
              </w:rPr>
              <w:t>4</w:t>
            </w:r>
            <w:r>
              <w:rPr>
                <w:rFonts w:hint="eastAsia" w:ascii="仿宋" w:hAnsi="仿宋" w:eastAsia="仿宋" w:cs="仿宋"/>
                <w:color w:val="000000" w:themeColor="text1"/>
                <w:kern w:val="0"/>
                <w:sz w:val="18"/>
                <w:szCs w:val="18"/>
                <w14:textFill>
                  <w14:solidFill>
                    <w14:schemeClr w14:val="tx1"/>
                  </w14:solidFill>
                </w14:textFill>
              </w:rPr>
              <w:t>.具有当代价值的文化精神是否得到弘扬；</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.相关社区、群体和个人的实践、传承及再创造权利是否得到尊重。</w:t>
            </w:r>
            <w:r>
              <w:rPr>
                <w:rFonts w:hint="eastAsia" w:ascii="仿宋" w:hAnsi="仿宋" w:eastAsia="仿宋" w:cs="仿宋"/>
                <w:color w:val="000000" w:themeColor="text1"/>
                <w:sz w:val="18"/>
                <w:szCs w:val="18"/>
                <w:lang w:bidi="ar"/>
                <w14:textFill>
                  <w14:solidFill>
                    <w14:schemeClr w14:val="tx1"/>
                  </w14:solidFill>
                </w14:textFill>
              </w:rPr>
              <w:t>一项不符合扣</w:t>
            </w:r>
            <w:r>
              <w:rPr>
                <w:rFonts w:ascii="Times New Roman" w:hAnsi="Times New Roman" w:eastAsia="仿宋" w:cs="Times New Roman"/>
                <w:color w:val="000000" w:themeColor="text1"/>
                <w:sz w:val="18"/>
                <w:szCs w:val="18"/>
                <w:lang w:bidi="ar"/>
                <w14:textFill>
                  <w14:solidFill>
                    <w14:schemeClr w14:val="tx1"/>
                  </w14:solidFill>
                </w14:textFill>
              </w:rPr>
              <w:t>1</w:t>
            </w:r>
            <w:r>
              <w:rPr>
                <w:rFonts w:hint="eastAsia" w:ascii="仿宋" w:hAnsi="仿宋" w:eastAsia="仿宋" w:cs="仿宋"/>
                <w:color w:val="000000" w:themeColor="text1"/>
                <w:sz w:val="18"/>
                <w:szCs w:val="18"/>
                <w:lang w:bidi="ar"/>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5.00</w:t>
            </w:r>
          </w:p>
        </w:tc>
      </w:tr>
      <w:tr>
        <w:tblPrEx>
          <w:tblCellMar>
            <w:top w:w="0" w:type="dxa"/>
            <w:left w:w="108" w:type="dxa"/>
            <w:bottom w:w="0" w:type="dxa"/>
            <w:right w:w="108" w:type="dxa"/>
          </w:tblCellMar>
        </w:tblPrEx>
        <w:trPr>
          <w:trHeight w:val="1061" w:hRule="atLeast"/>
        </w:trPr>
        <w:tc>
          <w:tcPr>
            <w:tcW w:w="985" w:type="dxa"/>
            <w:vMerge w:val="continue"/>
            <w:tcBorders>
              <w:left w:val="single" w:color="auto"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生态效益（</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19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获评生态旅游奖项（</w:t>
            </w:r>
            <w:r>
              <w:rPr>
                <w:rFonts w:ascii="Times New Roman" w:hAnsi="Times New Roman" w:eastAsia="仿宋" w:cs="Times New Roman"/>
                <w:color w:val="000000" w:themeColor="text1"/>
                <w:sz w:val="18"/>
                <w:szCs w:val="18"/>
                <w14:textFill>
                  <w14:solidFill>
                    <w14:schemeClr w14:val="tx1"/>
                  </w14:solidFill>
                </w14:textFill>
              </w:rPr>
              <w:t>5</w:t>
            </w:r>
            <w:r>
              <w:rPr>
                <w:rFonts w:hint="eastAsia" w:ascii="仿宋" w:hAnsi="仿宋" w:eastAsia="仿宋" w:cs="仿宋"/>
                <w:color w:val="000000" w:themeColor="text1"/>
                <w:sz w:val="18"/>
                <w:szCs w:val="18"/>
                <w14:textFill>
                  <w14:solidFill>
                    <w14:schemeClr w14:val="tx1"/>
                  </w14:solidFill>
                </w14:textFill>
              </w:rPr>
              <w:t>分）</w:t>
            </w:r>
          </w:p>
        </w:tc>
        <w:tc>
          <w:tcPr>
            <w:tcW w:w="38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若实际获评生态旅游奖项数量超过目标值得满分，否则得分为（实际获评生态旅游奖项数/目标值）*100%*</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5.00</w:t>
            </w:r>
          </w:p>
        </w:tc>
      </w:tr>
      <w:tr>
        <w:tblPrEx>
          <w:tblCellMar>
            <w:top w:w="0" w:type="dxa"/>
            <w:left w:w="108" w:type="dxa"/>
            <w:bottom w:w="0" w:type="dxa"/>
            <w:right w:w="108" w:type="dxa"/>
          </w:tblCellMar>
        </w:tblPrEx>
        <w:trPr>
          <w:trHeight w:val="737" w:hRule="atLeast"/>
        </w:trPr>
        <w:tc>
          <w:tcPr>
            <w:tcW w:w="985" w:type="dxa"/>
            <w:vMerge w:val="continue"/>
            <w:tcBorders>
              <w:left w:val="single" w:color="auto"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可持续效益（</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19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根据十四五规划发展（</w:t>
            </w:r>
            <w:r>
              <w:rPr>
                <w:rFonts w:ascii="Times New Roman" w:hAnsi="Times New Roman" w:eastAsia="仿宋" w:cs="Times New Roman"/>
                <w:color w:val="000000" w:themeColor="text1"/>
                <w:sz w:val="18"/>
                <w:szCs w:val="18"/>
                <w14:textFill>
                  <w14:solidFill>
                    <w14:schemeClr w14:val="tx1"/>
                  </w14:solidFill>
                </w14:textFill>
              </w:rPr>
              <w:t>5</w:t>
            </w:r>
            <w:r>
              <w:rPr>
                <w:rFonts w:hint="eastAsia" w:ascii="仿宋" w:hAnsi="仿宋" w:eastAsia="仿宋" w:cs="仿宋"/>
                <w:color w:val="000000" w:themeColor="text1"/>
                <w:sz w:val="18"/>
                <w:szCs w:val="18"/>
                <w14:textFill>
                  <w14:solidFill>
                    <w14:schemeClr w14:val="tx1"/>
                  </w14:solidFill>
                </w14:textFill>
              </w:rPr>
              <w:t>分</w:t>
            </w:r>
            <w:r>
              <w:rPr>
                <w:rFonts w:hint="eastAsia" w:ascii="仿宋" w:hAnsi="仿宋" w:eastAsia="仿宋" w:cs="仿宋"/>
                <w:color w:val="000000" w:themeColor="text1"/>
                <w:kern w:val="0"/>
                <w:sz w:val="18"/>
                <w:szCs w:val="18"/>
                <w14:textFill>
                  <w14:solidFill>
                    <w14:schemeClr w14:val="tx1"/>
                  </w14:solidFill>
                </w14:textFill>
              </w:rPr>
              <w:t>）</w:t>
            </w:r>
          </w:p>
        </w:tc>
        <w:tc>
          <w:tcPr>
            <w:tcW w:w="38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若实际制定可持续发展的相关政策材料数量超过目标值得满分，否则得分为（实际制定可持续发展相关政策数/目标值）*</w:t>
            </w:r>
            <w:r>
              <w:rPr>
                <w:rFonts w:ascii="Times New Roman" w:hAnsi="Times New Roman" w:eastAsia="仿宋" w:cs="Times New Roman"/>
                <w:color w:val="000000" w:themeColor="text1"/>
                <w:kern w:val="0"/>
                <w:sz w:val="18"/>
                <w:szCs w:val="18"/>
                <w14:textFill>
                  <w14:solidFill>
                    <w14:schemeClr w14:val="tx1"/>
                  </w14:solidFill>
                </w14:textFill>
              </w:rPr>
              <w:t>100</w:t>
            </w:r>
            <w:r>
              <w:rPr>
                <w:rFonts w:hint="eastAsia" w:ascii="仿宋" w:hAnsi="仿宋" w:eastAsia="仿宋" w:cs="仿宋"/>
                <w:color w:val="000000" w:themeColor="text1"/>
                <w:kern w:val="0"/>
                <w:sz w:val="18"/>
                <w:szCs w:val="18"/>
                <w14:textFill>
                  <w14:solidFill>
                    <w14:schemeClr w14:val="tx1"/>
                  </w14:solidFill>
                </w14:textFill>
              </w:rPr>
              <w:t>%*</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73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5.00</w:t>
            </w:r>
          </w:p>
        </w:tc>
      </w:tr>
      <w:tr>
        <w:tblPrEx>
          <w:tblCellMar>
            <w:top w:w="0" w:type="dxa"/>
            <w:left w:w="108" w:type="dxa"/>
            <w:bottom w:w="0" w:type="dxa"/>
            <w:right w:w="108" w:type="dxa"/>
          </w:tblCellMar>
        </w:tblPrEx>
        <w:trPr>
          <w:trHeight w:val="737" w:hRule="atLeast"/>
        </w:trPr>
        <w:tc>
          <w:tcPr>
            <w:tcW w:w="985" w:type="dxa"/>
            <w:vMerge w:val="continue"/>
            <w:tcBorders>
              <w:left w:val="single" w:color="auto" w:sz="4" w:space="0"/>
              <w:bottom w:val="single" w:color="000000" w:sz="4" w:space="0"/>
              <w:right w:val="single" w:color="auto" w:sz="4" w:space="0"/>
            </w:tcBorders>
            <w:vAlign w:val="center"/>
          </w:tcPr>
          <w:p>
            <w:pPr>
              <w:widowControl/>
              <w:spacing w:line="240" w:lineRule="auto"/>
              <w:rPr>
                <w:rFonts w:ascii="仿宋" w:hAnsi="仿宋" w:eastAsia="仿宋" w:cs="仿宋"/>
                <w:b/>
                <w:bCs/>
                <w:color w:val="000000" w:themeColor="text1"/>
                <w:kern w:val="0"/>
                <w:sz w:val="18"/>
                <w:szCs w:val="18"/>
                <w14:textFill>
                  <w14:solidFill>
                    <w14:schemeClr w14:val="tx1"/>
                  </w14:solidFill>
                </w14:textFill>
              </w:rPr>
            </w:pPr>
          </w:p>
        </w:tc>
        <w:tc>
          <w:tcPr>
            <w:tcW w:w="141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满意度（</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19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群众满意度（</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分）</w:t>
            </w:r>
          </w:p>
        </w:tc>
        <w:tc>
          <w:tcPr>
            <w:tcW w:w="382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群众满意度=（对专项工作满意群众数/调查群众数）*</w:t>
            </w:r>
            <w:r>
              <w:rPr>
                <w:rFonts w:ascii="Times New Roman" w:hAnsi="Times New Roman" w:eastAsia="仿宋" w:cs="Times New Roman"/>
                <w:color w:val="000000" w:themeColor="text1"/>
                <w:kern w:val="0"/>
                <w:sz w:val="18"/>
                <w:szCs w:val="18"/>
                <w14:textFill>
                  <w14:solidFill>
                    <w14:schemeClr w14:val="tx1"/>
                  </w14:solidFill>
                </w14:textFill>
              </w:rPr>
              <w:t>100</w:t>
            </w:r>
            <w:r>
              <w:rPr>
                <w:rFonts w:hint="eastAsia" w:ascii="仿宋" w:hAnsi="仿宋" w:eastAsia="仿宋" w:cs="仿宋"/>
                <w:color w:val="000000" w:themeColor="text1"/>
                <w:kern w:val="0"/>
                <w:sz w:val="18"/>
                <w:szCs w:val="18"/>
                <w14:textFill>
                  <w14:solidFill>
                    <w14:schemeClr w14:val="tx1"/>
                  </w14:solidFill>
                </w14:textFill>
              </w:rPr>
              <w:t>%。若群众满意度达到预期目标值则为满分，否则实际满意度每低</w:t>
            </w:r>
            <w:r>
              <w:rPr>
                <w:rFonts w:ascii="Times New Roman" w:hAnsi="Times New Roman" w:eastAsia="仿宋" w:cs="Times New Roman"/>
                <w:color w:val="000000" w:themeColor="text1"/>
                <w:kern w:val="0"/>
                <w:sz w:val="18"/>
                <w:szCs w:val="18"/>
                <w14:textFill>
                  <w14:solidFill>
                    <w14:schemeClr w14:val="tx1"/>
                  </w14:solidFill>
                </w14:textFill>
              </w:rPr>
              <w:t>5</w:t>
            </w:r>
            <w:r>
              <w:rPr>
                <w:rFonts w:hint="eastAsia" w:ascii="仿宋" w:hAnsi="仿宋" w:eastAsia="仿宋" w:cs="仿宋"/>
                <w:color w:val="000000" w:themeColor="text1"/>
                <w:kern w:val="0"/>
                <w:sz w:val="18"/>
                <w:szCs w:val="18"/>
                <w14:textFill>
                  <w14:solidFill>
                    <w14:schemeClr w14:val="tx1"/>
                  </w14:solidFill>
                </w14:textFill>
              </w:rPr>
              <w:t>%，扣</w:t>
            </w:r>
            <w:r>
              <w:rPr>
                <w:rFonts w:ascii="Times New Roman" w:hAnsi="Times New Roman" w:eastAsia="仿宋" w:cs="Times New Roman"/>
                <w:color w:val="000000" w:themeColor="text1"/>
                <w:kern w:val="0"/>
                <w:sz w:val="18"/>
                <w:szCs w:val="18"/>
                <w14:textFill>
                  <w14:solidFill>
                    <w14:schemeClr w14:val="tx1"/>
                  </w14:solidFill>
                </w14:textFill>
              </w:rPr>
              <w:t>1</w:t>
            </w:r>
            <w:r>
              <w:rPr>
                <w:rFonts w:hint="eastAsia" w:ascii="仿宋" w:hAnsi="仿宋" w:eastAsia="仿宋" w:cs="仿宋"/>
                <w:color w:val="000000" w:themeColor="text1"/>
                <w:kern w:val="0"/>
                <w:sz w:val="18"/>
                <w:szCs w:val="18"/>
                <w14:textFill>
                  <w14:solidFill>
                    <w14:schemeClr w14:val="tx1"/>
                  </w14:solidFill>
                </w14:textFill>
              </w:rPr>
              <w:t>分，扣完为止。</w:t>
            </w:r>
          </w:p>
        </w:tc>
        <w:tc>
          <w:tcPr>
            <w:tcW w:w="73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5.00</w:t>
            </w:r>
          </w:p>
        </w:tc>
      </w:tr>
      <w:tr>
        <w:tblPrEx>
          <w:tblCellMar>
            <w:top w:w="0" w:type="dxa"/>
            <w:left w:w="108" w:type="dxa"/>
            <w:bottom w:w="0" w:type="dxa"/>
            <w:right w:w="108" w:type="dxa"/>
          </w:tblCellMar>
        </w:tblPrEx>
        <w:trPr>
          <w:trHeight w:val="624" w:hRule="atLeast"/>
        </w:trPr>
        <w:tc>
          <w:tcPr>
            <w:tcW w:w="813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kern w:val="0"/>
                <w:sz w:val="18"/>
                <w:szCs w:val="18"/>
                <w14:textFill>
                  <w14:solidFill>
                    <w14:schemeClr w14:val="tx1"/>
                  </w14:solidFill>
                </w14:textFill>
              </w:rPr>
              <w:t>总分</w:t>
            </w:r>
          </w:p>
        </w:tc>
        <w:tc>
          <w:tcPr>
            <w:tcW w:w="730"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 w:hAnsi="仿宋" w:eastAsia="仿宋" w:cs="仿宋"/>
                <w:color w:val="000000" w:themeColor="text1"/>
                <w:kern w:val="0"/>
                <w:sz w:val="18"/>
                <w:szCs w:val="18"/>
                <w14:textFill>
                  <w14:solidFill>
                    <w14:schemeClr w14:val="tx1"/>
                  </w14:solidFill>
                </w14:textFill>
              </w:rPr>
            </w:pPr>
            <w:r>
              <w:rPr>
                <w:rFonts w:ascii="Times New Roman" w:hAnsi="Times New Roman" w:eastAsia="仿宋" w:cs="Times New Roman"/>
                <w:color w:val="000000" w:themeColor="text1"/>
                <w:kern w:val="0"/>
                <w:sz w:val="18"/>
                <w:szCs w:val="18"/>
                <w14:textFill>
                  <w14:solidFill>
                    <w14:schemeClr w14:val="tx1"/>
                  </w14:solidFill>
                </w14:textFill>
              </w:rPr>
              <w:t>89.06</w:t>
            </w:r>
          </w:p>
        </w:tc>
      </w:tr>
    </w:tbl>
    <w:p>
      <w:pPr>
        <w:rPr>
          <w:rFonts w:ascii="仿宋" w:hAnsi="仿宋" w:eastAsia="仿宋" w:cs="仿宋"/>
          <w:color w:val="000000" w:themeColor="text1"/>
          <w:szCs w:val="28"/>
          <w14:textFill>
            <w14:solidFill>
              <w14:schemeClr w14:val="tx1"/>
            </w14:solidFill>
          </w14:textFill>
        </w:rPr>
      </w:pPr>
    </w:p>
    <w:sectPr>
      <w:footerReference r:id="rId8" w:type="first"/>
      <w:footerReference r:id="rId7" w:type="default"/>
      <w:pgSz w:w="11906" w:h="16838"/>
      <w:pgMar w:top="1440" w:right="1800" w:bottom="1440" w:left="1800" w:header="851" w:footer="992" w:gutter="0"/>
      <w:pgNumType w:start="1"/>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光楷体一_CNKI">
    <w:panose1 w:val="02000500000000000000"/>
    <w:charset w:val="86"/>
    <w:family w:val="auto"/>
    <w:pitch w:val="default"/>
    <w:sig w:usb0="8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65768918"/>
    </w:sdtPr>
    <w:sdtContent>
      <w:p>
        <w:pPr>
          <w:pStyle w:val="8"/>
          <w:jc w:val="center"/>
        </w:pPr>
        <w:r>
          <w:fldChar w:fldCharType="begin"/>
        </w:r>
        <w:r>
          <w:instrText xml:space="preserve">PAGE   \* MERGEFORMAT</w:instrText>
        </w:r>
        <w:r>
          <w:fldChar w:fldCharType="separate"/>
        </w:r>
        <w:r>
          <w:rPr>
            <w:lang w:val="zh-CN"/>
          </w:rPr>
          <w:t>21</w:t>
        </w:r>
        <w:r>
          <w:fldChar w:fldCharType="end"/>
        </w:r>
      </w:p>
    </w:sdtContent>
  </w:sdt>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7314432"/>
    </w:sdtPr>
    <w:sdtContent>
      <w:p>
        <w:pPr>
          <w:pStyle w:val="8"/>
          <w:jc w:val="center"/>
        </w:pPr>
        <w:r>
          <w:fldChar w:fldCharType="begin"/>
        </w:r>
        <w:r>
          <w:instrText xml:space="preserve">PAGE   \* MERGEFORMAT</w:instrText>
        </w:r>
        <w:r>
          <w:fldChar w:fldCharType="separate"/>
        </w:r>
        <w:r>
          <w:rPr>
            <w:lang w:val="zh-CN"/>
          </w:rPr>
          <w:t>1</w:t>
        </w:r>
        <w:r>
          <w:fldChar w:fldCharType="end"/>
        </w:r>
      </w:p>
    </w:sdtContent>
  </w:sdt>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40"/>
  <w:drawingGridVerticalSpacing w:val="381"/>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hNGJiMWVmZTg4ZjFhYWZhYWFiMzBkODkwYWRkZmUifQ=="/>
  </w:docVars>
  <w:rsids>
    <w:rsidRoot w:val="00E56B69"/>
    <w:rsid w:val="00020508"/>
    <w:rsid w:val="00021776"/>
    <w:rsid w:val="00033881"/>
    <w:rsid w:val="00044396"/>
    <w:rsid w:val="00052DF9"/>
    <w:rsid w:val="00055B0B"/>
    <w:rsid w:val="0005631E"/>
    <w:rsid w:val="00064ACB"/>
    <w:rsid w:val="00066C5A"/>
    <w:rsid w:val="00076BF9"/>
    <w:rsid w:val="00085B63"/>
    <w:rsid w:val="00085F38"/>
    <w:rsid w:val="0008628D"/>
    <w:rsid w:val="00090E3C"/>
    <w:rsid w:val="00095A1E"/>
    <w:rsid w:val="000A209A"/>
    <w:rsid w:val="000A67FF"/>
    <w:rsid w:val="000A7849"/>
    <w:rsid w:val="000B3E60"/>
    <w:rsid w:val="000C1A34"/>
    <w:rsid w:val="000C1CD7"/>
    <w:rsid w:val="000C2EE0"/>
    <w:rsid w:val="000C76BF"/>
    <w:rsid w:val="000D2A7E"/>
    <w:rsid w:val="000D4B5D"/>
    <w:rsid w:val="000D5352"/>
    <w:rsid w:val="000D7073"/>
    <w:rsid w:val="000E0002"/>
    <w:rsid w:val="000E0442"/>
    <w:rsid w:val="000E06AD"/>
    <w:rsid w:val="000E2D64"/>
    <w:rsid w:val="000E439E"/>
    <w:rsid w:val="000E4E05"/>
    <w:rsid w:val="001026DA"/>
    <w:rsid w:val="0010340E"/>
    <w:rsid w:val="00107737"/>
    <w:rsid w:val="00107D0B"/>
    <w:rsid w:val="00107D69"/>
    <w:rsid w:val="00111D49"/>
    <w:rsid w:val="00116D11"/>
    <w:rsid w:val="00120F29"/>
    <w:rsid w:val="001237A8"/>
    <w:rsid w:val="0012635A"/>
    <w:rsid w:val="00127779"/>
    <w:rsid w:val="00127D65"/>
    <w:rsid w:val="001304C2"/>
    <w:rsid w:val="00130C43"/>
    <w:rsid w:val="00136B44"/>
    <w:rsid w:val="0013716A"/>
    <w:rsid w:val="0014089A"/>
    <w:rsid w:val="0014107B"/>
    <w:rsid w:val="00152BD3"/>
    <w:rsid w:val="00157CA4"/>
    <w:rsid w:val="00173BEE"/>
    <w:rsid w:val="001815D1"/>
    <w:rsid w:val="00184387"/>
    <w:rsid w:val="00191082"/>
    <w:rsid w:val="001917F0"/>
    <w:rsid w:val="001947E5"/>
    <w:rsid w:val="00194A4C"/>
    <w:rsid w:val="001964E8"/>
    <w:rsid w:val="001C03A7"/>
    <w:rsid w:val="001C28F3"/>
    <w:rsid w:val="001C372C"/>
    <w:rsid w:val="001C3EAF"/>
    <w:rsid w:val="001D1A64"/>
    <w:rsid w:val="001D313F"/>
    <w:rsid w:val="001D59E9"/>
    <w:rsid w:val="001D6115"/>
    <w:rsid w:val="001E728C"/>
    <w:rsid w:val="001E76D5"/>
    <w:rsid w:val="001F2587"/>
    <w:rsid w:val="001F4AFF"/>
    <w:rsid w:val="00211C51"/>
    <w:rsid w:val="00212563"/>
    <w:rsid w:val="00213AC5"/>
    <w:rsid w:val="00221874"/>
    <w:rsid w:val="002310A9"/>
    <w:rsid w:val="00234BC1"/>
    <w:rsid w:val="002364B7"/>
    <w:rsid w:val="002424EE"/>
    <w:rsid w:val="00242EB1"/>
    <w:rsid w:val="00250254"/>
    <w:rsid w:val="002516E3"/>
    <w:rsid w:val="002531EA"/>
    <w:rsid w:val="00255706"/>
    <w:rsid w:val="00255DBE"/>
    <w:rsid w:val="00264262"/>
    <w:rsid w:val="00265542"/>
    <w:rsid w:val="00270211"/>
    <w:rsid w:val="002716C9"/>
    <w:rsid w:val="00276C49"/>
    <w:rsid w:val="002771C2"/>
    <w:rsid w:val="00277363"/>
    <w:rsid w:val="0028115B"/>
    <w:rsid w:val="00285C20"/>
    <w:rsid w:val="0028663B"/>
    <w:rsid w:val="00287F96"/>
    <w:rsid w:val="00291BEC"/>
    <w:rsid w:val="00293483"/>
    <w:rsid w:val="00293792"/>
    <w:rsid w:val="002A0F2E"/>
    <w:rsid w:val="002A108A"/>
    <w:rsid w:val="002A2777"/>
    <w:rsid w:val="002A313F"/>
    <w:rsid w:val="002A504E"/>
    <w:rsid w:val="002A5785"/>
    <w:rsid w:val="002A5B2C"/>
    <w:rsid w:val="002A666E"/>
    <w:rsid w:val="002C29D5"/>
    <w:rsid w:val="002C5905"/>
    <w:rsid w:val="002C681C"/>
    <w:rsid w:val="002C7DAD"/>
    <w:rsid w:val="002D0DE0"/>
    <w:rsid w:val="002E5440"/>
    <w:rsid w:val="002F2111"/>
    <w:rsid w:val="002F34E9"/>
    <w:rsid w:val="002F4E4A"/>
    <w:rsid w:val="002F4FB3"/>
    <w:rsid w:val="0030029A"/>
    <w:rsid w:val="003023FA"/>
    <w:rsid w:val="00303F3B"/>
    <w:rsid w:val="0030479D"/>
    <w:rsid w:val="00304BAB"/>
    <w:rsid w:val="00304D62"/>
    <w:rsid w:val="003051FE"/>
    <w:rsid w:val="0030617A"/>
    <w:rsid w:val="00311149"/>
    <w:rsid w:val="003120F5"/>
    <w:rsid w:val="00313F92"/>
    <w:rsid w:val="00331F28"/>
    <w:rsid w:val="0033362C"/>
    <w:rsid w:val="00333AC3"/>
    <w:rsid w:val="00340259"/>
    <w:rsid w:val="0034522A"/>
    <w:rsid w:val="00346869"/>
    <w:rsid w:val="0035266B"/>
    <w:rsid w:val="00354233"/>
    <w:rsid w:val="00364A33"/>
    <w:rsid w:val="00370B8F"/>
    <w:rsid w:val="003722B3"/>
    <w:rsid w:val="00376628"/>
    <w:rsid w:val="0038014E"/>
    <w:rsid w:val="00380CD3"/>
    <w:rsid w:val="003A150E"/>
    <w:rsid w:val="003A1AB5"/>
    <w:rsid w:val="003B1543"/>
    <w:rsid w:val="003B4C86"/>
    <w:rsid w:val="003C2A22"/>
    <w:rsid w:val="003C3C4F"/>
    <w:rsid w:val="003C55A0"/>
    <w:rsid w:val="003C5662"/>
    <w:rsid w:val="003D1238"/>
    <w:rsid w:val="003E04A5"/>
    <w:rsid w:val="003E75FF"/>
    <w:rsid w:val="003F4D26"/>
    <w:rsid w:val="003F641D"/>
    <w:rsid w:val="00414B38"/>
    <w:rsid w:val="004175D6"/>
    <w:rsid w:val="00417A9D"/>
    <w:rsid w:val="00425407"/>
    <w:rsid w:val="00430C80"/>
    <w:rsid w:val="00434E59"/>
    <w:rsid w:val="00436233"/>
    <w:rsid w:val="0043670D"/>
    <w:rsid w:val="00436C17"/>
    <w:rsid w:val="0044131C"/>
    <w:rsid w:val="004437ED"/>
    <w:rsid w:val="00445133"/>
    <w:rsid w:val="004459B6"/>
    <w:rsid w:val="004501EE"/>
    <w:rsid w:val="004530D5"/>
    <w:rsid w:val="00455977"/>
    <w:rsid w:val="00456516"/>
    <w:rsid w:val="0045725E"/>
    <w:rsid w:val="004667EE"/>
    <w:rsid w:val="00476936"/>
    <w:rsid w:val="0048471F"/>
    <w:rsid w:val="0049254C"/>
    <w:rsid w:val="00492C0D"/>
    <w:rsid w:val="00495696"/>
    <w:rsid w:val="004A1330"/>
    <w:rsid w:val="004A3C45"/>
    <w:rsid w:val="004A4AD3"/>
    <w:rsid w:val="004B311A"/>
    <w:rsid w:val="004B34A6"/>
    <w:rsid w:val="004B4C71"/>
    <w:rsid w:val="004B7F2B"/>
    <w:rsid w:val="004C131E"/>
    <w:rsid w:val="004C33CF"/>
    <w:rsid w:val="004C6335"/>
    <w:rsid w:val="004F0B90"/>
    <w:rsid w:val="004F3AB6"/>
    <w:rsid w:val="004F6B4F"/>
    <w:rsid w:val="0050504C"/>
    <w:rsid w:val="00507322"/>
    <w:rsid w:val="00513CEC"/>
    <w:rsid w:val="005150A7"/>
    <w:rsid w:val="00521BFA"/>
    <w:rsid w:val="00522150"/>
    <w:rsid w:val="00524A6B"/>
    <w:rsid w:val="00525730"/>
    <w:rsid w:val="00527E3B"/>
    <w:rsid w:val="005400D0"/>
    <w:rsid w:val="0054525C"/>
    <w:rsid w:val="005630B2"/>
    <w:rsid w:val="00565639"/>
    <w:rsid w:val="00565FFD"/>
    <w:rsid w:val="00566848"/>
    <w:rsid w:val="00570569"/>
    <w:rsid w:val="00571C2A"/>
    <w:rsid w:val="005836AE"/>
    <w:rsid w:val="0059274A"/>
    <w:rsid w:val="005A0B1E"/>
    <w:rsid w:val="005A2B54"/>
    <w:rsid w:val="005A6628"/>
    <w:rsid w:val="005B4EBA"/>
    <w:rsid w:val="005B70D9"/>
    <w:rsid w:val="005C2E43"/>
    <w:rsid w:val="005C3F93"/>
    <w:rsid w:val="005C640C"/>
    <w:rsid w:val="005E4F9B"/>
    <w:rsid w:val="005F3A7F"/>
    <w:rsid w:val="005F4E85"/>
    <w:rsid w:val="005F6632"/>
    <w:rsid w:val="00606C07"/>
    <w:rsid w:val="00625BA4"/>
    <w:rsid w:val="0063172F"/>
    <w:rsid w:val="00633DFF"/>
    <w:rsid w:val="00634EEA"/>
    <w:rsid w:val="00637C7F"/>
    <w:rsid w:val="00640D2C"/>
    <w:rsid w:val="00642912"/>
    <w:rsid w:val="0064676D"/>
    <w:rsid w:val="00653D1C"/>
    <w:rsid w:val="0065446A"/>
    <w:rsid w:val="00660AFB"/>
    <w:rsid w:val="00664F4D"/>
    <w:rsid w:val="00665F9F"/>
    <w:rsid w:val="006668EB"/>
    <w:rsid w:val="00670930"/>
    <w:rsid w:val="0068432E"/>
    <w:rsid w:val="00685B43"/>
    <w:rsid w:val="00687942"/>
    <w:rsid w:val="006903D5"/>
    <w:rsid w:val="00691A44"/>
    <w:rsid w:val="006963AF"/>
    <w:rsid w:val="006A3874"/>
    <w:rsid w:val="006A56CC"/>
    <w:rsid w:val="006B0F6B"/>
    <w:rsid w:val="006B57BF"/>
    <w:rsid w:val="006B70A8"/>
    <w:rsid w:val="006C0208"/>
    <w:rsid w:val="006C35B6"/>
    <w:rsid w:val="006D0B3A"/>
    <w:rsid w:val="006D2FB0"/>
    <w:rsid w:val="006D4151"/>
    <w:rsid w:val="006D67F5"/>
    <w:rsid w:val="006D6A18"/>
    <w:rsid w:val="006E39B2"/>
    <w:rsid w:val="006E4A6F"/>
    <w:rsid w:val="006E7020"/>
    <w:rsid w:val="006F0653"/>
    <w:rsid w:val="006F25D3"/>
    <w:rsid w:val="006F59AB"/>
    <w:rsid w:val="00712EF6"/>
    <w:rsid w:val="007131C6"/>
    <w:rsid w:val="007366E5"/>
    <w:rsid w:val="00741A85"/>
    <w:rsid w:val="00746E28"/>
    <w:rsid w:val="00764F19"/>
    <w:rsid w:val="007724BE"/>
    <w:rsid w:val="007754A4"/>
    <w:rsid w:val="007826A6"/>
    <w:rsid w:val="0079431E"/>
    <w:rsid w:val="007A3F7E"/>
    <w:rsid w:val="007A609D"/>
    <w:rsid w:val="007A73F1"/>
    <w:rsid w:val="007B2C60"/>
    <w:rsid w:val="007B54F2"/>
    <w:rsid w:val="007B6856"/>
    <w:rsid w:val="007C2126"/>
    <w:rsid w:val="007C35CF"/>
    <w:rsid w:val="007C5611"/>
    <w:rsid w:val="007C66E8"/>
    <w:rsid w:val="007D2E3B"/>
    <w:rsid w:val="007D3FF3"/>
    <w:rsid w:val="007D52FC"/>
    <w:rsid w:val="007E4785"/>
    <w:rsid w:val="00802E27"/>
    <w:rsid w:val="00803716"/>
    <w:rsid w:val="00817246"/>
    <w:rsid w:val="00830C32"/>
    <w:rsid w:val="00831EAA"/>
    <w:rsid w:val="008411A0"/>
    <w:rsid w:val="008428B9"/>
    <w:rsid w:val="00843F18"/>
    <w:rsid w:val="00845B09"/>
    <w:rsid w:val="00846135"/>
    <w:rsid w:val="0085026B"/>
    <w:rsid w:val="00862F4A"/>
    <w:rsid w:val="008671B1"/>
    <w:rsid w:val="008832A4"/>
    <w:rsid w:val="00884D55"/>
    <w:rsid w:val="00892A7E"/>
    <w:rsid w:val="00892BAA"/>
    <w:rsid w:val="00895593"/>
    <w:rsid w:val="008A1744"/>
    <w:rsid w:val="008A1CE9"/>
    <w:rsid w:val="008A5635"/>
    <w:rsid w:val="008A6B58"/>
    <w:rsid w:val="008B33C3"/>
    <w:rsid w:val="008B612F"/>
    <w:rsid w:val="008B7F59"/>
    <w:rsid w:val="008D19C3"/>
    <w:rsid w:val="008D2488"/>
    <w:rsid w:val="008E512D"/>
    <w:rsid w:val="008E719D"/>
    <w:rsid w:val="008E7F3B"/>
    <w:rsid w:val="008F07C8"/>
    <w:rsid w:val="008F26A3"/>
    <w:rsid w:val="00901243"/>
    <w:rsid w:val="00907D28"/>
    <w:rsid w:val="00912A54"/>
    <w:rsid w:val="0091763D"/>
    <w:rsid w:val="00922388"/>
    <w:rsid w:val="0092499D"/>
    <w:rsid w:val="00924A60"/>
    <w:rsid w:val="009377D4"/>
    <w:rsid w:val="00951386"/>
    <w:rsid w:val="00961D94"/>
    <w:rsid w:val="0096746E"/>
    <w:rsid w:val="00967626"/>
    <w:rsid w:val="00970623"/>
    <w:rsid w:val="00970EF5"/>
    <w:rsid w:val="00971529"/>
    <w:rsid w:val="009760BD"/>
    <w:rsid w:val="00976F2D"/>
    <w:rsid w:val="00984988"/>
    <w:rsid w:val="0099095B"/>
    <w:rsid w:val="009927C9"/>
    <w:rsid w:val="00996555"/>
    <w:rsid w:val="009A6362"/>
    <w:rsid w:val="009C7B4B"/>
    <w:rsid w:val="009E06C4"/>
    <w:rsid w:val="009E3CD7"/>
    <w:rsid w:val="009E5694"/>
    <w:rsid w:val="00A028E2"/>
    <w:rsid w:val="00A052FE"/>
    <w:rsid w:val="00A157B6"/>
    <w:rsid w:val="00A209D3"/>
    <w:rsid w:val="00A22AC5"/>
    <w:rsid w:val="00A234C7"/>
    <w:rsid w:val="00A31C31"/>
    <w:rsid w:val="00A34233"/>
    <w:rsid w:val="00A353DE"/>
    <w:rsid w:val="00A3689E"/>
    <w:rsid w:val="00A42041"/>
    <w:rsid w:val="00A46F68"/>
    <w:rsid w:val="00A528B0"/>
    <w:rsid w:val="00A53E3E"/>
    <w:rsid w:val="00A56A60"/>
    <w:rsid w:val="00A57A58"/>
    <w:rsid w:val="00A60158"/>
    <w:rsid w:val="00A62699"/>
    <w:rsid w:val="00A707A3"/>
    <w:rsid w:val="00A7569E"/>
    <w:rsid w:val="00A82A31"/>
    <w:rsid w:val="00AA3084"/>
    <w:rsid w:val="00AA78D2"/>
    <w:rsid w:val="00AB330F"/>
    <w:rsid w:val="00AC0A62"/>
    <w:rsid w:val="00AC7181"/>
    <w:rsid w:val="00AC73BE"/>
    <w:rsid w:val="00AD38DF"/>
    <w:rsid w:val="00AD3B78"/>
    <w:rsid w:val="00AE186B"/>
    <w:rsid w:val="00AE32DD"/>
    <w:rsid w:val="00AE372E"/>
    <w:rsid w:val="00AE62E7"/>
    <w:rsid w:val="00AF3D1C"/>
    <w:rsid w:val="00AF6692"/>
    <w:rsid w:val="00B06D51"/>
    <w:rsid w:val="00B10CE0"/>
    <w:rsid w:val="00B22FDF"/>
    <w:rsid w:val="00B31D5C"/>
    <w:rsid w:val="00B31D82"/>
    <w:rsid w:val="00B362E0"/>
    <w:rsid w:val="00B36D5E"/>
    <w:rsid w:val="00B4457D"/>
    <w:rsid w:val="00B45786"/>
    <w:rsid w:val="00B55201"/>
    <w:rsid w:val="00B55E43"/>
    <w:rsid w:val="00B61018"/>
    <w:rsid w:val="00B7632F"/>
    <w:rsid w:val="00B875BA"/>
    <w:rsid w:val="00B92014"/>
    <w:rsid w:val="00BA5548"/>
    <w:rsid w:val="00BB0289"/>
    <w:rsid w:val="00BB3ADC"/>
    <w:rsid w:val="00BB45D6"/>
    <w:rsid w:val="00BB4887"/>
    <w:rsid w:val="00BB7085"/>
    <w:rsid w:val="00BC0FFA"/>
    <w:rsid w:val="00BC2A9F"/>
    <w:rsid w:val="00BD3973"/>
    <w:rsid w:val="00BE1C37"/>
    <w:rsid w:val="00BE22CB"/>
    <w:rsid w:val="00BF2832"/>
    <w:rsid w:val="00C01F49"/>
    <w:rsid w:val="00C13661"/>
    <w:rsid w:val="00C14256"/>
    <w:rsid w:val="00C30D81"/>
    <w:rsid w:val="00C400F8"/>
    <w:rsid w:val="00C45013"/>
    <w:rsid w:val="00C5262D"/>
    <w:rsid w:val="00C60508"/>
    <w:rsid w:val="00C62C79"/>
    <w:rsid w:val="00C64526"/>
    <w:rsid w:val="00C64BAF"/>
    <w:rsid w:val="00C73BBB"/>
    <w:rsid w:val="00C75161"/>
    <w:rsid w:val="00C82C3C"/>
    <w:rsid w:val="00C9092B"/>
    <w:rsid w:val="00C9724C"/>
    <w:rsid w:val="00CA0E87"/>
    <w:rsid w:val="00CA1EA1"/>
    <w:rsid w:val="00CB4805"/>
    <w:rsid w:val="00CC028F"/>
    <w:rsid w:val="00CC3312"/>
    <w:rsid w:val="00CC5CA3"/>
    <w:rsid w:val="00CD1134"/>
    <w:rsid w:val="00CE173E"/>
    <w:rsid w:val="00CE1833"/>
    <w:rsid w:val="00D04327"/>
    <w:rsid w:val="00D06ECC"/>
    <w:rsid w:val="00D21A56"/>
    <w:rsid w:val="00D22DEC"/>
    <w:rsid w:val="00D22EFC"/>
    <w:rsid w:val="00D44951"/>
    <w:rsid w:val="00D527A1"/>
    <w:rsid w:val="00D61BD0"/>
    <w:rsid w:val="00D6441C"/>
    <w:rsid w:val="00D76BF9"/>
    <w:rsid w:val="00D80A92"/>
    <w:rsid w:val="00D80FF3"/>
    <w:rsid w:val="00D8670A"/>
    <w:rsid w:val="00D900F9"/>
    <w:rsid w:val="00D90F9F"/>
    <w:rsid w:val="00D9577C"/>
    <w:rsid w:val="00D959FB"/>
    <w:rsid w:val="00DA3DBE"/>
    <w:rsid w:val="00DC52F2"/>
    <w:rsid w:val="00DC5AD5"/>
    <w:rsid w:val="00DD207F"/>
    <w:rsid w:val="00DD21C3"/>
    <w:rsid w:val="00DD5837"/>
    <w:rsid w:val="00DD62EF"/>
    <w:rsid w:val="00DD72C2"/>
    <w:rsid w:val="00DE2A04"/>
    <w:rsid w:val="00DE3E33"/>
    <w:rsid w:val="00DF04FC"/>
    <w:rsid w:val="00DF3BEF"/>
    <w:rsid w:val="00E1077D"/>
    <w:rsid w:val="00E20ADC"/>
    <w:rsid w:val="00E22FC0"/>
    <w:rsid w:val="00E2367D"/>
    <w:rsid w:val="00E25161"/>
    <w:rsid w:val="00E30BB6"/>
    <w:rsid w:val="00E3361D"/>
    <w:rsid w:val="00E415D8"/>
    <w:rsid w:val="00E41B6E"/>
    <w:rsid w:val="00E427BE"/>
    <w:rsid w:val="00E5618E"/>
    <w:rsid w:val="00E56B69"/>
    <w:rsid w:val="00E56DB6"/>
    <w:rsid w:val="00E57B02"/>
    <w:rsid w:val="00E67C9E"/>
    <w:rsid w:val="00E768C0"/>
    <w:rsid w:val="00E8300C"/>
    <w:rsid w:val="00E91054"/>
    <w:rsid w:val="00EA37CA"/>
    <w:rsid w:val="00EA4670"/>
    <w:rsid w:val="00EA57E1"/>
    <w:rsid w:val="00EB48FA"/>
    <w:rsid w:val="00EB5751"/>
    <w:rsid w:val="00EC2467"/>
    <w:rsid w:val="00EC41D1"/>
    <w:rsid w:val="00ED12C0"/>
    <w:rsid w:val="00ED2972"/>
    <w:rsid w:val="00ED75FE"/>
    <w:rsid w:val="00EF2014"/>
    <w:rsid w:val="00EF2871"/>
    <w:rsid w:val="00F00027"/>
    <w:rsid w:val="00F04EFA"/>
    <w:rsid w:val="00F163B6"/>
    <w:rsid w:val="00F2668B"/>
    <w:rsid w:val="00F2758B"/>
    <w:rsid w:val="00F30CA9"/>
    <w:rsid w:val="00F3409D"/>
    <w:rsid w:val="00F41E05"/>
    <w:rsid w:val="00F43CF5"/>
    <w:rsid w:val="00F64A29"/>
    <w:rsid w:val="00F66A1F"/>
    <w:rsid w:val="00F71EA7"/>
    <w:rsid w:val="00F74975"/>
    <w:rsid w:val="00F80CF7"/>
    <w:rsid w:val="00F84401"/>
    <w:rsid w:val="00F85933"/>
    <w:rsid w:val="00F8636D"/>
    <w:rsid w:val="00F8765E"/>
    <w:rsid w:val="00FA388D"/>
    <w:rsid w:val="00FA3AA8"/>
    <w:rsid w:val="00FD4128"/>
    <w:rsid w:val="00FD4B76"/>
    <w:rsid w:val="00FD52A1"/>
    <w:rsid w:val="00FD6291"/>
    <w:rsid w:val="00FE43A3"/>
    <w:rsid w:val="00FE7825"/>
    <w:rsid w:val="00FF5474"/>
    <w:rsid w:val="01882199"/>
    <w:rsid w:val="01D554EF"/>
    <w:rsid w:val="01D932CB"/>
    <w:rsid w:val="01E846C8"/>
    <w:rsid w:val="01EF28AE"/>
    <w:rsid w:val="01F34FE3"/>
    <w:rsid w:val="01F42077"/>
    <w:rsid w:val="024863AD"/>
    <w:rsid w:val="02D32DE7"/>
    <w:rsid w:val="02E76AFA"/>
    <w:rsid w:val="038C592B"/>
    <w:rsid w:val="03E00E9B"/>
    <w:rsid w:val="04256D19"/>
    <w:rsid w:val="048501A8"/>
    <w:rsid w:val="049F76D9"/>
    <w:rsid w:val="04BC5B0A"/>
    <w:rsid w:val="050D4849"/>
    <w:rsid w:val="052F374D"/>
    <w:rsid w:val="056F1060"/>
    <w:rsid w:val="058A40EC"/>
    <w:rsid w:val="060D0FFA"/>
    <w:rsid w:val="0697104C"/>
    <w:rsid w:val="07130FFD"/>
    <w:rsid w:val="07FE66CB"/>
    <w:rsid w:val="0817739F"/>
    <w:rsid w:val="085F5DFB"/>
    <w:rsid w:val="08974852"/>
    <w:rsid w:val="08A556A9"/>
    <w:rsid w:val="08AD7CC8"/>
    <w:rsid w:val="08D735D1"/>
    <w:rsid w:val="0A670D81"/>
    <w:rsid w:val="0ACB245D"/>
    <w:rsid w:val="0AE4177E"/>
    <w:rsid w:val="0B964496"/>
    <w:rsid w:val="0BB25C80"/>
    <w:rsid w:val="0C0047A7"/>
    <w:rsid w:val="0C556B08"/>
    <w:rsid w:val="0CD43E9E"/>
    <w:rsid w:val="0D057DAC"/>
    <w:rsid w:val="0D102587"/>
    <w:rsid w:val="0D411A5A"/>
    <w:rsid w:val="0D454F7F"/>
    <w:rsid w:val="0DF854BB"/>
    <w:rsid w:val="0E056A05"/>
    <w:rsid w:val="0E0A5EB0"/>
    <w:rsid w:val="0E341081"/>
    <w:rsid w:val="0E7E6D1D"/>
    <w:rsid w:val="0E9C279A"/>
    <w:rsid w:val="0EC046DA"/>
    <w:rsid w:val="0ED87C76"/>
    <w:rsid w:val="0F0C6664"/>
    <w:rsid w:val="0F345751"/>
    <w:rsid w:val="107D4A05"/>
    <w:rsid w:val="10D02A15"/>
    <w:rsid w:val="11AE5258"/>
    <w:rsid w:val="12307395"/>
    <w:rsid w:val="129B1117"/>
    <w:rsid w:val="12F37CE0"/>
    <w:rsid w:val="130370E1"/>
    <w:rsid w:val="13996F24"/>
    <w:rsid w:val="143737C1"/>
    <w:rsid w:val="144C3F8A"/>
    <w:rsid w:val="147F143B"/>
    <w:rsid w:val="152754B3"/>
    <w:rsid w:val="15EB75CA"/>
    <w:rsid w:val="166A1DF6"/>
    <w:rsid w:val="166D56AE"/>
    <w:rsid w:val="17DB5651"/>
    <w:rsid w:val="17E70799"/>
    <w:rsid w:val="17EA128B"/>
    <w:rsid w:val="187E393A"/>
    <w:rsid w:val="188F4985"/>
    <w:rsid w:val="188F7569"/>
    <w:rsid w:val="18DA0A8E"/>
    <w:rsid w:val="18E07808"/>
    <w:rsid w:val="18E953D3"/>
    <w:rsid w:val="1932039D"/>
    <w:rsid w:val="198C409D"/>
    <w:rsid w:val="1A0B0BC8"/>
    <w:rsid w:val="1A6F11DE"/>
    <w:rsid w:val="1A89451A"/>
    <w:rsid w:val="1B326960"/>
    <w:rsid w:val="1B6C3FA8"/>
    <w:rsid w:val="1BED7449"/>
    <w:rsid w:val="1BF55316"/>
    <w:rsid w:val="1CFC273E"/>
    <w:rsid w:val="1D0E58A4"/>
    <w:rsid w:val="1D0E6F59"/>
    <w:rsid w:val="1D236A9A"/>
    <w:rsid w:val="1D5A2F00"/>
    <w:rsid w:val="1D9E208B"/>
    <w:rsid w:val="1DCD471E"/>
    <w:rsid w:val="1E73105C"/>
    <w:rsid w:val="1E962530"/>
    <w:rsid w:val="1EF67CA4"/>
    <w:rsid w:val="1F7D0EBD"/>
    <w:rsid w:val="1F854FEF"/>
    <w:rsid w:val="1FB84357"/>
    <w:rsid w:val="1FD7077A"/>
    <w:rsid w:val="200202C2"/>
    <w:rsid w:val="20300125"/>
    <w:rsid w:val="20714F95"/>
    <w:rsid w:val="20827A42"/>
    <w:rsid w:val="20F84B49"/>
    <w:rsid w:val="21C11068"/>
    <w:rsid w:val="2224686B"/>
    <w:rsid w:val="23643446"/>
    <w:rsid w:val="24120CAE"/>
    <w:rsid w:val="24B91EA0"/>
    <w:rsid w:val="24EC0A37"/>
    <w:rsid w:val="259017FA"/>
    <w:rsid w:val="25FF7D86"/>
    <w:rsid w:val="26E256DE"/>
    <w:rsid w:val="2729330D"/>
    <w:rsid w:val="272F610E"/>
    <w:rsid w:val="274C065F"/>
    <w:rsid w:val="27765E26"/>
    <w:rsid w:val="27F97F89"/>
    <w:rsid w:val="28B84A6F"/>
    <w:rsid w:val="290D6316"/>
    <w:rsid w:val="2984158E"/>
    <w:rsid w:val="29EE476C"/>
    <w:rsid w:val="29EE6B87"/>
    <w:rsid w:val="2ABE312B"/>
    <w:rsid w:val="2B342280"/>
    <w:rsid w:val="2BB14716"/>
    <w:rsid w:val="2CA60F5C"/>
    <w:rsid w:val="2CB12210"/>
    <w:rsid w:val="2CB7681F"/>
    <w:rsid w:val="2CEB3175"/>
    <w:rsid w:val="2D6137AA"/>
    <w:rsid w:val="2DBC613D"/>
    <w:rsid w:val="2E8B665B"/>
    <w:rsid w:val="2E8E5FA8"/>
    <w:rsid w:val="2E9A328C"/>
    <w:rsid w:val="2ED173BC"/>
    <w:rsid w:val="2F3B6E03"/>
    <w:rsid w:val="2FAE7E6A"/>
    <w:rsid w:val="2FEE50F3"/>
    <w:rsid w:val="2FF02266"/>
    <w:rsid w:val="30572E0F"/>
    <w:rsid w:val="30D82DF0"/>
    <w:rsid w:val="30D836AE"/>
    <w:rsid w:val="315C1650"/>
    <w:rsid w:val="3179439F"/>
    <w:rsid w:val="320C360F"/>
    <w:rsid w:val="32B45A43"/>
    <w:rsid w:val="32D33B28"/>
    <w:rsid w:val="32E2270E"/>
    <w:rsid w:val="33A214FD"/>
    <w:rsid w:val="33C95970"/>
    <w:rsid w:val="34024C47"/>
    <w:rsid w:val="344B4626"/>
    <w:rsid w:val="348C5084"/>
    <w:rsid w:val="34CF1173"/>
    <w:rsid w:val="353F67F6"/>
    <w:rsid w:val="357C355E"/>
    <w:rsid w:val="35864B9B"/>
    <w:rsid w:val="35F91D3B"/>
    <w:rsid w:val="360200C3"/>
    <w:rsid w:val="36D3294D"/>
    <w:rsid w:val="37003A76"/>
    <w:rsid w:val="371346D6"/>
    <w:rsid w:val="3764387C"/>
    <w:rsid w:val="37D31FF8"/>
    <w:rsid w:val="38AC68B7"/>
    <w:rsid w:val="38AF1F94"/>
    <w:rsid w:val="394B020D"/>
    <w:rsid w:val="39E368EB"/>
    <w:rsid w:val="3A3328EA"/>
    <w:rsid w:val="3AFF386C"/>
    <w:rsid w:val="3B102067"/>
    <w:rsid w:val="3B3232CB"/>
    <w:rsid w:val="3B600A24"/>
    <w:rsid w:val="3B741571"/>
    <w:rsid w:val="3BC9468F"/>
    <w:rsid w:val="3C2E33DE"/>
    <w:rsid w:val="3C460065"/>
    <w:rsid w:val="3C7E335B"/>
    <w:rsid w:val="3C8A61A4"/>
    <w:rsid w:val="3CB04C67"/>
    <w:rsid w:val="3D3D742D"/>
    <w:rsid w:val="3D3E3B8E"/>
    <w:rsid w:val="3D70539A"/>
    <w:rsid w:val="3D77225E"/>
    <w:rsid w:val="3DA140FE"/>
    <w:rsid w:val="3DD261E8"/>
    <w:rsid w:val="3E6765C7"/>
    <w:rsid w:val="3ED454B1"/>
    <w:rsid w:val="3F355F88"/>
    <w:rsid w:val="3F9463BE"/>
    <w:rsid w:val="40B550F7"/>
    <w:rsid w:val="40CA0C23"/>
    <w:rsid w:val="410F4ECA"/>
    <w:rsid w:val="41751967"/>
    <w:rsid w:val="41CD7AB3"/>
    <w:rsid w:val="421317D8"/>
    <w:rsid w:val="421378DF"/>
    <w:rsid w:val="422B5D33"/>
    <w:rsid w:val="42A836B8"/>
    <w:rsid w:val="43370BFA"/>
    <w:rsid w:val="43B655E7"/>
    <w:rsid w:val="443F1622"/>
    <w:rsid w:val="45282E1E"/>
    <w:rsid w:val="45B901E8"/>
    <w:rsid w:val="463B28A6"/>
    <w:rsid w:val="464E104B"/>
    <w:rsid w:val="465F5FAB"/>
    <w:rsid w:val="472D7B19"/>
    <w:rsid w:val="47362C7B"/>
    <w:rsid w:val="474E1DD8"/>
    <w:rsid w:val="476E0442"/>
    <w:rsid w:val="47E86474"/>
    <w:rsid w:val="492D05E3"/>
    <w:rsid w:val="4937176F"/>
    <w:rsid w:val="497F65FC"/>
    <w:rsid w:val="49C600F0"/>
    <w:rsid w:val="49C63A53"/>
    <w:rsid w:val="4A4F13FD"/>
    <w:rsid w:val="4A5B2D63"/>
    <w:rsid w:val="4A7E25C6"/>
    <w:rsid w:val="4AD10B1F"/>
    <w:rsid w:val="4B0B3D86"/>
    <w:rsid w:val="4B2E6231"/>
    <w:rsid w:val="4B5A38D6"/>
    <w:rsid w:val="4BC87549"/>
    <w:rsid w:val="4BD440C5"/>
    <w:rsid w:val="4BE56F53"/>
    <w:rsid w:val="4C34368B"/>
    <w:rsid w:val="4CA73A23"/>
    <w:rsid w:val="4D842041"/>
    <w:rsid w:val="4D94650D"/>
    <w:rsid w:val="4DDC04DD"/>
    <w:rsid w:val="4E0A2181"/>
    <w:rsid w:val="4E3008AC"/>
    <w:rsid w:val="4E4A05B2"/>
    <w:rsid w:val="4E791BD4"/>
    <w:rsid w:val="4E7A247F"/>
    <w:rsid w:val="4EAE6C7A"/>
    <w:rsid w:val="4EBF2F61"/>
    <w:rsid w:val="4EE334F2"/>
    <w:rsid w:val="4F3021F5"/>
    <w:rsid w:val="4FC53D74"/>
    <w:rsid w:val="4FDA7746"/>
    <w:rsid w:val="4FF463F7"/>
    <w:rsid w:val="50841798"/>
    <w:rsid w:val="50A849F3"/>
    <w:rsid w:val="50E023DF"/>
    <w:rsid w:val="516E10C0"/>
    <w:rsid w:val="52156097"/>
    <w:rsid w:val="535B568F"/>
    <w:rsid w:val="54547BF4"/>
    <w:rsid w:val="54826E70"/>
    <w:rsid w:val="5536114B"/>
    <w:rsid w:val="558A03CC"/>
    <w:rsid w:val="55A57293"/>
    <w:rsid w:val="55AF412E"/>
    <w:rsid w:val="55B14516"/>
    <w:rsid w:val="55D342C0"/>
    <w:rsid w:val="55D957DE"/>
    <w:rsid w:val="56AB6026"/>
    <w:rsid w:val="56C44148"/>
    <w:rsid w:val="56E60E63"/>
    <w:rsid w:val="571E0943"/>
    <w:rsid w:val="57A95713"/>
    <w:rsid w:val="58A73909"/>
    <w:rsid w:val="58CD4FF7"/>
    <w:rsid w:val="59461716"/>
    <w:rsid w:val="5975743C"/>
    <w:rsid w:val="59A80F61"/>
    <w:rsid w:val="59ED3476"/>
    <w:rsid w:val="5A9B3C8B"/>
    <w:rsid w:val="5ABF6042"/>
    <w:rsid w:val="5B980AB7"/>
    <w:rsid w:val="5BED535D"/>
    <w:rsid w:val="5BFE7A6D"/>
    <w:rsid w:val="5C2054FC"/>
    <w:rsid w:val="5C4B68C0"/>
    <w:rsid w:val="5C6F6CD7"/>
    <w:rsid w:val="5C7533A1"/>
    <w:rsid w:val="5CCE08FE"/>
    <w:rsid w:val="5CF33FBE"/>
    <w:rsid w:val="5D8F138D"/>
    <w:rsid w:val="5DCC5C5F"/>
    <w:rsid w:val="5DDB1709"/>
    <w:rsid w:val="5DFE30F3"/>
    <w:rsid w:val="5E08087F"/>
    <w:rsid w:val="5E297E46"/>
    <w:rsid w:val="5E7303EE"/>
    <w:rsid w:val="5E73058A"/>
    <w:rsid w:val="5E8D1493"/>
    <w:rsid w:val="5EC12636"/>
    <w:rsid w:val="5EEC01A1"/>
    <w:rsid w:val="5F2E653A"/>
    <w:rsid w:val="5F9A7BFD"/>
    <w:rsid w:val="5FB22DDB"/>
    <w:rsid w:val="604044E3"/>
    <w:rsid w:val="60CA62C0"/>
    <w:rsid w:val="614A0A94"/>
    <w:rsid w:val="619F14FA"/>
    <w:rsid w:val="625B3673"/>
    <w:rsid w:val="628E1C9B"/>
    <w:rsid w:val="62C50A91"/>
    <w:rsid w:val="62F83483"/>
    <w:rsid w:val="639B1A12"/>
    <w:rsid w:val="64115A26"/>
    <w:rsid w:val="64BD6867"/>
    <w:rsid w:val="64D92F75"/>
    <w:rsid w:val="64E85052"/>
    <w:rsid w:val="64F67D62"/>
    <w:rsid w:val="652819AC"/>
    <w:rsid w:val="659761AC"/>
    <w:rsid w:val="65C65562"/>
    <w:rsid w:val="662F301D"/>
    <w:rsid w:val="669D187C"/>
    <w:rsid w:val="66CA34BB"/>
    <w:rsid w:val="66CC16C3"/>
    <w:rsid w:val="66FE6CC3"/>
    <w:rsid w:val="6708083C"/>
    <w:rsid w:val="674961A2"/>
    <w:rsid w:val="67FF7197"/>
    <w:rsid w:val="682F08AB"/>
    <w:rsid w:val="6846773F"/>
    <w:rsid w:val="684D4B72"/>
    <w:rsid w:val="68B00491"/>
    <w:rsid w:val="68DE0B5A"/>
    <w:rsid w:val="68E81DAA"/>
    <w:rsid w:val="68F424EA"/>
    <w:rsid w:val="69140A20"/>
    <w:rsid w:val="69CC6C63"/>
    <w:rsid w:val="6A270980"/>
    <w:rsid w:val="6A3606BE"/>
    <w:rsid w:val="6A7610D1"/>
    <w:rsid w:val="6B2E0CE7"/>
    <w:rsid w:val="6C5E3E52"/>
    <w:rsid w:val="6C645930"/>
    <w:rsid w:val="6CD75DB0"/>
    <w:rsid w:val="6CFC0D94"/>
    <w:rsid w:val="6D0D3798"/>
    <w:rsid w:val="6D175C8A"/>
    <w:rsid w:val="6D3E09C3"/>
    <w:rsid w:val="6DAE26BA"/>
    <w:rsid w:val="6E7C3F25"/>
    <w:rsid w:val="6EB15216"/>
    <w:rsid w:val="6EB32A89"/>
    <w:rsid w:val="6F0037B0"/>
    <w:rsid w:val="6F36229B"/>
    <w:rsid w:val="6F4611A4"/>
    <w:rsid w:val="6F9873B7"/>
    <w:rsid w:val="6F9B77A5"/>
    <w:rsid w:val="6FB34D01"/>
    <w:rsid w:val="6FB705FD"/>
    <w:rsid w:val="709F1517"/>
    <w:rsid w:val="70E71A4D"/>
    <w:rsid w:val="711D41EA"/>
    <w:rsid w:val="71934D1E"/>
    <w:rsid w:val="71A74D85"/>
    <w:rsid w:val="71CD386B"/>
    <w:rsid w:val="72F00647"/>
    <w:rsid w:val="7312197C"/>
    <w:rsid w:val="73146EFC"/>
    <w:rsid w:val="7418787F"/>
    <w:rsid w:val="741F316F"/>
    <w:rsid w:val="74AC74C3"/>
    <w:rsid w:val="74B65081"/>
    <w:rsid w:val="74EF6C3C"/>
    <w:rsid w:val="757C3BD5"/>
    <w:rsid w:val="75EB2B08"/>
    <w:rsid w:val="75F31625"/>
    <w:rsid w:val="767E397C"/>
    <w:rsid w:val="76BF12EE"/>
    <w:rsid w:val="773847E1"/>
    <w:rsid w:val="7796093B"/>
    <w:rsid w:val="78450BF6"/>
    <w:rsid w:val="78AF60E4"/>
    <w:rsid w:val="78E51ABC"/>
    <w:rsid w:val="78EF655D"/>
    <w:rsid w:val="79A4194C"/>
    <w:rsid w:val="79AD57E2"/>
    <w:rsid w:val="7A490F70"/>
    <w:rsid w:val="7A593ECA"/>
    <w:rsid w:val="7ACF0201"/>
    <w:rsid w:val="7AEC4837"/>
    <w:rsid w:val="7B506A29"/>
    <w:rsid w:val="7B6F7850"/>
    <w:rsid w:val="7B7535A0"/>
    <w:rsid w:val="7BA9149B"/>
    <w:rsid w:val="7BC10593"/>
    <w:rsid w:val="7BCC510C"/>
    <w:rsid w:val="7C492337"/>
    <w:rsid w:val="7CBC6344"/>
    <w:rsid w:val="7CE4572D"/>
    <w:rsid w:val="7CFB5D27"/>
    <w:rsid w:val="7D315C44"/>
    <w:rsid w:val="7E5E733A"/>
    <w:rsid w:val="7F4A4E92"/>
    <w:rsid w:val="7FA001D2"/>
    <w:rsid w:val="7FAD289B"/>
    <w:rsid w:val="7FEC3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eastAsia="宋体" w:asciiTheme="minorHAnsi" w:hAnsiTheme="minorHAnsi" w:cstheme="minorBidi"/>
      <w:kern w:val="2"/>
      <w:sz w:val="28"/>
      <w:szCs w:val="24"/>
      <w:lang w:val="en-US" w:eastAsia="zh-CN" w:bidi="ar-SA"/>
    </w:rPr>
  </w:style>
  <w:style w:type="character" w:default="1" w:styleId="16">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spacing w:line="240" w:lineRule="atLeast"/>
      <w:ind w:firstLine="420"/>
    </w:pPr>
    <w:rPr>
      <w:rFonts w:ascii="Verdana" w:hAnsi="Verdana" w:eastAsia="仿宋_GB2312" w:cs="宋体"/>
      <w:sz w:val="32"/>
      <w:szCs w:val="32"/>
    </w:rPr>
  </w:style>
  <w:style w:type="paragraph" w:styleId="3">
    <w:name w:val="Body Text"/>
    <w:basedOn w:val="1"/>
    <w:link w:val="25"/>
    <w:autoRedefine/>
    <w:semiHidden/>
    <w:unhideWhenUsed/>
    <w:qFormat/>
    <w:uiPriority w:val="99"/>
    <w:pPr>
      <w:spacing w:after="120"/>
    </w:pPr>
  </w:style>
  <w:style w:type="paragraph" w:styleId="4">
    <w:name w:val="Body Text Indent"/>
    <w:basedOn w:val="1"/>
    <w:link w:val="23"/>
    <w:autoRedefine/>
    <w:semiHidden/>
    <w:unhideWhenUsed/>
    <w:qFormat/>
    <w:uiPriority w:val="99"/>
    <w:pPr>
      <w:spacing w:after="120"/>
      <w:ind w:left="420" w:leftChars="200"/>
    </w:pPr>
  </w:style>
  <w:style w:type="paragraph" w:styleId="5">
    <w:name w:val="toc 3"/>
    <w:basedOn w:val="1"/>
    <w:next w:val="1"/>
    <w:autoRedefine/>
    <w:unhideWhenUsed/>
    <w:qFormat/>
    <w:uiPriority w:val="39"/>
    <w:pPr>
      <w:ind w:left="840" w:leftChars="400"/>
    </w:pPr>
  </w:style>
  <w:style w:type="paragraph" w:styleId="6">
    <w:name w:val="Date"/>
    <w:basedOn w:val="1"/>
    <w:next w:val="1"/>
    <w:link w:val="30"/>
    <w:autoRedefine/>
    <w:semiHidden/>
    <w:unhideWhenUsed/>
    <w:qFormat/>
    <w:uiPriority w:val="99"/>
    <w:pPr>
      <w:ind w:left="100" w:leftChars="2500"/>
    </w:pPr>
  </w:style>
  <w:style w:type="paragraph" w:styleId="7">
    <w:name w:val="Balloon Text"/>
    <w:basedOn w:val="1"/>
    <w:link w:val="20"/>
    <w:autoRedefine/>
    <w:semiHidden/>
    <w:unhideWhenUsed/>
    <w:qFormat/>
    <w:uiPriority w:val="99"/>
    <w:pPr>
      <w:spacing w:line="240" w:lineRule="auto"/>
    </w:pPr>
    <w:rPr>
      <w:sz w:val="18"/>
      <w:szCs w:val="18"/>
    </w:rPr>
  </w:style>
  <w:style w:type="paragraph" w:styleId="8">
    <w:name w:val="footer"/>
    <w:basedOn w:val="1"/>
    <w:link w:val="22"/>
    <w:autoRedefine/>
    <w:unhideWhenUsed/>
    <w:qFormat/>
    <w:uiPriority w:val="99"/>
    <w:pPr>
      <w:tabs>
        <w:tab w:val="center" w:pos="4153"/>
        <w:tab w:val="right" w:pos="8306"/>
      </w:tabs>
      <w:snapToGrid w:val="0"/>
      <w:spacing w:line="240" w:lineRule="auto"/>
      <w:jc w:val="left"/>
    </w:pPr>
    <w:rPr>
      <w:sz w:val="18"/>
      <w:szCs w:val="18"/>
    </w:rPr>
  </w:style>
  <w:style w:type="paragraph" w:styleId="9">
    <w:name w:val="header"/>
    <w:basedOn w:val="1"/>
    <w:link w:val="21"/>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0">
    <w:name w:val="toc 1"/>
    <w:basedOn w:val="1"/>
    <w:next w:val="1"/>
    <w:autoRedefine/>
    <w:unhideWhenUsed/>
    <w:qFormat/>
    <w:uiPriority w:val="39"/>
  </w:style>
  <w:style w:type="paragraph" w:styleId="11">
    <w:name w:val="toc 2"/>
    <w:basedOn w:val="1"/>
    <w:next w:val="1"/>
    <w:autoRedefine/>
    <w:unhideWhenUsed/>
    <w:qFormat/>
    <w:uiPriority w:val="39"/>
    <w:pPr>
      <w:ind w:left="420" w:leftChars="200"/>
    </w:pPr>
  </w:style>
  <w:style w:type="paragraph" w:styleId="12">
    <w:name w:val="Body Text First Indent 2"/>
    <w:basedOn w:val="3"/>
    <w:next w:val="1"/>
    <w:link w:val="24"/>
    <w:autoRedefine/>
    <w:qFormat/>
    <w:uiPriority w:val="0"/>
    <w:pPr>
      <w:spacing w:line="600" w:lineRule="exact"/>
      <w:ind w:firstLine="420" w:firstLineChars="200"/>
    </w:pPr>
    <w:rPr>
      <w:rFonts w:eastAsia="仿宋_GB2312"/>
      <w:sz w:val="21"/>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
    <w:name w:val="Light Shading"/>
    <w:basedOn w:val="13"/>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character" w:styleId="17">
    <w:name w:val="Emphasis"/>
    <w:basedOn w:val="16"/>
    <w:autoRedefine/>
    <w:qFormat/>
    <w:uiPriority w:val="20"/>
    <w:rPr>
      <w:i/>
    </w:rPr>
  </w:style>
  <w:style w:type="character" w:styleId="18">
    <w:name w:val="Hyperlink"/>
    <w:basedOn w:val="16"/>
    <w:autoRedefine/>
    <w:unhideWhenUsed/>
    <w:qFormat/>
    <w:uiPriority w:val="99"/>
    <w:rPr>
      <w:color w:val="0000FF" w:themeColor="hyperlink"/>
      <w:u w:val="single"/>
      <w14:textFill>
        <w14:solidFill>
          <w14:schemeClr w14:val="hlink"/>
        </w14:solidFill>
      </w14:textFill>
    </w:rPr>
  </w:style>
  <w:style w:type="paragraph" w:styleId="19">
    <w:name w:val="List Paragraph"/>
    <w:basedOn w:val="1"/>
    <w:autoRedefine/>
    <w:qFormat/>
    <w:uiPriority w:val="34"/>
    <w:pPr>
      <w:ind w:firstLine="420" w:firstLineChars="200"/>
    </w:pPr>
  </w:style>
  <w:style w:type="character" w:customStyle="1" w:styleId="20">
    <w:name w:val="批注框文本 Char"/>
    <w:basedOn w:val="16"/>
    <w:link w:val="7"/>
    <w:autoRedefine/>
    <w:semiHidden/>
    <w:qFormat/>
    <w:uiPriority w:val="99"/>
    <w:rPr>
      <w:rFonts w:eastAsia="宋体"/>
      <w:sz w:val="18"/>
      <w:szCs w:val="18"/>
    </w:rPr>
  </w:style>
  <w:style w:type="character" w:customStyle="1" w:styleId="21">
    <w:name w:val="页眉 Char"/>
    <w:basedOn w:val="16"/>
    <w:link w:val="9"/>
    <w:autoRedefine/>
    <w:qFormat/>
    <w:uiPriority w:val="99"/>
    <w:rPr>
      <w:rFonts w:eastAsia="宋体"/>
      <w:sz w:val="18"/>
      <w:szCs w:val="18"/>
    </w:rPr>
  </w:style>
  <w:style w:type="character" w:customStyle="1" w:styleId="22">
    <w:name w:val="页脚 Char"/>
    <w:basedOn w:val="16"/>
    <w:link w:val="8"/>
    <w:autoRedefine/>
    <w:qFormat/>
    <w:uiPriority w:val="99"/>
    <w:rPr>
      <w:rFonts w:eastAsia="宋体"/>
      <w:sz w:val="18"/>
      <w:szCs w:val="18"/>
    </w:rPr>
  </w:style>
  <w:style w:type="character" w:customStyle="1" w:styleId="23">
    <w:name w:val="正文文本缩进 Char"/>
    <w:basedOn w:val="16"/>
    <w:link w:val="4"/>
    <w:autoRedefine/>
    <w:semiHidden/>
    <w:qFormat/>
    <w:uiPriority w:val="99"/>
    <w:rPr>
      <w:rFonts w:eastAsia="宋体"/>
      <w:sz w:val="28"/>
      <w:szCs w:val="24"/>
    </w:rPr>
  </w:style>
  <w:style w:type="character" w:customStyle="1" w:styleId="24">
    <w:name w:val="正文首行缩进 2 Char"/>
    <w:basedOn w:val="23"/>
    <w:link w:val="12"/>
    <w:autoRedefine/>
    <w:qFormat/>
    <w:uiPriority w:val="0"/>
    <w:rPr>
      <w:rFonts w:eastAsia="仿宋_GB2312"/>
      <w:sz w:val="28"/>
      <w:szCs w:val="24"/>
    </w:rPr>
  </w:style>
  <w:style w:type="character" w:customStyle="1" w:styleId="25">
    <w:name w:val="正文文本 Char"/>
    <w:basedOn w:val="16"/>
    <w:link w:val="3"/>
    <w:autoRedefine/>
    <w:semiHidden/>
    <w:qFormat/>
    <w:uiPriority w:val="99"/>
    <w:rPr>
      <w:rFonts w:eastAsia="宋体"/>
      <w:sz w:val="28"/>
      <w:szCs w:val="24"/>
    </w:rPr>
  </w:style>
  <w:style w:type="paragraph" w:customStyle="1" w:styleId="26">
    <w:name w:val="WPSOffice手动目录 1"/>
    <w:autoRedefine/>
    <w:qFormat/>
    <w:uiPriority w:val="0"/>
    <w:rPr>
      <w:rFonts w:ascii="Times New Roman" w:hAnsi="Times New Roman" w:eastAsia="宋体" w:cs="Times New Roman"/>
      <w:lang w:val="en-US" w:eastAsia="zh-CN" w:bidi="ar-SA"/>
    </w:rPr>
  </w:style>
  <w:style w:type="paragraph" w:customStyle="1" w:styleId="27">
    <w:name w:val="WPSOffice手动目录 2"/>
    <w:autoRedefine/>
    <w:qFormat/>
    <w:uiPriority w:val="0"/>
    <w:pPr>
      <w:ind w:left="200" w:leftChars="200"/>
    </w:pPr>
    <w:rPr>
      <w:rFonts w:ascii="Times New Roman" w:hAnsi="Times New Roman" w:eastAsia="宋体" w:cs="Times New Roman"/>
      <w:lang w:val="en-US" w:eastAsia="zh-CN" w:bidi="ar-SA"/>
    </w:rPr>
  </w:style>
  <w:style w:type="character" w:customStyle="1" w:styleId="28">
    <w:name w:val="font21"/>
    <w:basedOn w:val="16"/>
    <w:autoRedefine/>
    <w:qFormat/>
    <w:uiPriority w:val="0"/>
    <w:rPr>
      <w:rFonts w:hint="eastAsia" w:ascii="楷体" w:hAnsi="楷体" w:eastAsia="楷体" w:cs="楷体"/>
      <w:color w:val="333333"/>
      <w:sz w:val="18"/>
      <w:szCs w:val="18"/>
      <w:u w:val="none"/>
    </w:rPr>
  </w:style>
  <w:style w:type="paragraph" w:customStyle="1" w:styleId="29">
    <w:name w:val="修订1"/>
    <w:autoRedefine/>
    <w:hidden/>
    <w:unhideWhenUsed/>
    <w:qFormat/>
    <w:uiPriority w:val="99"/>
    <w:rPr>
      <w:rFonts w:eastAsia="宋体" w:asciiTheme="minorHAnsi" w:hAnsiTheme="minorHAnsi" w:cstheme="minorBidi"/>
      <w:kern w:val="2"/>
      <w:sz w:val="28"/>
      <w:szCs w:val="24"/>
      <w:lang w:val="en-US" w:eastAsia="zh-CN" w:bidi="ar-SA"/>
    </w:rPr>
  </w:style>
  <w:style w:type="character" w:customStyle="1" w:styleId="30">
    <w:name w:val="日期 Char"/>
    <w:basedOn w:val="16"/>
    <w:link w:val="6"/>
    <w:autoRedefine/>
    <w:semiHidden/>
    <w:qFormat/>
    <w:uiPriority w:val="99"/>
    <w:rPr>
      <w:rFonts w:asciiTheme="minorHAnsi" w:hAnsiTheme="minorHAnsi" w:cstheme="minorBidi"/>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9096B7-9ED5-4A12-BC4F-00A9EF52AA0F}">
  <ds:schemaRefs/>
</ds:datastoreItem>
</file>

<file path=docProps/app.xml><?xml version="1.0" encoding="utf-8"?>
<Properties xmlns="http://schemas.openxmlformats.org/officeDocument/2006/extended-properties" xmlns:vt="http://schemas.openxmlformats.org/officeDocument/2006/docPropsVTypes">
  <Template>Normal.dotm</Template>
  <Pages>34</Pages>
  <Words>2687</Words>
  <Characters>15316</Characters>
  <Lines>127</Lines>
  <Paragraphs>35</Paragraphs>
  <TotalTime>0</TotalTime>
  <ScaleCrop>false</ScaleCrop>
  <LinksUpToDate>false</LinksUpToDate>
  <CharactersWithSpaces>17968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2024-01-28T03:21:00Z</dcterms:created>
  <dc:creator>Windows 用户</dc:creator>
  <cp:lastModifiedBy>七十八</cp:lastModifiedBy>
  <dcterms:modified xsi:type="dcterms:W3CDTF">2024-02-07T14:20:31Z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98C8AEF3DEFB4D89B20E2EB6311C57E9_13</vt:lpwstr>
  </property>
</Properties>
</file>