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行政处罚决定书</w:t>
      </w: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惠市监罚〔</w:t>
      </w:r>
      <w:r>
        <w:rPr>
          <w:rFonts w:hint="eastAsia" w:ascii="仿宋_GB2312" w:hAnsi="仿宋_GB2312" w:eastAsia="仿宋_GB2312" w:cs="仿宋_GB2312"/>
          <w:color w:val="auto"/>
          <w:spacing w:val="0"/>
          <w:sz w:val="32"/>
          <w:szCs w:val="32"/>
          <w:lang w:val="en-US" w:eastAsia="zh-CN"/>
        </w:rPr>
        <w:t>2024</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48</w:t>
      </w:r>
      <w:r>
        <w:rPr>
          <w:rFonts w:hint="eastAsia" w:ascii="仿宋_GB2312" w:hAnsi="仿宋_GB2312" w:eastAsia="仿宋_GB2312" w:cs="仿宋_GB2312"/>
          <w:color w:val="auto"/>
          <w:spacing w:val="0"/>
          <w:sz w:val="32"/>
          <w:szCs w:val="32"/>
          <w:lang w:eastAsia="zh-CN"/>
        </w:rPr>
        <w:t>号</w:t>
      </w:r>
    </w:p>
    <w:p>
      <w:pPr>
        <w:keepNext w:val="0"/>
        <w:keepLines w:val="0"/>
        <w:pageBreakBefore w:val="0"/>
        <w:widowControl/>
        <w:kinsoku w:val="0"/>
        <w:wordWrap w:val="0"/>
        <w:overflowPunct/>
        <w:topLinePunct w:val="0"/>
        <w:autoSpaceDE w:val="0"/>
        <w:autoSpaceDN w:val="0"/>
        <w:bidi w:val="0"/>
        <w:adjustRightInd w:val="0"/>
        <w:snapToGrid w:val="0"/>
        <w:spacing w:before="104" w:line="560" w:lineRule="exact"/>
        <w:ind w:left="34" w:right="17" w:firstLine="34"/>
        <w:textAlignment w:val="baseline"/>
        <w:outlineLvl w:val="9"/>
        <w:rPr>
          <w:rFonts w:hint="eastAsia" w:ascii="仿宋_GB2312" w:hAnsi="仿宋_GB2312" w:eastAsia="仿宋_GB2312" w:cs="仿宋_GB2312"/>
          <w:spacing w:val="0"/>
          <w:sz w:val="32"/>
          <w:szCs w:val="32"/>
          <w:u w:val="none"/>
          <w:lang w:val="en-US" w:eastAsia="zh-CN"/>
        </w:rPr>
      </w:pPr>
      <w:r>
        <w:rPr>
          <w:rFonts w:hint="eastAsia" w:ascii="仿宋_GB2312" w:hAnsi="仿宋_GB2312" w:eastAsia="仿宋_GB2312" w:cs="仿宋_GB2312"/>
          <w:spacing w:val="0"/>
          <w:sz w:val="32"/>
          <w:szCs w:val="32"/>
          <w:u w:val="none"/>
          <w:lang w:val="en-US" w:eastAsia="zh-CN"/>
        </w:rPr>
        <w:t xml:space="preserve">当事人：惠安县张杰龙日杂店 </w:t>
      </w:r>
    </w:p>
    <w:p>
      <w:pPr>
        <w:keepNext w:val="0"/>
        <w:keepLines w:val="0"/>
        <w:pageBreakBefore w:val="0"/>
        <w:widowControl/>
        <w:kinsoku w:val="0"/>
        <w:wordWrap w:val="0"/>
        <w:overflowPunct/>
        <w:topLinePunct w:val="0"/>
        <w:autoSpaceDE w:val="0"/>
        <w:autoSpaceDN w:val="0"/>
        <w:bidi w:val="0"/>
        <w:adjustRightInd w:val="0"/>
        <w:snapToGrid w:val="0"/>
        <w:spacing w:before="104" w:line="560" w:lineRule="exact"/>
        <w:ind w:left="34" w:right="17" w:firstLine="34"/>
        <w:textAlignment w:val="baseline"/>
        <w:outlineLvl w:val="9"/>
        <w:rPr>
          <w:rFonts w:hint="eastAsia" w:ascii="仿宋_GB2312" w:hAnsi="仿宋_GB2312" w:eastAsia="仿宋_GB2312" w:cs="仿宋_GB2312"/>
          <w:spacing w:val="0"/>
          <w:sz w:val="32"/>
          <w:szCs w:val="32"/>
          <w:u w:val="none"/>
          <w:lang w:val="en-US" w:eastAsia="zh-CN"/>
        </w:rPr>
      </w:pPr>
      <w:r>
        <w:rPr>
          <w:rFonts w:hint="eastAsia" w:ascii="仿宋_GB2312" w:hAnsi="仿宋_GB2312" w:eastAsia="仿宋_GB2312" w:cs="仿宋_GB2312"/>
          <w:spacing w:val="0"/>
          <w:sz w:val="32"/>
          <w:szCs w:val="32"/>
          <w:u w:val="none"/>
          <w:lang w:val="en-US" w:eastAsia="zh-CN"/>
        </w:rPr>
        <w:t xml:space="preserve">主体资格证照名称：营业执照     </w:t>
      </w:r>
    </w:p>
    <w:p>
      <w:pPr>
        <w:keepNext w:val="0"/>
        <w:keepLines w:val="0"/>
        <w:pageBreakBefore w:val="0"/>
        <w:widowControl/>
        <w:kinsoku w:val="0"/>
        <w:wordWrap w:val="0"/>
        <w:overflowPunct/>
        <w:topLinePunct w:val="0"/>
        <w:autoSpaceDE w:val="0"/>
        <w:autoSpaceDN w:val="0"/>
        <w:bidi w:val="0"/>
        <w:adjustRightInd w:val="0"/>
        <w:snapToGrid w:val="0"/>
        <w:spacing w:before="104" w:line="560" w:lineRule="exact"/>
        <w:ind w:left="34" w:right="17" w:firstLine="34"/>
        <w:textAlignment w:val="baseline"/>
        <w:outlineLvl w:val="9"/>
        <w:rPr>
          <w:rFonts w:hint="eastAsia" w:ascii="仿宋_GB2312" w:hAnsi="仿宋_GB2312" w:eastAsia="仿宋_GB2312" w:cs="仿宋_GB2312"/>
          <w:spacing w:val="0"/>
          <w:sz w:val="32"/>
          <w:szCs w:val="32"/>
          <w:u w:val="none"/>
          <w:lang w:val="en-US" w:eastAsia="zh-CN"/>
        </w:rPr>
      </w:pPr>
      <w:r>
        <w:rPr>
          <w:rFonts w:hint="eastAsia" w:ascii="仿宋_GB2312" w:hAnsi="仿宋_GB2312" w:eastAsia="仿宋_GB2312" w:cs="仿宋_GB2312"/>
          <w:spacing w:val="0"/>
          <w:sz w:val="32"/>
          <w:szCs w:val="32"/>
          <w:u w:val="none"/>
          <w:lang w:val="en-US" w:eastAsia="zh-CN"/>
        </w:rPr>
        <w:t>统一社会信用代码：92350521MA2XWYHW8J</w:t>
      </w:r>
    </w:p>
    <w:p>
      <w:pPr>
        <w:keepNext w:val="0"/>
        <w:keepLines w:val="0"/>
        <w:pageBreakBefore w:val="0"/>
        <w:widowControl/>
        <w:kinsoku w:val="0"/>
        <w:wordWrap w:val="0"/>
        <w:overflowPunct/>
        <w:topLinePunct w:val="0"/>
        <w:autoSpaceDE w:val="0"/>
        <w:autoSpaceDN w:val="0"/>
        <w:bidi w:val="0"/>
        <w:adjustRightInd w:val="0"/>
        <w:snapToGrid w:val="0"/>
        <w:spacing w:before="104" w:line="560" w:lineRule="exact"/>
        <w:ind w:left="34" w:right="17" w:firstLine="34"/>
        <w:textAlignment w:val="baseline"/>
        <w:outlineLvl w:val="9"/>
        <w:rPr>
          <w:rFonts w:hint="eastAsia" w:ascii="仿宋_GB2312" w:hAnsi="仿宋_GB2312" w:eastAsia="仿宋_GB2312" w:cs="仿宋_GB2312"/>
          <w:spacing w:val="0"/>
          <w:sz w:val="32"/>
          <w:szCs w:val="32"/>
          <w:u w:val="none"/>
          <w:lang w:val="en-US" w:eastAsia="zh-CN"/>
        </w:rPr>
      </w:pPr>
      <w:r>
        <w:rPr>
          <w:rFonts w:hint="eastAsia" w:ascii="仿宋_GB2312" w:hAnsi="仿宋_GB2312" w:eastAsia="仿宋_GB2312" w:cs="仿宋_GB2312"/>
          <w:spacing w:val="0"/>
          <w:sz w:val="32"/>
          <w:szCs w:val="32"/>
          <w:u w:val="none"/>
          <w:lang w:val="en-US" w:eastAsia="zh-CN"/>
        </w:rPr>
        <w:t>经营场所：福建省泉州市惠安县东岭镇朝阳路52号</w:t>
      </w:r>
    </w:p>
    <w:p>
      <w:pPr>
        <w:keepNext w:val="0"/>
        <w:keepLines w:val="0"/>
        <w:pageBreakBefore w:val="0"/>
        <w:widowControl/>
        <w:kinsoku w:val="0"/>
        <w:wordWrap w:val="0"/>
        <w:overflowPunct/>
        <w:topLinePunct w:val="0"/>
        <w:autoSpaceDE w:val="0"/>
        <w:autoSpaceDN w:val="0"/>
        <w:bidi w:val="0"/>
        <w:adjustRightInd w:val="0"/>
        <w:snapToGrid w:val="0"/>
        <w:spacing w:before="104" w:line="560" w:lineRule="exact"/>
        <w:ind w:left="34" w:right="17" w:firstLine="34"/>
        <w:textAlignment w:val="baseline"/>
        <w:outlineLvl w:val="9"/>
        <w:rPr>
          <w:rFonts w:hint="eastAsia" w:ascii="仿宋_GB2312" w:hAnsi="仿宋_GB2312" w:eastAsia="仿宋_GB2312" w:cs="仿宋_GB2312"/>
          <w:spacing w:val="0"/>
          <w:sz w:val="32"/>
          <w:szCs w:val="32"/>
          <w:u w:val="none"/>
          <w:lang w:val="en-US" w:eastAsia="zh-CN"/>
        </w:rPr>
      </w:pPr>
      <w:r>
        <w:rPr>
          <w:rFonts w:hint="eastAsia" w:ascii="仿宋_GB2312" w:hAnsi="仿宋_GB2312" w:eastAsia="仿宋_GB2312" w:cs="仿宋_GB2312"/>
          <w:spacing w:val="0"/>
          <w:sz w:val="32"/>
          <w:szCs w:val="32"/>
          <w:u w:val="none"/>
          <w:lang w:val="en-US" w:eastAsia="zh-CN"/>
        </w:rPr>
        <w:t xml:space="preserve">经营者：张杰龙     </w:t>
      </w:r>
    </w:p>
    <w:p>
      <w:pPr>
        <w:keepNext w:val="0"/>
        <w:keepLines w:val="0"/>
        <w:pageBreakBefore w:val="0"/>
        <w:widowControl/>
        <w:kinsoku w:val="0"/>
        <w:wordWrap w:val="0"/>
        <w:overflowPunct/>
        <w:topLinePunct w:val="0"/>
        <w:autoSpaceDE w:val="0"/>
        <w:autoSpaceDN w:val="0"/>
        <w:bidi w:val="0"/>
        <w:adjustRightInd w:val="0"/>
        <w:snapToGrid w:val="0"/>
        <w:spacing w:before="104" w:line="560" w:lineRule="exact"/>
        <w:ind w:left="34" w:right="17" w:firstLine="34"/>
        <w:textAlignment w:val="baseline"/>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u w:val="none"/>
          <w:lang w:val="en-US" w:eastAsia="zh-CN"/>
        </w:rPr>
        <w:t xml:space="preserve">身份证件号码：*** </w:t>
      </w:r>
      <w:r>
        <w:rPr>
          <w:rFonts w:hint="eastAsia" w:ascii="仿宋_GB2312" w:hAnsi="仿宋_GB2312" w:eastAsia="仿宋_GB2312" w:cs="仿宋_GB2312"/>
          <w:spacing w:val="0"/>
          <w:sz w:val="30"/>
          <w:szCs w:val="30"/>
          <w:u w:val="none"/>
          <w:lang w:val="en-US" w:eastAsia="zh-CN"/>
        </w:rPr>
        <w:t xml:space="preserve">  </w:t>
      </w:r>
      <w:r>
        <w:rPr>
          <w:rFonts w:hint="eastAsia" w:ascii="仿宋_GB2312" w:hAnsi="仿宋_GB2312" w:eastAsia="仿宋_GB2312" w:cs="仿宋_GB2312"/>
          <w:spacing w:val="0"/>
          <w:sz w:val="32"/>
          <w:szCs w:val="32"/>
          <w:u w:val="none"/>
          <w:lang w:val="en-US" w:eastAsia="zh-CN"/>
        </w:rPr>
        <w:t xml:space="preserve">  </w:t>
      </w:r>
      <w:r>
        <w:rPr>
          <w:rFonts w:hint="eastAsia" w:ascii="仿宋_GB2312" w:hAnsi="仿宋_GB2312" w:eastAsia="仿宋_GB2312" w:cs="仿宋_GB2312"/>
          <w:spacing w:val="0"/>
          <w:sz w:val="32"/>
          <w:szCs w:val="32"/>
          <w:u w:val="none"/>
        </w:rPr>
        <w:t xml:space="preserve"> </w:t>
      </w:r>
    </w:p>
    <w:p>
      <w:pPr>
        <w:keepNext w:val="0"/>
        <w:keepLines w:val="0"/>
        <w:pageBreakBefore w:val="0"/>
        <w:widowControl/>
        <w:kinsoku/>
        <w:wordWrap w:val="0"/>
        <w:overflowPunct/>
        <w:topLinePunct/>
        <w:autoSpaceDE w:val="0"/>
        <w:autoSpaceDN w:val="0"/>
        <w:bidi w:val="0"/>
        <w:adjustRightInd w:val="0"/>
        <w:snapToGrid w:val="0"/>
        <w:spacing w:before="63" w:beforeLines="20" w:line="5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局于2024年2月2日依法对位于福建省泉州市惠安县东岭镇朝阳路52号的惠安县张杰龙日杂店进行检查。当事人经营场所内设有货架，货架和地面上均摆放着若干箱烟花爆竹，本局在当中发现6箱产品名称为“黑蜘蛛”的烟花爆竹，6箱（规格：240盒/箱）当中5箱包装完好、1箱已拆封（剩余190盒）。6箱黑蜘蛛外箱均未标示制造商地址、生产日期；箱中每小盒外包装均未标识制造商名称及地址、生产日期。本局依法将上述6箱黑蜘蛛予以扣押。2024年2月6日本局以当事人涉嫌销售不符合强制性标准的烟花爆竹为案由予以立案调查。</w:t>
      </w:r>
    </w:p>
    <w:p>
      <w:pPr>
        <w:keepNext w:val="0"/>
        <w:keepLines w:val="0"/>
        <w:pageBreakBefore w:val="0"/>
        <w:widowControl/>
        <w:kinsoku/>
        <w:wordWrap w:val="0"/>
        <w:overflowPunct/>
        <w:topLinePunct/>
        <w:autoSpaceDE w:val="0"/>
        <w:autoSpaceDN w:val="0"/>
        <w:bidi w:val="0"/>
        <w:adjustRightInd w:val="0"/>
        <w:snapToGrid w:val="0"/>
        <w:spacing w:before="63" w:beforeLines="20" w:line="5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查明，当事人作为零售烟花爆竹的个体工商户，2024年1月30日从过路的业务员处以50元/箱的进价，购进8箱黑蜘蛛（消费类别：个人燃放类）用于销售。销售方式按箱或者按盒出售，按箱售价为72元/箱、按盒售价为0.3元/盒，货值金额576元。上述8箱黑蜘蛛外箱均未标示制造商地址、生产日期，箱中每小盒外包装均未标识制造商名称及地址、生产日期。</w:t>
      </w:r>
    </w:p>
    <w:p>
      <w:pPr>
        <w:keepNext w:val="0"/>
        <w:keepLines w:val="0"/>
        <w:pageBreakBefore w:val="0"/>
        <w:widowControl/>
        <w:kinsoku/>
        <w:wordWrap w:val="0"/>
        <w:overflowPunct/>
        <w:topLinePunct/>
        <w:autoSpaceDE w:val="0"/>
        <w:autoSpaceDN w:val="0"/>
        <w:bidi w:val="0"/>
        <w:adjustRightInd w:val="0"/>
        <w:snapToGrid w:val="0"/>
        <w:spacing w:before="63" w:beforeLines="20" w:line="5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截至案发，当事人已售出530盒黑蜘蛛，均为按盒出售；剩余6箱共1390盒尚未售出就被我局依法扣押，故获取违法所得159元。</w:t>
      </w:r>
    </w:p>
    <w:p>
      <w:pPr>
        <w:keepNext w:val="0"/>
        <w:keepLines w:val="0"/>
        <w:pageBreakBefore w:val="0"/>
        <w:widowControl/>
        <w:kinsoku/>
        <w:wordWrap w:val="0"/>
        <w:overflowPunct/>
        <w:topLinePunct/>
        <w:autoSpaceDE w:val="0"/>
        <w:autoSpaceDN w:val="0"/>
        <w:bidi w:val="0"/>
        <w:adjustRightInd w:val="0"/>
        <w:snapToGrid w:val="0"/>
        <w:spacing w:before="63" w:beforeLines="20" w:line="5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述事实，主要有以下证据证明：1.现场检查笔录1份和店长身份证复印件1份；2.询问笔录2份；3.证据提取单5份；4.当事人《营业执照》和《烟花爆竹经营（零售）许可证》、身份证复印件各1份；5.供货商《烟花爆竹经营（批发）许可证》复印件1份；6.《GB 10631-2013》节选2页；7.授权委托书和受托人身份证复印件各1份；8.办案人员执法证复印件1份。</w:t>
      </w:r>
    </w:p>
    <w:p>
      <w:pPr>
        <w:keepNext w:val="0"/>
        <w:keepLines w:val="0"/>
        <w:pageBreakBefore w:val="0"/>
        <w:widowControl/>
        <w:kinsoku/>
        <w:wordWrap w:val="0"/>
        <w:overflowPunct/>
        <w:topLinePunct/>
        <w:autoSpaceDE w:val="0"/>
        <w:autoSpaceDN w:val="0"/>
        <w:bidi w:val="0"/>
        <w:adjustRightInd w:val="0"/>
        <w:snapToGrid w:val="0"/>
        <w:spacing w:before="63" w:beforeLines="20" w:line="5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本局于2024年2月22日向当事人直接送达《行政处罚告知书》，当事人未在五个工作日内向本局提出陈述、申辩。</w:t>
      </w:r>
    </w:p>
    <w:p>
      <w:pPr>
        <w:keepNext w:val="0"/>
        <w:keepLines w:val="0"/>
        <w:pageBreakBefore w:val="0"/>
        <w:widowControl/>
        <w:kinsoku/>
        <w:wordWrap w:val="0"/>
        <w:overflowPunct/>
        <w:topLinePunct/>
        <w:autoSpaceDE w:val="0"/>
        <w:autoSpaceDN w:val="0"/>
        <w:bidi w:val="0"/>
        <w:adjustRightInd w:val="0"/>
        <w:snapToGrid w:val="0"/>
        <w:spacing w:before="63" w:beforeLines="20" w:line="5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本局认为《GB 10631-2013》（烟花爆竹 安全与质量）5.1.3规定“销售包装标志的基本信息应包含:产品名称、消费类别、产品级别、产品类别、制造商名称及地址、含药量(总药量和单发药量)、警示语、燃放说明、生产日期、保质期。计数类产品应标明数量”；当事人用于销售的8箱黑蜘蛛均为个人燃放类烟花爆竹，外箱均未标示制造商地址、生产日期，箱中每小盒外包装均未标识制造商名称及地址、生产日期；故上述8箱黑蜘蛛均为不符合国家强制性标准的产品。当事人销售不符合强制性标准的产品，违反了《中华人民共和国标准化法》第二十五条的规定，构成销售不符合强制性标准的产品的违法行为。</w:t>
      </w:r>
    </w:p>
    <w:p>
      <w:pPr>
        <w:keepNext w:val="0"/>
        <w:keepLines w:val="0"/>
        <w:pageBreakBefore w:val="0"/>
        <w:widowControl/>
        <w:kinsoku/>
        <w:wordWrap w:val="0"/>
        <w:overflowPunct/>
        <w:topLinePunct/>
        <w:autoSpaceDE w:val="0"/>
        <w:autoSpaceDN w:val="0"/>
        <w:bidi w:val="0"/>
        <w:adjustRightInd w:val="0"/>
        <w:snapToGrid w:val="0"/>
        <w:spacing w:before="63" w:beforeLines="20" w:line="5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鉴于当事人积极配合市场监督管理部门调查，如实陈述违法事实并主动提供证据材料；本局决定予以从轻处罚。</w:t>
      </w:r>
    </w:p>
    <w:p>
      <w:pPr>
        <w:keepNext w:val="0"/>
        <w:keepLines w:val="0"/>
        <w:pageBreakBefore w:val="0"/>
        <w:widowControl/>
        <w:kinsoku/>
        <w:wordWrap w:val="0"/>
        <w:overflowPunct/>
        <w:topLinePunct/>
        <w:autoSpaceDE w:val="0"/>
        <w:autoSpaceDN w:val="0"/>
        <w:bidi w:val="0"/>
        <w:adjustRightInd w:val="0"/>
        <w:snapToGrid w:val="0"/>
        <w:spacing w:before="63" w:beforeLines="20" w:line="5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综上，本局</w:t>
      </w:r>
      <w:bookmarkStart w:id="0" w:name="_GoBack"/>
      <w:r>
        <w:rPr>
          <w:rFonts w:hint="eastAsia" w:ascii="仿宋" w:hAnsi="仿宋" w:eastAsia="仿宋" w:cs="仿宋"/>
          <w:sz w:val="32"/>
          <w:szCs w:val="32"/>
          <w:lang w:val="en-US" w:eastAsia="zh-CN"/>
        </w:rPr>
        <w:t>依据《中华人民共和国标准化法》第三十七条和《中华人民共和国产品质量法》第四十九条的规定，现责令当事人改正上述违法行为，并决定处罚如下：</w:t>
      </w:r>
    </w:p>
    <w:p>
      <w:pPr>
        <w:keepNext w:val="0"/>
        <w:keepLines w:val="0"/>
        <w:pageBreakBefore w:val="0"/>
        <w:widowControl/>
        <w:kinsoku/>
        <w:wordWrap w:val="0"/>
        <w:overflowPunct/>
        <w:topLinePunct/>
        <w:autoSpaceDE w:val="0"/>
        <w:autoSpaceDN w:val="0"/>
        <w:bidi w:val="0"/>
        <w:adjustRightInd w:val="0"/>
        <w:snapToGrid w:val="0"/>
        <w:spacing w:before="63" w:beforeLines="20" w:line="5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责令停止销售不符合国家标准的产品，没收在扣6箱共1390盒黑蜘蛛，并处罚款600元，没收违法所得159元。</w:t>
      </w:r>
    </w:p>
    <w:p>
      <w:pPr>
        <w:keepNext w:val="0"/>
        <w:keepLines w:val="0"/>
        <w:pageBreakBefore w:val="0"/>
        <w:widowControl/>
        <w:kinsoku/>
        <w:wordWrap w:val="0"/>
        <w:overflowPunct/>
        <w:topLinePunct/>
        <w:autoSpaceDE w:val="0"/>
        <w:autoSpaceDN w:val="0"/>
        <w:bidi w:val="0"/>
        <w:adjustRightInd w:val="0"/>
        <w:snapToGrid w:val="0"/>
        <w:spacing w:before="63" w:beforeLines="20" w:line="5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以上罚没款合计759元。</w:t>
      </w:r>
    </w:p>
    <w:bookmarkEnd w:id="0"/>
    <w:p>
      <w:pPr>
        <w:keepNext w:val="0"/>
        <w:keepLines w:val="0"/>
        <w:pageBreakBefore w:val="0"/>
        <w:widowControl/>
        <w:kinsoku/>
        <w:wordWrap w:val="0"/>
        <w:overflowPunct/>
        <w:topLinePunct/>
        <w:autoSpaceDE w:val="0"/>
        <w:autoSpaceDN w:val="0"/>
        <w:bidi w:val="0"/>
        <w:adjustRightInd w:val="0"/>
        <w:snapToGrid w:val="0"/>
        <w:spacing w:before="63" w:beforeLines="20" w:line="5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所处罚款，当事人应当在接到本行政处罚决定书之日起十五日内（末日为节假日顺延），到本局东岭所开具缴款书并到银行缴纳罚没款。根据《中华人民共和国行政处罚法》第七十二条第一款第一项、《中华人民共和国行政强制法》第四十五条、第五十三条的规定，逾期不缴纳罚款的，应自缴纳期限届满次日起每日按罚款数额的百分之三加处罚款。</w:t>
      </w:r>
    </w:p>
    <w:p>
      <w:pPr>
        <w:keepNext w:val="0"/>
        <w:keepLines w:val="0"/>
        <w:pageBreakBefore w:val="0"/>
        <w:widowControl/>
        <w:kinsoku/>
        <w:wordWrap w:val="0"/>
        <w:overflowPunct/>
        <w:topLinePunct/>
        <w:autoSpaceDE w:val="0"/>
        <w:autoSpaceDN w:val="0"/>
        <w:bidi w:val="0"/>
        <w:adjustRightInd w:val="0"/>
        <w:snapToGrid w:val="0"/>
        <w:spacing w:before="63" w:beforeLines="20" w:line="520" w:lineRule="exact"/>
        <w:ind w:firstLine="640" w:firstLineChars="200"/>
        <w:textAlignment w:val="baseline"/>
        <w:rPr>
          <w:rFonts w:hint="eastAsia" w:ascii="仿宋_GB2312" w:hAnsi="仿宋_GB2312" w:eastAsia="仿宋_GB2312" w:cs="仿宋_GB2312"/>
          <w:color w:val="auto"/>
          <w:spacing w:val="0"/>
          <w:sz w:val="32"/>
          <w:szCs w:val="32"/>
          <w:lang w:val="en-US" w:eastAsia="zh-CN"/>
        </w:rPr>
      </w:pPr>
      <w:r>
        <w:rPr>
          <w:rFonts w:hint="eastAsia" w:ascii="仿宋" w:hAnsi="仿宋" w:eastAsia="仿宋" w:cs="仿宋"/>
          <w:sz w:val="32"/>
          <w:szCs w:val="32"/>
          <w:lang w:val="en-US" w:eastAsia="zh-CN"/>
        </w:rPr>
        <w:t>如对本行政处罚决定不服，可于收到本决定书之日起六十日内向惠安县人民政府申请行政复议，也可以于六个月内依法向鲤城区人民法院提起行政诉讼。前述期间，本行政处罚不停止执行。</w:t>
      </w:r>
    </w:p>
    <w:p>
      <w:pPr>
        <w:pStyle w:val="2"/>
        <w:keepNext w:val="0"/>
        <w:keepLines w:val="0"/>
        <w:pageBreakBefore w:val="0"/>
        <w:widowControl/>
        <w:tabs>
          <w:tab w:val="left" w:pos="8270"/>
        </w:tabs>
        <w:kinsoku/>
        <w:wordWrap/>
        <w:overflowPunct/>
        <w:topLinePunct w:val="0"/>
        <w:autoSpaceDE w:val="0"/>
        <w:autoSpaceDN w:val="0"/>
        <w:bidi w:val="0"/>
        <w:adjustRightInd w:val="0"/>
        <w:snapToGrid w:val="0"/>
        <w:spacing w:line="520" w:lineRule="exact"/>
        <w:ind w:left="0" w:firstLine="608" w:firstLineChars="190"/>
        <w:textAlignment w:val="baseline"/>
        <w:outlineLvl w:val="9"/>
        <w:rPr>
          <w:rFonts w:hint="eastAsia" w:ascii="仿宋_GB2312" w:hAnsi="仿宋_GB2312" w:eastAsia="仿宋_GB2312" w:cs="仿宋_GB2312"/>
          <w:color w:val="auto"/>
          <w:spacing w:val="0"/>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242" w:line="520" w:lineRule="exact"/>
        <w:ind w:firstLine="4480" w:firstLineChars="1400"/>
        <w:textAlignment w:val="baseline"/>
        <w:outlineLvl w:val="9"/>
        <w:rPr>
          <w:rFonts w:hint="eastAsia" w:ascii="仿宋_GB2312" w:hAnsi="仿宋_GB2312" w:eastAsia="仿宋_GB2312" w:cs="仿宋_GB2312"/>
          <w:snapToGrid w:val="0"/>
          <w:spacing w:val="0"/>
          <w:sz w:val="32"/>
          <w:szCs w:val="32"/>
          <w:lang w:eastAsia="zh-CN"/>
        </w:rPr>
      </w:pPr>
      <w:r>
        <w:rPr>
          <w:rFonts w:hint="eastAsia" w:ascii="仿宋_GB2312" w:hAnsi="仿宋_GB2312" w:eastAsia="仿宋_GB2312" w:cs="仿宋_GB2312"/>
          <w:snapToGrid w:val="0"/>
          <w:spacing w:val="0"/>
          <w:sz w:val="32"/>
          <w:szCs w:val="32"/>
          <w:lang w:eastAsia="zh-CN"/>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before="242" w:line="520" w:lineRule="exact"/>
        <w:ind w:firstLine="5120" w:firstLineChars="1600"/>
        <w:textAlignment w:val="baseline"/>
        <w:outlineLvl w:val="9"/>
        <w:rPr>
          <w:rFonts w:hint="default" w:ascii="仿宋" w:hAnsi="仿宋" w:eastAsia="仿宋" w:cs="仿宋"/>
          <w:spacing w:val="0"/>
          <w:sz w:val="32"/>
          <w:szCs w:val="32"/>
          <w:lang w:val="en-US" w:eastAsia="zh-CN"/>
        </w:rPr>
      </w:pPr>
      <w:r>
        <w:rPr>
          <w:rFonts w:hint="eastAsia" w:ascii="仿宋_GB2312" w:hAnsi="仿宋_GB2312" w:eastAsia="仿宋_GB2312" w:cs="仿宋_GB2312"/>
          <w:snapToGrid w:val="0"/>
          <w:spacing w:val="0"/>
          <w:sz w:val="32"/>
          <w:szCs w:val="32"/>
          <w:lang w:val="en-US" w:eastAsia="zh-CN"/>
        </w:rPr>
        <w:t>2024</w:t>
      </w:r>
      <w:r>
        <w:rPr>
          <w:rFonts w:hint="eastAsia" w:ascii="仿宋_GB2312" w:hAnsi="仿宋_GB2312" w:eastAsia="仿宋_GB2312" w:cs="仿宋_GB2312"/>
          <w:snapToGrid w:val="0"/>
          <w:spacing w:val="0"/>
          <w:sz w:val="32"/>
          <w:szCs w:val="32"/>
          <w:lang w:eastAsia="zh-CN"/>
        </w:rPr>
        <w:t>年</w:t>
      </w:r>
      <w:r>
        <w:rPr>
          <w:rFonts w:hint="eastAsia" w:ascii="仿宋_GB2312" w:hAnsi="仿宋_GB2312" w:eastAsia="仿宋_GB2312" w:cs="仿宋_GB2312"/>
          <w:snapToGrid w:val="0"/>
          <w:spacing w:val="0"/>
          <w:sz w:val="32"/>
          <w:szCs w:val="32"/>
          <w:lang w:val="en-US" w:eastAsia="zh-CN"/>
        </w:rPr>
        <w:t>3</w:t>
      </w:r>
      <w:r>
        <w:rPr>
          <w:rFonts w:hint="eastAsia" w:ascii="仿宋_GB2312" w:hAnsi="仿宋_GB2312" w:eastAsia="仿宋_GB2312" w:cs="仿宋_GB2312"/>
          <w:snapToGrid w:val="0"/>
          <w:spacing w:val="0"/>
          <w:sz w:val="32"/>
          <w:szCs w:val="32"/>
          <w:lang w:eastAsia="zh-CN"/>
        </w:rPr>
        <w:t>月</w:t>
      </w:r>
      <w:r>
        <w:rPr>
          <w:rFonts w:hint="eastAsia" w:ascii="仿宋_GB2312" w:hAnsi="仿宋_GB2312" w:eastAsia="仿宋_GB2312" w:cs="仿宋_GB2312"/>
          <w:snapToGrid w:val="0"/>
          <w:spacing w:val="0"/>
          <w:sz w:val="32"/>
          <w:szCs w:val="32"/>
          <w:lang w:val="en-US" w:eastAsia="zh-CN"/>
        </w:rPr>
        <w:t>1日</w:t>
      </w:r>
    </w:p>
    <w:p>
      <w:pPr>
        <w:keepNext w:val="0"/>
        <w:keepLines w:val="0"/>
        <w:pageBreakBefore w:val="0"/>
        <w:widowControl/>
        <w:kinsoku w:val="0"/>
        <w:wordWrap/>
        <w:overflowPunct/>
        <w:topLinePunct w:val="0"/>
        <w:autoSpaceDE w:val="0"/>
        <w:autoSpaceDN w:val="0"/>
        <w:bidi w:val="0"/>
        <w:adjustRightInd w:val="0"/>
        <w:snapToGrid w:val="0"/>
        <w:spacing w:before="242" w:line="520" w:lineRule="exact"/>
        <w:ind w:firstLine="5120" w:firstLineChars="1600"/>
        <w:textAlignment w:val="baseline"/>
        <w:outlineLvl w:val="9"/>
        <w:rPr>
          <w:rFonts w:hint="default" w:ascii="仿宋" w:hAnsi="仿宋" w:eastAsia="仿宋" w:cs="仿宋"/>
          <w:spacing w:val="0"/>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05" w:line="520" w:lineRule="exact"/>
        <w:textAlignment w:val="baseline"/>
        <w:outlineLvl w:val="9"/>
        <w:rPr>
          <w:rFonts w:hint="eastAsia" w:ascii="仿宋" w:hAnsi="仿宋" w:eastAsia="仿宋" w:cs="仿宋"/>
          <w:sz w:val="30"/>
          <w:szCs w:val="30"/>
        </w:rPr>
      </w:pPr>
      <w:r>
        <w:rPr>
          <w:rFonts w:hint="eastAsia" w:ascii="仿宋" w:hAnsi="仿宋" w:eastAsia="仿宋" w:cs="仿宋"/>
          <w:b/>
          <w:bCs/>
          <w:color w:val="231F20"/>
          <w:spacing w:val="0"/>
          <w:sz w:val="30"/>
          <w:szCs w:val="30"/>
        </w:rPr>
        <w:t>（市场监督管理部门将依法向社会公开行政处罚决定信息）</w:t>
      </w: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outlineLvl w:val="9"/>
        <w:rPr>
          <w:rFonts w:hint="default" w:ascii="Arial" w:hAnsi="Arial" w:eastAsia="Arial" w:cs="Arial"/>
          <w:vanish/>
          <w:color w:val="000000"/>
          <w:kern w:val="0"/>
          <w:sz w:val="21"/>
          <w:szCs w:val="21"/>
          <w:lang w:val="en-US" w:eastAsia="zh-CN" w:bidi="ar-SA"/>
        </w:rPr>
      </w:pPr>
      <w:r>
        <w:rPr>
          <w:rFonts w:hint="eastAsia" w:ascii="仿宋" w:hAnsi="仿宋" w:eastAsia="仿宋" w:cs="仿宋"/>
          <w:sz w:val="30"/>
          <w:szCs w:val="30"/>
        </w:rPr>
        <w:t>本文书一式</w:t>
      </w:r>
      <w:r>
        <w:rPr>
          <w:rFonts w:hint="eastAsia" w:ascii="仿宋" w:hAnsi="仿宋" w:eastAsia="仿宋" w:cs="仿宋"/>
          <w:sz w:val="30"/>
          <w:szCs w:val="30"/>
          <w:lang w:eastAsia="zh-CN"/>
        </w:rPr>
        <w:t>三</w:t>
      </w:r>
      <w:r>
        <w:rPr>
          <w:rFonts w:hint="eastAsia" w:ascii="仿宋" w:hAnsi="仿宋" w:eastAsia="仿宋" w:cs="仿宋"/>
          <w:sz w:val="30"/>
          <w:szCs w:val="30"/>
        </w:rPr>
        <w:t>份，</w:t>
      </w:r>
      <w:r>
        <w:rPr>
          <w:rFonts w:hint="eastAsia" w:ascii="仿宋" w:hAnsi="仿宋" w:eastAsia="仿宋" w:cs="仿宋"/>
          <w:sz w:val="30"/>
          <w:szCs w:val="30"/>
          <w:u w:val="none"/>
          <w:lang w:eastAsia="zh-CN"/>
        </w:rPr>
        <w:t>一</w:t>
      </w:r>
      <w:r>
        <w:rPr>
          <w:rFonts w:hint="eastAsia" w:ascii="仿宋" w:hAnsi="仿宋" w:eastAsia="仿宋" w:cs="仿宋"/>
          <w:sz w:val="30"/>
          <w:szCs w:val="30"/>
        </w:rPr>
        <w:t>份送达，一份归档，</w:t>
      </w:r>
      <w:r>
        <w:rPr>
          <w:rFonts w:hint="eastAsia" w:ascii="仿宋" w:hAnsi="仿宋" w:eastAsia="仿宋" w:cs="仿宋"/>
          <w:sz w:val="30"/>
          <w:szCs w:val="30"/>
          <w:u w:val="none"/>
          <w:lang w:eastAsia="zh-CN"/>
        </w:rPr>
        <w:t>一份备查。</w:t>
      </w:r>
      <w:r>
        <w:rPr>
          <w:rFonts w:hint="eastAsia" w:ascii="仿宋_GB2312" w:hAnsi="仿宋_GB2312" w:eastAsia="仿宋_GB2312" w:cs="仿宋_GB2312"/>
          <w:vanish/>
          <w:spacing w:val="0"/>
          <w:sz w:val="32"/>
          <w:szCs w:val="32"/>
          <w:lang w:val="en-US" w:eastAsia="zh-CN"/>
        </w:rPr>
        <w:t xml:space="preserve"> </w:t>
      </w: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2" w:line="197" w:lineRule="exact"/>
      <w:ind w:firstLine="16"/>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第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 共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NUMPAGES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4</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第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 共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NUMPAGES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4</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第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2</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 共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NUMPAGES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4</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第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2</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 共 </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NUMPAGES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4</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611A6"/>
    <w:rsid w:val="00DC2B41"/>
    <w:rsid w:val="0107486B"/>
    <w:rsid w:val="01A30210"/>
    <w:rsid w:val="024F440E"/>
    <w:rsid w:val="03A811E8"/>
    <w:rsid w:val="03A87D6C"/>
    <w:rsid w:val="04C14C41"/>
    <w:rsid w:val="05E506E0"/>
    <w:rsid w:val="079E1840"/>
    <w:rsid w:val="07BA6DBD"/>
    <w:rsid w:val="07C9121B"/>
    <w:rsid w:val="09D20C28"/>
    <w:rsid w:val="09EA5842"/>
    <w:rsid w:val="0BD76E90"/>
    <w:rsid w:val="148A343B"/>
    <w:rsid w:val="18A35176"/>
    <w:rsid w:val="19D1026F"/>
    <w:rsid w:val="1DB5519E"/>
    <w:rsid w:val="1DCD4C48"/>
    <w:rsid w:val="1FF765BD"/>
    <w:rsid w:val="20555188"/>
    <w:rsid w:val="20852B57"/>
    <w:rsid w:val="23B55BD4"/>
    <w:rsid w:val="24AA2BD4"/>
    <w:rsid w:val="254E40F9"/>
    <w:rsid w:val="25AF0D98"/>
    <w:rsid w:val="27993F76"/>
    <w:rsid w:val="279D6A9F"/>
    <w:rsid w:val="27EA5AB5"/>
    <w:rsid w:val="2A386CF2"/>
    <w:rsid w:val="2A546DAF"/>
    <w:rsid w:val="2A7E37B5"/>
    <w:rsid w:val="2BCE0A48"/>
    <w:rsid w:val="2CC653A4"/>
    <w:rsid w:val="2E23595A"/>
    <w:rsid w:val="30EC7C31"/>
    <w:rsid w:val="310E16ED"/>
    <w:rsid w:val="317212DD"/>
    <w:rsid w:val="32262BC1"/>
    <w:rsid w:val="34511DD2"/>
    <w:rsid w:val="34A13F8A"/>
    <w:rsid w:val="35AF15E9"/>
    <w:rsid w:val="378362B8"/>
    <w:rsid w:val="386C2F27"/>
    <w:rsid w:val="388224B9"/>
    <w:rsid w:val="38BB67B6"/>
    <w:rsid w:val="3B6072AD"/>
    <w:rsid w:val="3DD8444B"/>
    <w:rsid w:val="3F2C556C"/>
    <w:rsid w:val="40541191"/>
    <w:rsid w:val="40A9554B"/>
    <w:rsid w:val="429B0B5D"/>
    <w:rsid w:val="438A5ED9"/>
    <w:rsid w:val="480F3D03"/>
    <w:rsid w:val="48527DF0"/>
    <w:rsid w:val="49AE01D8"/>
    <w:rsid w:val="4A837C02"/>
    <w:rsid w:val="4B2D516C"/>
    <w:rsid w:val="4BAC0A27"/>
    <w:rsid w:val="4C1F0156"/>
    <w:rsid w:val="4D3E3E2D"/>
    <w:rsid w:val="51C6230C"/>
    <w:rsid w:val="51C7526D"/>
    <w:rsid w:val="52420ADF"/>
    <w:rsid w:val="57495F21"/>
    <w:rsid w:val="57E16652"/>
    <w:rsid w:val="5B1D0334"/>
    <w:rsid w:val="5B5D3E30"/>
    <w:rsid w:val="5BAF11D8"/>
    <w:rsid w:val="5E0D5114"/>
    <w:rsid w:val="5E2A1918"/>
    <w:rsid w:val="5E6D3FE5"/>
    <w:rsid w:val="5F373509"/>
    <w:rsid w:val="62A450DB"/>
    <w:rsid w:val="665718FC"/>
    <w:rsid w:val="69D377EE"/>
    <w:rsid w:val="6B6C5435"/>
    <w:rsid w:val="7055693E"/>
    <w:rsid w:val="706A28E5"/>
    <w:rsid w:val="71D011B6"/>
    <w:rsid w:val="726749FC"/>
    <w:rsid w:val="765F62E7"/>
    <w:rsid w:val="79AA6CC4"/>
    <w:rsid w:val="79D23399"/>
    <w:rsid w:val="7C2673C0"/>
    <w:rsid w:val="7C2732BF"/>
    <w:rsid w:val="7D2F7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color w:val="000000"/>
      <w:kern w:val="0"/>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1503</Words>
  <Characters>1618</Characters>
  <Lines>0</Lines>
  <Paragraphs>0</Paragraphs>
  <TotalTime>3</TotalTime>
  <ScaleCrop>false</ScaleCrop>
  <LinksUpToDate>false</LinksUpToDate>
  <CharactersWithSpaces>1638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卢凤真</cp:lastModifiedBy>
  <cp:lastPrinted>2021-09-07T07:14:00Z</cp:lastPrinted>
  <dcterms:modified xsi:type="dcterms:W3CDTF">2024-03-13T01:08:04Z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D502D751CE21454EA3542E463890A831</vt:lpwstr>
  </property>
</Properties>
</file>