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惠安县文化体育和旅游局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2019年度政府信息公开工作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条例》、《办法》和《惠安县人民政府办公室关于印发2019年政务公开工作主要任务分解表的通知》要求，我局立足本单位实际职能，认真贯彻落实国家、省市县关于政府信息公开工作会议和文件精神，围绕2019年政务公开工作要点，采取有效措施，积极抓好贯彻落实。</w:t>
      </w:r>
    </w:p>
    <w:p>
      <w:pPr>
        <w:widowControl/>
        <w:spacing w:line="560" w:lineRule="exact"/>
        <w:ind w:firstLine="640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（一）信息公开主要亮点及成效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局坚持依法、全面、真实的原则，注重把群众和服务对象普遍关心、涉及切身利益的问题，特别是丰富公共文化服务体系建设、大型文旅活动、文旅政策信息等公众普遍关心的动态信息，作为公开的重点内容。全年通过公开平台及时对外发布各类文旅活动及工作信息，让广大群众和服务对象提前掌握一手信息，获得社会群众的肯定和认同。</w:t>
      </w:r>
    </w:p>
    <w:p>
      <w:pPr>
        <w:widowControl/>
        <w:spacing w:line="560" w:lineRule="exact"/>
        <w:ind w:firstLine="640" w:firstLineChars="200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（二）公开制度建设、工作组织机构情况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条例》，立足本单位工作实际及机构改革情况，及时调整编制《惠安县文化体育和旅游局政府信息公开指南》、《惠安县文化体育和旅游局政府信息保密审查制度》等规章制度，对我局政府信息公开的范围、方式、途径、依申请公开步骤等作了详细规定，并根据县信息公开办要求，将《指南》公布在信息公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网站上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做到政府信息公开工作有章可循，方便群众查阅；完善组织机构和办事机构，根据人事变动情况及时调整领导小组成员，建立以办公室为核心，各股室密切配合的信息公开工作机制，持续不断推进信息公开工作，同时，指定专人负责主动公开政府信息的编目、报送、发布工作，确保信息公开工作不断岗。</w:t>
      </w:r>
    </w:p>
    <w:p>
      <w:pPr>
        <w:widowControl/>
        <w:spacing w:line="560" w:lineRule="exact"/>
        <w:ind w:firstLine="480" w:firstLineChars="150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（三）公开工作部署和落实情况  </w:t>
      </w:r>
    </w:p>
    <w:p>
      <w:pPr>
        <w:widowControl/>
        <w:spacing w:line="560" w:lineRule="exact"/>
        <w:ind w:firstLine="640" w:firstLineChars="200"/>
        <w:rPr>
          <w:rFonts w:hint="eastAsia" w:ascii="楷体" w:hAnsi="楷体" w:eastAsia="楷体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县信息公开办工作部署，我局将2019年具体政务公开工作任务分解到具体股室，及时传达学习县政府对于信息公开工作的相关精神和部署，进一步提高信息公开水平，优化服务质量，充分发挥政府信息公开在提高行政透明度、提升行政水平、促进政府职能转变方面的积极作用。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对于本局各类主动公开的政府信息，均按要求在规定时限内在县政府网站进行公开，送县档案馆公开，并按时报送信息公开季</w:t>
      </w:r>
      <w:r>
        <w:rPr>
          <w:rFonts w:hint="eastAsia" w:ascii="仿宋_GB2312" w:hAnsi="楷体" w:eastAsia="仿宋_GB2312" w:cs="宋体"/>
          <w:color w:val="auto"/>
          <w:kern w:val="0"/>
          <w:sz w:val="32"/>
          <w:szCs w:val="32"/>
        </w:rPr>
        <w:t>度报表。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二、主动公开政府信息情况</w:t>
      </w:r>
      <w:bookmarkStart w:id="0" w:name="_GoBack"/>
      <w:bookmarkEnd w:id="0"/>
    </w:p>
    <w:p>
      <w:pPr>
        <w:pStyle w:val="6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9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制作数量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公开数量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规章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规范性文件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ind w:firstLine="960" w:firstLineChars="3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行政许可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其他对外管理服务事项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ind w:firstLine="960" w:firstLineChars="3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行政处罚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行政强制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上一年项目数量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行政事业性收费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政府集中采购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pStyle w:val="6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8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76"/>
        <w:gridCol w:w="1876"/>
        <w:gridCol w:w="542"/>
        <w:gridCol w:w="614"/>
        <w:gridCol w:w="614"/>
        <w:gridCol w:w="761"/>
        <w:gridCol w:w="761"/>
        <w:gridCol w:w="536"/>
        <w:gridCol w:w="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415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364" w:type="dxa"/>
            <w:gridSpan w:val="7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8" w:type="dxa"/>
            <w:gridSpan w:val="3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自然人</w:t>
            </w:r>
          </w:p>
        </w:tc>
        <w:tc>
          <w:tcPr>
            <w:tcW w:w="3286" w:type="dxa"/>
            <w:gridSpan w:val="5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法人或其他组织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158" w:type="dxa"/>
            <w:gridSpan w:val="3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商业企业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科研机构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社会公益组织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其他</w:t>
            </w: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415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（一）予以公开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（三）不予公开</w:t>
            </w: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1.属于国家秘密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2.其他法律行政法规禁止公开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3.危及“三安全一稳定”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4.保护第三方合法权益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5.属于三类内部事务信息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7.属于行政执法案卷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8.属于行政查询事项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（四）无法提供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2.没有现成信息需要另行制作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3.补正后申请内容仍不明确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（五）不予处理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（六）其他处理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（七）总计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四、结转下年度继续办理</w:t>
            </w:r>
          </w:p>
        </w:tc>
        <w:tc>
          <w:tcPr>
            <w:tcW w:w="542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行政复议</w:t>
            </w:r>
          </w:p>
        </w:tc>
        <w:tc>
          <w:tcPr>
            <w:tcW w:w="5682" w:type="dxa"/>
            <w:gridSpan w:val="10"/>
          </w:tcPr>
          <w:p>
            <w:pPr>
              <w:pStyle w:val="6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8" w:type="dxa"/>
            <w:vMerge w:val="restart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2840" w:type="dxa"/>
            <w:gridSpan w:val="5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未经复议直接起诉</w:t>
            </w:r>
          </w:p>
        </w:tc>
        <w:tc>
          <w:tcPr>
            <w:tcW w:w="2842" w:type="dxa"/>
            <w:gridSpan w:val="5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9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9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9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9" w:type="dxa"/>
          </w:tcPr>
          <w:p>
            <w:pPr>
              <w:pStyle w:val="6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（一）存在的问题和</w:t>
      </w:r>
      <w:r>
        <w:rPr>
          <w:rFonts w:ascii="楷体" w:hAnsi="楷体" w:eastAsia="楷体" w:cs="宋体"/>
          <w:color w:val="000000"/>
          <w:kern w:val="0"/>
          <w:sz w:val="32"/>
          <w:szCs w:val="32"/>
        </w:rPr>
        <w:t>困难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是对政府信息公开要求的认识还不够深入，对具体公开工作准确性的把握还需提高，信息公开的专业水平还有待于进一步提升。二是从事信息公开具体工作的人员为兼职人员，日常工作开展中在公开实效性等方面存在一定的不足。三是信息发布总量不够多，信息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的内容有待进一步充实。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（二）解决</w:t>
      </w:r>
      <w:r>
        <w:rPr>
          <w:rFonts w:ascii="楷体" w:hAnsi="楷体" w:eastAsia="楷体" w:cs="宋体"/>
          <w:color w:val="000000"/>
          <w:kern w:val="0"/>
          <w:sz w:val="32"/>
          <w:szCs w:val="32"/>
        </w:rPr>
        <w:t>办法和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改进措施。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加强对政府信息公开业务知识的学习和培训。根据上级安排适时组织具体经办人员参加相关业务培训，同时积极学习借鉴其他单位好的经验做法，不断提高政府信息公开工作水平。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进一步规范信息公开流程。认真按照“公开为原则，不公开为例外”的总体要求，及时发布、定期更新，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把政府信息公开作为服务公众的重要途径，与文旅工作具体工作结合起来，建立长效机制。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不断充实信息公开内容。进一步梳理公开信息，根据社会关注热点内容及时对政府信息公开目录进行补充和完善，保证公开信息的完整性和准确性。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六、其他需要报告的事项</w:t>
      </w:r>
    </w:p>
    <w:p>
      <w:pPr>
        <w:widowControl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无需要说明的其他事项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709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50" w:firstLineChars="50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13 -</w:t>
    </w:r>
    <w:r>
      <w:rPr>
        <w:rFonts w:ascii="宋体" w:hAnsi="宋体"/>
        <w:sz w:val="30"/>
        <w:szCs w:val="30"/>
      </w:rPr>
      <w:fldChar w:fldCharType="end"/>
    </w:r>
  </w:p>
  <w:p>
    <w:pPr>
      <w:pStyle w:val="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600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14 -</w:t>
    </w:r>
    <w:r>
      <w:rPr>
        <w:rFonts w:ascii="宋体" w:hAnsi="宋体"/>
        <w:sz w:val="30"/>
        <w:szCs w:val="30"/>
      </w:rPr>
      <w:fldChar w:fldCharType="end"/>
    </w:r>
  </w:p>
  <w:p>
    <w:pPr>
      <w:pStyle w:val="3"/>
      <w:ind w:firstLine="280" w:firstLineChars="100"/>
      <w:rPr>
        <w:rFonts w:ascii="宋体" w:hAnsi="宋体" w:eastAsia="宋体"/>
        <w:sz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D8"/>
    <w:rsid w:val="000251E3"/>
    <w:rsid w:val="00032339"/>
    <w:rsid w:val="001D7978"/>
    <w:rsid w:val="0025353A"/>
    <w:rsid w:val="002D64BF"/>
    <w:rsid w:val="00303FF9"/>
    <w:rsid w:val="00312C57"/>
    <w:rsid w:val="00470CCC"/>
    <w:rsid w:val="004964EE"/>
    <w:rsid w:val="004E52E6"/>
    <w:rsid w:val="00595D66"/>
    <w:rsid w:val="005F6674"/>
    <w:rsid w:val="006064D8"/>
    <w:rsid w:val="006657B8"/>
    <w:rsid w:val="00732C8F"/>
    <w:rsid w:val="007516CB"/>
    <w:rsid w:val="007E610F"/>
    <w:rsid w:val="00864641"/>
    <w:rsid w:val="008D7A88"/>
    <w:rsid w:val="00924095"/>
    <w:rsid w:val="00977345"/>
    <w:rsid w:val="00A52C06"/>
    <w:rsid w:val="00A605DD"/>
    <w:rsid w:val="00A62523"/>
    <w:rsid w:val="00A74E20"/>
    <w:rsid w:val="00B63FE4"/>
    <w:rsid w:val="00B72CFF"/>
    <w:rsid w:val="00BA7BFB"/>
    <w:rsid w:val="00C768E4"/>
    <w:rsid w:val="00CD6B21"/>
    <w:rsid w:val="00D13639"/>
    <w:rsid w:val="00D3116D"/>
    <w:rsid w:val="00D657AD"/>
    <w:rsid w:val="00D9492D"/>
    <w:rsid w:val="00E849F9"/>
    <w:rsid w:val="00F2735A"/>
    <w:rsid w:val="00F62B8B"/>
    <w:rsid w:val="00FD2E23"/>
    <w:rsid w:val="00FE18D0"/>
    <w:rsid w:val="00FE4EF5"/>
    <w:rsid w:val="01994DF2"/>
    <w:rsid w:val="059B7E82"/>
    <w:rsid w:val="29557BEF"/>
    <w:rsid w:val="3D1A39BD"/>
    <w:rsid w:val="3DFF545D"/>
    <w:rsid w:val="4455483B"/>
    <w:rsid w:val="4493387A"/>
    <w:rsid w:val="4A68422E"/>
    <w:rsid w:val="5F5318C0"/>
    <w:rsid w:val="671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副标题 Char"/>
    <w:basedOn w:val="9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C6A31-1C54-4F89-9149-2063B0F32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867</Words>
  <Characters>4947</Characters>
  <Lines>41</Lines>
  <Paragraphs>11</Paragraphs>
  <TotalTime>25</TotalTime>
  <ScaleCrop>false</ScaleCrop>
  <LinksUpToDate>false</LinksUpToDate>
  <CharactersWithSpaces>5803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2019-11-29T02:56:00Z</dcterms:created>
  <dc:creator>pc</dc:creator>
  <cp:lastModifiedBy>Administrator</cp:lastModifiedBy>
  <cp:lastPrinted>2019-11-29T07:17:00Z</cp:lastPrinted>
  <dcterms:modified xsi:type="dcterms:W3CDTF">2020-02-03T01:54:42Z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