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469" w:beforeLines="150" w:line="6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32"/>
          <w:szCs w:val="32"/>
        </w:rPr>
        <w:t>惠</w:t>
      </w:r>
      <w:r>
        <w:rPr>
          <w:rFonts w:hint="eastAsia" w:ascii="仿宋" w:hAnsi="仿宋" w:eastAsia="仿宋" w:cs="仿宋"/>
          <w:sz w:val="32"/>
          <w:szCs w:val="32"/>
          <w:lang w:val="en-US" w:eastAsia="zh-CN"/>
        </w:rPr>
        <w:t>岞</w:t>
      </w:r>
      <w:r>
        <w:rPr>
          <w:rFonts w:hint="eastAsia" w:ascii="仿宋_GB2312" w:hAnsi="仿宋_GB2312" w:eastAsia="仿宋_GB2312" w:cs="仿宋_GB2312"/>
          <w:sz w:val="32"/>
          <w:szCs w:val="32"/>
          <w:lang w:val="en-US" w:eastAsia="zh-CN"/>
        </w:rPr>
        <w:t>政</w:t>
      </w:r>
      <w:r>
        <w:rPr>
          <w:rFonts w:hint="eastAsia" w:ascii="仿宋_GB2312" w:hAnsi="仿宋_GB2312" w:eastAsia="仿宋_GB2312" w:cs="仿宋_GB2312"/>
          <w:sz w:val="32"/>
          <w:szCs w:val="32"/>
        </w:rPr>
        <w:t>〔2019〕</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小</w:t>
      </w:r>
      <w:r>
        <w:rPr>
          <w:rFonts w:hint="eastAsia" w:ascii="方正小标宋_GBK" w:hAnsi="方正小标宋_GBK" w:eastAsia="方正小标宋_GBK" w:cs="方正小标宋_GBK"/>
          <w:sz w:val="44"/>
          <w:szCs w:val="44"/>
          <w:lang w:val="en-US" w:eastAsia="zh-CN"/>
        </w:rPr>
        <w:t>岞</w:t>
      </w:r>
      <w:r>
        <w:rPr>
          <w:rFonts w:hint="eastAsia" w:ascii="方正小标宋简体" w:hAnsi="方正小标宋简体" w:eastAsia="方正小标宋简体" w:cs="方正小标宋简体"/>
          <w:sz w:val="44"/>
          <w:szCs w:val="44"/>
          <w:lang w:val="en-US" w:eastAsia="zh-CN"/>
        </w:rPr>
        <w:t>镇人民政府</w:t>
      </w:r>
      <w:r>
        <w:rPr>
          <w:rFonts w:hint="eastAsia" w:ascii="方正小标宋简体" w:hAnsi="方正小标宋简体" w:eastAsia="方正小标宋简体" w:cs="方正小标宋简体"/>
          <w:sz w:val="44"/>
          <w:szCs w:val="44"/>
        </w:rPr>
        <w:t>关于印发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eastAsia="zh-CN"/>
        </w:rPr>
        <w:t>小</w:t>
      </w:r>
      <w:r>
        <w:rPr>
          <w:rFonts w:hint="eastAsia" w:ascii="方正小标宋_GBK" w:hAnsi="方正小标宋_GBK" w:eastAsia="方正小标宋_GBK" w:cs="方正小标宋_GBK"/>
          <w:sz w:val="44"/>
          <w:szCs w:val="44"/>
          <w:lang w:eastAsia="zh-CN"/>
        </w:rPr>
        <w:t>岞</w:t>
      </w:r>
      <w:r>
        <w:rPr>
          <w:rFonts w:hint="eastAsia" w:ascii="方正小标宋简体" w:hAnsi="方正小标宋简体" w:eastAsia="方正小标宋简体" w:cs="方正小标宋简体"/>
          <w:sz w:val="44"/>
          <w:szCs w:val="44"/>
          <w:lang w:eastAsia="zh-CN"/>
        </w:rPr>
        <w:t>镇</w:t>
      </w:r>
      <w:r>
        <w:rPr>
          <w:rFonts w:hint="eastAsia" w:ascii="方正小标宋简体" w:hAnsi="方正小标宋简体" w:eastAsia="方正小标宋简体" w:cs="方正小标宋简体"/>
          <w:sz w:val="44"/>
          <w:szCs w:val="44"/>
        </w:rPr>
        <w:t>“防风险保平安迎大庆”火灾隐患整治年行动方案的通知</w:t>
      </w:r>
    </w:p>
    <w:p>
      <w:pPr>
        <w:keepNext w:val="0"/>
        <w:keepLines w:val="0"/>
        <w:pageBreakBefore w:val="0"/>
        <w:widowControl w:val="0"/>
        <w:kinsoku/>
        <w:wordWrap/>
        <w:overflowPunct/>
        <w:topLinePunct w:val="0"/>
        <w:autoSpaceDE/>
        <w:autoSpaceDN/>
        <w:bidi w:val="0"/>
        <w:adjustRightInd/>
        <w:spacing w:line="600" w:lineRule="exact"/>
        <w:textAlignment w:val="auto"/>
        <w:rPr>
          <w:rFonts w:eastAsia="仿宋"/>
        </w:rPr>
      </w:pPr>
    </w:p>
    <w:p>
      <w:pPr>
        <w:keepNext w:val="0"/>
        <w:keepLines w:val="0"/>
        <w:pageBreakBefore w:val="0"/>
        <w:widowControl w:val="0"/>
        <w:kinsoku/>
        <w:wordWrap/>
        <w:overflowPunct/>
        <w:topLinePunct w:val="0"/>
        <w:autoSpaceDE/>
        <w:autoSpaceDN/>
        <w:bidi w:val="0"/>
        <w:adjustRightInd/>
        <w:spacing w:line="600" w:lineRule="exact"/>
        <w:textAlignment w:val="auto"/>
        <w:rPr>
          <w:rFonts w:ascii="仿宋_GB2312" w:eastAsia="仿宋_GB2312"/>
        </w:rPr>
      </w:pPr>
      <w:r>
        <w:rPr>
          <w:rFonts w:hint="eastAsia" w:ascii="仿宋_GB2312" w:eastAsia="仿宋_GB2312"/>
          <w:lang w:eastAsia="zh-CN"/>
        </w:rPr>
        <w:t>镇机关各办（站），</w:t>
      </w:r>
      <w:r>
        <w:rPr>
          <w:rFonts w:hint="eastAsia" w:ascii="仿宋_GB2312" w:eastAsia="仿宋_GB2312"/>
        </w:rPr>
        <w:t>各</w:t>
      </w:r>
      <w:r>
        <w:rPr>
          <w:rFonts w:hint="eastAsia" w:ascii="仿宋_GB2312" w:eastAsia="仿宋_GB2312"/>
          <w:lang w:val="en-US" w:eastAsia="zh-CN"/>
        </w:rPr>
        <w:t>村</w:t>
      </w:r>
      <w:r>
        <w:rPr>
          <w:rFonts w:hint="eastAsia" w:ascii="仿宋_GB2312" w:eastAsia="仿宋_GB2312"/>
        </w:rPr>
        <w:t>，</w:t>
      </w:r>
      <w:r>
        <w:rPr>
          <w:rFonts w:hint="eastAsia" w:ascii="仿宋_GB2312" w:eastAsia="仿宋_GB2312"/>
          <w:lang w:val="en-US" w:eastAsia="zh-CN"/>
        </w:rPr>
        <w:t>镇直(属）各单位</w:t>
      </w:r>
      <w:r>
        <w:rPr>
          <w:rFonts w:hint="eastAsia" w:ascii="仿宋_GB2312" w:eastAsia="仿宋_GB231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仿宋_GB2312" w:eastAsia="仿宋_GB2312"/>
        </w:rPr>
        <w:t>根据国务院安办、省</w:t>
      </w:r>
      <w:r>
        <w:rPr>
          <w:rFonts w:hint="eastAsia" w:ascii="仿宋_GB2312" w:eastAsia="仿宋_GB2312"/>
          <w:lang w:eastAsia="zh-CN"/>
        </w:rPr>
        <w:t>政府</w:t>
      </w:r>
      <w:r>
        <w:rPr>
          <w:rFonts w:hint="eastAsia" w:ascii="仿宋_GB2312" w:eastAsia="仿宋_GB2312"/>
        </w:rPr>
        <w:t>、市</w:t>
      </w:r>
      <w:r>
        <w:rPr>
          <w:rFonts w:hint="eastAsia" w:ascii="仿宋_GB2312" w:eastAsia="仿宋_GB2312"/>
          <w:lang w:eastAsia="zh-CN"/>
        </w:rPr>
        <w:t>政府、县政府</w:t>
      </w:r>
      <w:r>
        <w:rPr>
          <w:rFonts w:hint="eastAsia" w:ascii="仿宋_GB2312" w:eastAsia="仿宋_GB2312"/>
        </w:rPr>
        <w:t>安委会关于开展“防风险保平安迎大庆”消防安全执法检查专项行动的有关要求，结合我</w:t>
      </w:r>
      <w:r>
        <w:rPr>
          <w:rFonts w:hint="eastAsia" w:ascii="仿宋_GB2312" w:eastAsia="仿宋_GB2312"/>
          <w:lang w:val="en-US" w:eastAsia="zh-CN"/>
        </w:rPr>
        <w:t>镇</w:t>
      </w:r>
      <w:r>
        <w:rPr>
          <w:rFonts w:hint="eastAsia" w:ascii="仿宋_GB2312" w:eastAsia="仿宋_GB2312"/>
        </w:rPr>
        <w:t>消防安全形势，</w:t>
      </w:r>
      <w:r>
        <w:rPr>
          <w:rFonts w:hint="eastAsia" w:ascii="仿宋_GB2312" w:eastAsia="仿宋_GB2312"/>
          <w:lang w:val="en-US" w:eastAsia="zh-CN"/>
        </w:rPr>
        <w:t>现将</w:t>
      </w:r>
      <w:r>
        <w:rPr>
          <w:rFonts w:hint="eastAsia" w:ascii="仿宋_GB2312" w:eastAsia="仿宋_GB2312"/>
        </w:rPr>
        <w:t>《</w:t>
      </w:r>
      <w:r>
        <w:rPr>
          <w:rFonts w:hint="eastAsia" w:ascii="仿宋_GB2312" w:eastAsia="仿宋_GB2312"/>
          <w:lang w:val="en-US" w:eastAsia="zh-CN"/>
        </w:rPr>
        <w:t>小</w:t>
      </w:r>
      <w:r>
        <w:rPr>
          <w:rFonts w:hint="eastAsia" w:ascii="仿宋" w:hAnsi="仿宋" w:eastAsia="仿宋" w:cs="仿宋"/>
          <w:lang w:val="en-US" w:eastAsia="zh-CN"/>
        </w:rPr>
        <w:t>岞</w:t>
      </w:r>
      <w:r>
        <w:rPr>
          <w:rFonts w:hint="eastAsia" w:ascii="仿宋_GB2312" w:eastAsia="仿宋_GB2312"/>
          <w:lang w:val="en-US" w:eastAsia="zh-CN"/>
        </w:rPr>
        <w:t>镇</w:t>
      </w:r>
      <w:r>
        <w:rPr>
          <w:rFonts w:hint="eastAsia" w:ascii="仿宋_GB2312" w:eastAsia="仿宋_GB2312"/>
        </w:rPr>
        <w:t>“防风险保平安迎大庆”火灾隐患整治年行动方案》印发给你们，请抓好贯彻落实。</w:t>
      </w:r>
    </w:p>
    <w:p>
      <w:pPr>
        <w:keepNext w:val="0"/>
        <w:keepLines w:val="0"/>
        <w:pageBreakBefore w:val="0"/>
        <w:widowControl w:val="0"/>
        <w:kinsoku/>
        <w:wordWrap/>
        <w:overflowPunct/>
        <w:topLinePunct w:val="0"/>
        <w:autoSpaceDE/>
        <w:autoSpaceDN/>
        <w:bidi w:val="0"/>
        <w:adjustRightInd/>
        <w:spacing w:line="600" w:lineRule="exact"/>
        <w:textAlignment w:val="auto"/>
        <w:rPr>
          <w:rFonts w:ascii="仿宋_GB2312" w:eastAsia="仿宋_GB2312"/>
        </w:rPr>
      </w:pPr>
    </w:p>
    <w:p>
      <w:pPr>
        <w:keepNext w:val="0"/>
        <w:keepLines w:val="0"/>
        <w:pageBreakBefore w:val="0"/>
        <w:widowControl w:val="0"/>
        <w:kinsoku/>
        <w:wordWrap/>
        <w:overflowPunct/>
        <w:topLinePunct w:val="0"/>
        <w:autoSpaceDE/>
        <w:autoSpaceDN/>
        <w:bidi w:val="0"/>
        <w:adjustRightInd/>
        <w:spacing w:line="600" w:lineRule="exact"/>
        <w:textAlignment w:val="auto"/>
        <w:rPr>
          <w:rFonts w:ascii="仿宋_GB2312" w:eastAsia="仿宋_GB231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default" w:ascii="仿宋_GB2312" w:eastAsia="仿宋_GB2312"/>
          <w:lang w:val="en-US" w:eastAsia="zh-CN"/>
        </w:rPr>
      </w:pPr>
      <w:r>
        <w:rPr>
          <w:rFonts w:ascii="仿宋_GB2312" w:eastAsia="仿宋_GB2312"/>
        </w:rPr>
        <w:t xml:space="preserve">                    </w:t>
      </w:r>
      <w:r>
        <w:rPr>
          <w:rFonts w:hint="eastAsia" w:ascii="仿宋_GB2312" w:eastAsia="仿宋_GB2312"/>
          <w:lang w:val="en-US" w:eastAsia="zh-CN"/>
        </w:rPr>
        <w:t xml:space="preserve">             小</w:t>
      </w:r>
      <w:r>
        <w:rPr>
          <w:rFonts w:hint="eastAsia" w:ascii="仿宋" w:hAnsi="仿宋" w:eastAsia="仿宋" w:cs="仿宋"/>
          <w:lang w:val="en-US" w:eastAsia="zh-CN"/>
        </w:rPr>
        <w:t>岞</w:t>
      </w:r>
      <w:r>
        <w:rPr>
          <w:rFonts w:hint="eastAsia" w:ascii="仿宋_GB2312" w:eastAsia="仿宋_GB2312"/>
          <w:lang w:val="en-US" w:eastAsia="zh-CN"/>
        </w:rPr>
        <w:t>镇人民政府</w:t>
      </w:r>
    </w:p>
    <w:p>
      <w:pPr>
        <w:keepNext w:val="0"/>
        <w:keepLines w:val="0"/>
        <w:pageBreakBefore w:val="0"/>
        <w:widowControl w:val="0"/>
        <w:kinsoku/>
        <w:wordWrap/>
        <w:overflowPunct/>
        <w:topLinePunct w:val="0"/>
        <w:autoSpaceDE/>
        <w:autoSpaceDN/>
        <w:bidi w:val="0"/>
        <w:adjustRightInd/>
        <w:spacing w:line="600" w:lineRule="exact"/>
        <w:ind w:firstLine="5120" w:firstLineChars="1600"/>
        <w:textAlignment w:val="auto"/>
        <w:rPr>
          <w:rFonts w:ascii="仿宋_GB2312" w:eastAsia="仿宋_GB2312"/>
        </w:rPr>
      </w:pPr>
      <w:r>
        <w:rPr>
          <w:rFonts w:ascii="仿宋_GB2312" w:eastAsia="仿宋_GB2312"/>
        </w:rPr>
        <w:t>2019</w:t>
      </w:r>
      <w:r>
        <w:rPr>
          <w:rFonts w:hint="eastAsia" w:ascii="仿宋_GB2312" w:eastAsia="仿宋_GB2312"/>
        </w:rPr>
        <w:t>年6月</w:t>
      </w:r>
      <w:r>
        <w:rPr>
          <w:rFonts w:hint="eastAsia" w:ascii="仿宋_GB2312" w:eastAsia="仿宋_GB2312"/>
          <w:lang w:val="en-US" w:eastAsia="zh-CN"/>
        </w:rPr>
        <w:t>24</w:t>
      </w:r>
      <w:r>
        <w:rPr>
          <w:rFonts w:hint="eastAsia" w:ascii="仿宋_GB2312" w:eastAsia="仿宋_GB2312"/>
        </w:rPr>
        <w:t>日</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Style w:val="11"/>
        </w:rPr>
        <w:sectPr>
          <w:footerReference r:id="rId5" w:type="first"/>
          <w:footerReference r:id="rId3" w:type="default"/>
          <w:footerReference r:id="rId4" w:type="even"/>
          <w:pgSz w:w="11906" w:h="16838"/>
          <w:pgMar w:top="1928" w:right="1531" w:bottom="1928" w:left="1531" w:header="851" w:footer="992" w:gutter="0"/>
          <w:pgNumType w:fmt="numberInDash"/>
          <w:cols w:space="720" w:num="1"/>
          <w:docGrid w:linePitch="312" w:charSpace="0"/>
        </w:sect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小</w:t>
      </w:r>
      <w:r>
        <w:rPr>
          <w:rFonts w:hint="eastAsia" w:ascii="方正小标宋_GBK" w:hAnsi="方正小标宋_GBK" w:eastAsia="方正小标宋_GBK" w:cs="方正小标宋_GBK"/>
          <w:sz w:val="44"/>
          <w:szCs w:val="44"/>
          <w:lang w:val="en-US" w:eastAsia="zh-CN"/>
        </w:rPr>
        <w:t>岞</w:t>
      </w:r>
      <w:r>
        <w:rPr>
          <w:rFonts w:hint="eastAsia" w:ascii="方正小标宋简体" w:hAnsi="方正小标宋简体" w:eastAsia="方正小标宋简体" w:cs="方正小标宋简体"/>
          <w:sz w:val="44"/>
          <w:szCs w:val="44"/>
          <w:lang w:val="en-US" w:eastAsia="zh-CN"/>
        </w:rPr>
        <w:t>镇</w:t>
      </w:r>
      <w:r>
        <w:rPr>
          <w:rFonts w:hint="eastAsia" w:ascii="方正小标宋简体" w:hAnsi="方正小标宋简体" w:eastAsia="方正小标宋简体" w:cs="方正小标宋简体"/>
          <w:sz w:val="44"/>
          <w:szCs w:val="44"/>
        </w:rPr>
        <w:t>“防风险保平安迎大庆”</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火灾隐患整治年行动方案</w:t>
      </w:r>
    </w:p>
    <w:p>
      <w:pPr>
        <w:keepNext w:val="0"/>
        <w:keepLines w:val="0"/>
        <w:pageBreakBefore w:val="0"/>
        <w:widowControl w:val="0"/>
        <w:kinsoku/>
        <w:wordWrap/>
        <w:overflowPunct/>
        <w:topLinePunct w:val="0"/>
        <w:autoSpaceDE/>
        <w:autoSpaceDN/>
        <w:bidi w:val="0"/>
        <w:adjustRightInd/>
        <w:spacing w:line="600" w:lineRule="exact"/>
        <w:textAlignment w:val="auto"/>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仿宋_GB2312" w:eastAsia="仿宋_GB2312"/>
        </w:rPr>
        <w:t>为有效防范化解重大安全风险，坚决遏制群死群伤火灾事故，全力维护人民群众生命财产安全和社会稳定，根据国务院安办、省</w:t>
      </w:r>
      <w:r>
        <w:rPr>
          <w:rFonts w:hint="eastAsia" w:ascii="仿宋_GB2312" w:eastAsia="仿宋_GB2312"/>
          <w:lang w:eastAsia="zh-CN"/>
        </w:rPr>
        <w:t>政府</w:t>
      </w:r>
      <w:r>
        <w:rPr>
          <w:rFonts w:hint="eastAsia" w:ascii="仿宋_GB2312" w:eastAsia="仿宋_GB2312"/>
        </w:rPr>
        <w:t>、市</w:t>
      </w:r>
      <w:r>
        <w:rPr>
          <w:rFonts w:hint="eastAsia" w:ascii="仿宋_GB2312" w:eastAsia="仿宋_GB2312"/>
          <w:lang w:eastAsia="zh-CN"/>
        </w:rPr>
        <w:t>政府、县政府</w:t>
      </w:r>
      <w:r>
        <w:rPr>
          <w:rFonts w:hint="eastAsia" w:ascii="仿宋_GB2312" w:eastAsia="仿宋_GB2312"/>
        </w:rPr>
        <w:t>安委会工作部署，</w:t>
      </w:r>
      <w:r>
        <w:rPr>
          <w:rFonts w:hint="eastAsia" w:ascii="仿宋_GB2312" w:eastAsia="仿宋_GB2312"/>
          <w:lang w:val="en-US" w:eastAsia="zh-CN"/>
        </w:rPr>
        <w:t>我镇</w:t>
      </w:r>
      <w:r>
        <w:rPr>
          <w:rFonts w:hint="eastAsia" w:ascii="仿宋_GB2312" w:eastAsia="仿宋_GB2312"/>
        </w:rPr>
        <w:t>决定将</w:t>
      </w:r>
      <w:r>
        <w:rPr>
          <w:rFonts w:ascii="仿宋_GB2312" w:eastAsia="仿宋_GB2312"/>
        </w:rPr>
        <w:t>2019</w:t>
      </w:r>
      <w:r>
        <w:rPr>
          <w:rFonts w:hint="eastAsia" w:ascii="仿宋_GB2312" w:eastAsia="仿宋_GB2312"/>
        </w:rPr>
        <w:t>年作为“火灾隐患整治年”，即日起至</w:t>
      </w:r>
      <w:r>
        <w:rPr>
          <w:rFonts w:ascii="仿宋_GB2312" w:eastAsia="仿宋_GB2312"/>
        </w:rPr>
        <w:t>10</w:t>
      </w:r>
      <w:r>
        <w:rPr>
          <w:rFonts w:hint="eastAsia" w:ascii="仿宋_GB2312" w:eastAsia="仿宋_GB2312"/>
        </w:rPr>
        <w:t>月组织开展“防风险保平安迎大庆”火灾隐患整治年行动，特制定本方案。</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rPr>
      </w:pPr>
      <w:r>
        <w:rPr>
          <w:rFonts w:hint="eastAsia" w:ascii="黑体" w:hAnsi="黑体" w:eastAsia="黑体"/>
        </w:rPr>
        <w:t>一、工作目标</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仿宋_GB2312" w:eastAsia="仿宋_GB2312"/>
        </w:rPr>
        <w:t>认真贯彻落实习近平总书记关于安全生产和消防安全的重要指示精神，坚持以人民为中心的发展思想，突出问题导向，强化底线思维，深入开展消防安全综合治理，加强执法检查，全力防范化解重大安全风险，坚决遏制较大和影响大的火灾，有效减少“小火亡人”火灾，为新中国成立</w:t>
      </w:r>
      <w:r>
        <w:rPr>
          <w:rFonts w:ascii="仿宋_GB2312" w:eastAsia="仿宋_GB2312"/>
        </w:rPr>
        <w:t>70</w:t>
      </w:r>
      <w:r>
        <w:rPr>
          <w:rFonts w:hint="eastAsia" w:ascii="仿宋_GB2312" w:eastAsia="仿宋_GB2312"/>
        </w:rPr>
        <w:t>周年创造良好的消防安全环境。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rPr>
      </w:pPr>
      <w:r>
        <w:rPr>
          <w:rFonts w:hint="eastAsia" w:ascii="黑体" w:hAnsi="黑体" w:eastAsia="黑体"/>
        </w:rPr>
        <w:t>二、重点检查内容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仿宋_GB2312" w:eastAsia="仿宋_GB2312"/>
        </w:rPr>
        <w:t>紧盯“多合一”场所、群租房、劳动密集型企业、公众聚集场所（商场市场、公共娱乐场所、宾馆饭店）、老</w:t>
      </w:r>
      <w:r>
        <w:rPr>
          <w:rFonts w:hint="eastAsia" w:ascii="仿宋_GB2312" w:eastAsia="仿宋_GB2312"/>
          <w:lang w:val="en-US" w:eastAsia="zh-CN"/>
        </w:rPr>
        <w:t>人会</w:t>
      </w:r>
      <w:r>
        <w:rPr>
          <w:rFonts w:hint="eastAsia" w:ascii="仿宋_GB2312" w:eastAsia="仿宋_GB2312"/>
        </w:rPr>
        <w:t>、高层建筑、</w:t>
      </w:r>
      <w:r>
        <w:rPr>
          <w:rFonts w:hint="eastAsia" w:ascii="仿宋_GB2312" w:eastAsia="仿宋_GB2312"/>
          <w:lang w:eastAsia="zh-CN"/>
        </w:rPr>
        <w:t>施工工地、</w:t>
      </w:r>
      <w:r>
        <w:rPr>
          <w:rFonts w:hint="eastAsia" w:ascii="仿宋_GB2312" w:eastAsia="仿宋_GB2312"/>
        </w:rPr>
        <w:t>住宅小区、文物古建筑、区域性隐患等十类重点场所（区域），重点整治以下十类突出风险问题：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楷体_GB2312" w:eastAsia="楷体_GB2312"/>
          <w:bCs/>
        </w:rPr>
        <w:t>（一）违规使用易燃可燃材料装修装饰。</w:t>
      </w:r>
      <w:r>
        <w:rPr>
          <w:rFonts w:hint="eastAsia" w:ascii="仿宋_GB2312" w:eastAsia="仿宋_GB2312"/>
        </w:rPr>
        <w:t>人员密集场所使用聚氨酯泡沫、聚苯乙烯等易燃可燃材料装修或者作隔热保温层。员工宿舍采用易燃可燃材料为芯材的彩钢板搭建。公共娱乐场所、商场市场等使用大量易燃可燃材料装饰。</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楷体_GB2312" w:eastAsia="楷体_GB2312"/>
          <w:bCs/>
        </w:rPr>
        <w:t>（二）防火分隔不到位。</w:t>
      </w:r>
      <w:r>
        <w:rPr>
          <w:rFonts w:hint="eastAsia" w:ascii="仿宋_GB2312" w:eastAsia="仿宋_GB2312"/>
        </w:rPr>
        <w:t>建筑地下与地上部分、住宅与非住宅部分未按规范进行防火分隔。防火隔墙、防火卷帘、防火门等防火分隔设施缺失或者损坏。楼梯间、前室常闭式防火门常开。门窗孔洞、竖向管道井每层楼板处封堵不严密。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楷体_GB2312" w:eastAsia="楷体_GB2312"/>
          <w:bCs/>
        </w:rPr>
        <w:t>（三）疏散通道不畅通。</w:t>
      </w:r>
      <w:r>
        <w:rPr>
          <w:rFonts w:hint="eastAsia" w:ascii="仿宋_GB2312" w:eastAsia="仿宋_GB2312"/>
        </w:rPr>
        <w:t>疏散通道、安全出口数量不足或者被封闭、堵塞、占用。人员密集场所在门窗上设置广告牌等影响逃生和灭火救援的障碍物。</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楷体_GB2312" w:eastAsia="楷体_GB2312"/>
          <w:bCs/>
        </w:rPr>
        <w:t>（四）违规存放易燃易爆危险品。</w:t>
      </w:r>
      <w:r>
        <w:rPr>
          <w:rFonts w:hint="eastAsia" w:ascii="仿宋_GB2312" w:eastAsia="仿宋_GB2312"/>
        </w:rPr>
        <w:t>人员密集场所违规使用、储存易燃易爆危险品。群租房、商场市场、施工工地等场所违规堆放易燃可燃物品。劳动密集型企业生产车间等场所超量存放易燃易爆原材料或者半成品。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楷体_GB2312" w:eastAsia="楷体_GB2312"/>
          <w:bCs/>
        </w:rPr>
        <w:t>（五）消防设施损坏停用。</w:t>
      </w:r>
      <w:r>
        <w:rPr>
          <w:rFonts w:hint="eastAsia" w:ascii="仿宋_GB2312" w:eastAsia="仿宋_GB2312"/>
        </w:rPr>
        <w:t>火灾自动报警系统停用或者不能正常运行。消防水泵控制柜处于手动控制状态。自动喷水灭火系统、防火卷帘、机械防排烟等消防设施不能正常联动。消火栓、自动喷水灭火系统不能正常供水。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楷体_GB2312" w:eastAsia="楷体_GB2312"/>
          <w:bCs/>
        </w:rPr>
        <w:t>（六）电动自行车违规停放充电。</w:t>
      </w:r>
      <w:r>
        <w:rPr>
          <w:rFonts w:hint="eastAsia" w:ascii="仿宋_GB2312" w:eastAsia="仿宋_GB2312"/>
        </w:rPr>
        <w:t>停放在建筑门厅、楼梯间、共用走道以及地下室、半地下室等室内公共区域。停放位置与周围可燃物未落实防火分隔措施。采取“飞线”、入户等方式违规充电。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楷体_GB2312" w:eastAsia="楷体_GB2312"/>
          <w:bCs/>
        </w:rPr>
        <w:t>（七）电气火灾隐患。</w:t>
      </w:r>
      <w:r>
        <w:rPr>
          <w:rFonts w:hint="eastAsia" w:ascii="仿宋_GB2312" w:eastAsia="仿宋_GB2312"/>
        </w:rPr>
        <w:t>使用无证或“三无”电线、电器产品。电气线路敷设不规范，未采取穿金属管、密封槽盒等防火保护措施。电表箱、配电箱（柜）等电气设备未设短路、过负荷、漏电等保护装置。私拉乱接电气线路，随意增加线路负荷。电气设备未与可燃物保持安全距离。</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楷体_GB2312" w:eastAsia="楷体_GB2312"/>
          <w:bCs/>
        </w:rPr>
        <w:t>（八）重点岗位人员责任不落实。</w:t>
      </w:r>
      <w:r>
        <w:rPr>
          <w:rFonts w:hint="eastAsia" w:ascii="仿宋_GB2312" w:eastAsia="仿宋_GB2312"/>
        </w:rPr>
        <w:t>单位未依法明确消防安全责任人、管理人及其职责。消防控制室值班人员不会熟练操作消防设施设备。微型消防站队员不能及时有效处置初起火灾。</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楷体_GB2312" w:eastAsia="楷体_GB2312"/>
          <w:bCs/>
        </w:rPr>
        <w:t>（九）日常管理机制不健全。</w:t>
      </w:r>
      <w:r>
        <w:rPr>
          <w:rFonts w:hint="eastAsia" w:ascii="仿宋_GB2312" w:eastAsia="仿宋_GB2312"/>
        </w:rPr>
        <w:t>单位未定期开展建筑消防设施检测和维护保养，并完整准确记录。未定期开展防火检查巡查，并如实登记报告。未及时整改消除隐患问题，并落实安全防范措施。</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楷体_GB2312" w:eastAsia="楷体_GB2312"/>
          <w:bCs/>
        </w:rPr>
        <w:t>（十）宣传教育培训不深入。</w:t>
      </w:r>
      <w:r>
        <w:rPr>
          <w:rFonts w:hint="eastAsia" w:ascii="仿宋_GB2312" w:eastAsia="仿宋_GB2312"/>
        </w:rPr>
        <w:t>单位检查整改隐患、扑救初起火灾、组织人员疏散、开展宣传培训能力不足。员工不了解本场所火灾危险性，不会报警、不会灭火、不会逃生。</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rPr>
      </w:pPr>
      <w:r>
        <w:rPr>
          <w:rFonts w:hint="eastAsia" w:ascii="黑体" w:hAnsi="黑体" w:eastAsia="黑体"/>
        </w:rPr>
        <w:t>三、步骤及措施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楷体_GB2312" w:eastAsia="楷体_GB2312"/>
          <w:bCs/>
        </w:rPr>
      </w:pPr>
      <w:r>
        <w:rPr>
          <w:rFonts w:hint="eastAsia" w:ascii="楷体_GB2312" w:eastAsia="楷体_GB2312"/>
          <w:bCs/>
        </w:rPr>
        <w:t>（一）部署发动阶段（</w:t>
      </w:r>
      <w:r>
        <w:rPr>
          <w:rFonts w:ascii="楷体_GB2312" w:eastAsia="楷体_GB2312"/>
          <w:bCs/>
        </w:rPr>
        <w:t>2019</w:t>
      </w:r>
      <w:r>
        <w:rPr>
          <w:rFonts w:hint="eastAsia" w:ascii="楷体_GB2312" w:eastAsia="楷体_GB2312"/>
          <w:bCs/>
        </w:rPr>
        <w:t>年</w:t>
      </w:r>
      <w:r>
        <w:rPr>
          <w:rFonts w:hint="eastAsia" w:ascii="楷体_GB2312" w:eastAsia="楷体_GB2312"/>
          <w:bCs/>
          <w:lang w:val="en-US" w:eastAsia="zh-CN"/>
        </w:rPr>
        <w:t>6</w:t>
      </w:r>
      <w:r>
        <w:rPr>
          <w:rFonts w:hint="eastAsia" w:ascii="楷体_GB2312" w:eastAsia="楷体_GB2312"/>
          <w:bCs/>
        </w:rPr>
        <w:t>月</w:t>
      </w:r>
      <w:r>
        <w:rPr>
          <w:rFonts w:hint="eastAsia" w:ascii="楷体_GB2312" w:eastAsia="楷体_GB2312"/>
          <w:bCs/>
          <w:lang w:val="en-US" w:eastAsia="zh-CN"/>
        </w:rPr>
        <w:t>25</w:t>
      </w:r>
      <w:r>
        <w:rPr>
          <w:rFonts w:hint="eastAsia" w:ascii="楷体_GB2312" w:eastAsia="楷体_GB2312"/>
          <w:bCs/>
        </w:rPr>
        <w:t>日前）。</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rPr>
      </w:pPr>
      <w:r>
        <w:rPr>
          <w:rFonts w:ascii="仿宋_GB2312" w:eastAsia="仿宋_GB2312"/>
        </w:rPr>
        <w:t>1.</w:t>
      </w:r>
      <w:r>
        <w:rPr>
          <w:rFonts w:hint="eastAsia" w:ascii="仿宋_GB2312" w:eastAsia="仿宋_GB2312"/>
        </w:rPr>
        <w:t>各</w:t>
      </w:r>
      <w:r>
        <w:rPr>
          <w:rFonts w:hint="eastAsia" w:ascii="仿宋_GB2312" w:eastAsia="仿宋_GB2312"/>
          <w:lang w:val="en-US" w:eastAsia="zh-CN"/>
        </w:rPr>
        <w:t>村</w:t>
      </w:r>
      <w:r>
        <w:rPr>
          <w:rFonts w:hint="eastAsia" w:ascii="仿宋_GB2312" w:eastAsia="仿宋_GB2312"/>
        </w:rPr>
        <w:t>要结合实际，研究制定解决消防安全突出问题的具体措施，进一步明确职责，因地制宜制定火灾隐患排查整治专项方案。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rPr>
      </w:pPr>
      <w:r>
        <w:rPr>
          <w:rFonts w:ascii="仿宋_GB2312" w:eastAsia="仿宋_GB2312"/>
        </w:rPr>
        <w:t>2.</w:t>
      </w:r>
      <w:r>
        <w:rPr>
          <w:rFonts w:hint="eastAsia" w:ascii="仿宋_GB2312" w:eastAsia="仿宋_GB2312"/>
          <w:lang w:val="en-US" w:eastAsia="zh-CN"/>
        </w:rPr>
        <w:t>镇机关有关部门、镇</w:t>
      </w:r>
      <w:r>
        <w:rPr>
          <w:rFonts w:hint="eastAsia" w:ascii="仿宋_GB2312" w:eastAsia="仿宋_GB2312"/>
        </w:rPr>
        <w:t>直有关</w:t>
      </w:r>
      <w:r>
        <w:rPr>
          <w:rFonts w:hint="eastAsia" w:ascii="仿宋_GB2312" w:eastAsia="仿宋_GB2312"/>
          <w:lang w:val="en-US" w:eastAsia="zh-CN"/>
        </w:rPr>
        <w:t>单位</w:t>
      </w:r>
      <w:r>
        <w:rPr>
          <w:rFonts w:hint="eastAsia" w:ascii="仿宋_GB2312" w:eastAsia="仿宋_GB2312"/>
        </w:rPr>
        <w:t>要召开会议分析</w:t>
      </w:r>
      <w:r>
        <w:rPr>
          <w:rFonts w:hint="eastAsia" w:ascii="仿宋_GB2312" w:eastAsia="仿宋_GB2312"/>
          <w:lang w:eastAsia="zh-CN"/>
        </w:rPr>
        <w:t>本</w:t>
      </w:r>
      <w:r>
        <w:rPr>
          <w:rFonts w:hint="eastAsia" w:ascii="仿宋_GB2312" w:eastAsia="仿宋_GB2312"/>
        </w:rPr>
        <w:t>行业本系统消防安全形势，研究解决涉及消防安全的重大问题，制定本</w:t>
      </w:r>
      <w:r>
        <w:rPr>
          <w:rFonts w:hint="eastAsia" w:ascii="仿宋_GB2312" w:eastAsia="仿宋_GB2312"/>
          <w:lang w:val="en-US" w:eastAsia="zh-CN"/>
        </w:rPr>
        <w:t>部门、本单位</w:t>
      </w:r>
      <w:r>
        <w:rPr>
          <w:rFonts w:hint="eastAsia" w:ascii="仿宋_GB2312" w:eastAsia="仿宋_GB2312"/>
        </w:rPr>
        <w:t>年度火灾隐患排查整治工作方案。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rPr>
      </w:pPr>
      <w:r>
        <w:rPr>
          <w:rFonts w:ascii="仿宋_GB2312" w:eastAsia="仿宋_GB2312"/>
        </w:rPr>
        <w:t>3.</w:t>
      </w:r>
      <w:r>
        <w:rPr>
          <w:rFonts w:hint="eastAsia" w:ascii="仿宋_GB2312" w:eastAsia="仿宋_GB2312"/>
        </w:rPr>
        <w:t>要组织对</w:t>
      </w:r>
      <w:r>
        <w:rPr>
          <w:rFonts w:hint="eastAsia" w:ascii="仿宋_GB2312" w:eastAsia="仿宋_GB2312"/>
          <w:lang w:eastAsia="zh-CN"/>
        </w:rPr>
        <w:t>行业部门负责人、公安派出所民警、</w:t>
      </w:r>
      <w:r>
        <w:rPr>
          <w:rFonts w:hint="eastAsia" w:ascii="仿宋_GB2312" w:eastAsia="仿宋_GB2312"/>
          <w:lang w:val="en-US" w:eastAsia="zh-CN"/>
        </w:rPr>
        <w:t>村两委、聘用干部、</w:t>
      </w:r>
      <w:r>
        <w:rPr>
          <w:rFonts w:hint="eastAsia" w:ascii="仿宋_GB2312" w:eastAsia="仿宋_GB2312"/>
        </w:rPr>
        <w:t>网格员和</w:t>
      </w:r>
      <w:r>
        <w:rPr>
          <w:rFonts w:hint="eastAsia" w:ascii="仿宋_GB2312" w:eastAsia="仿宋_GB2312"/>
          <w:lang w:val="en-US" w:eastAsia="zh-CN"/>
        </w:rPr>
        <w:t>企业</w:t>
      </w:r>
      <w:r>
        <w:rPr>
          <w:rFonts w:hint="eastAsia" w:ascii="仿宋_GB2312" w:eastAsia="仿宋_GB2312"/>
        </w:rPr>
        <w:t>消防安全责任人、管理人等开展约谈培训，提示突出风险，明确工作责任，督促其掌握整治重点、标准和要求。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楷体_GB2312" w:eastAsia="楷体_GB2312"/>
          <w:bCs/>
        </w:rPr>
      </w:pPr>
      <w:r>
        <w:rPr>
          <w:rFonts w:hint="eastAsia" w:ascii="楷体_GB2312" w:eastAsia="楷体_GB2312"/>
          <w:bCs/>
        </w:rPr>
        <w:t>（二）组织实施阶段（</w:t>
      </w:r>
      <w:r>
        <w:rPr>
          <w:rFonts w:ascii="楷体_GB2312" w:eastAsia="楷体_GB2312"/>
          <w:bCs/>
        </w:rPr>
        <w:t>2019</w:t>
      </w:r>
      <w:r>
        <w:rPr>
          <w:rFonts w:hint="eastAsia" w:ascii="楷体_GB2312" w:eastAsia="楷体_GB2312"/>
          <w:bCs/>
        </w:rPr>
        <w:t>年</w:t>
      </w:r>
      <w:r>
        <w:rPr>
          <w:rFonts w:ascii="楷体_GB2312" w:eastAsia="楷体_GB2312"/>
          <w:bCs/>
        </w:rPr>
        <w:t>6</w:t>
      </w:r>
      <w:r>
        <w:rPr>
          <w:rFonts w:hint="eastAsia" w:ascii="楷体_GB2312" w:eastAsia="楷体_GB2312"/>
          <w:bCs/>
        </w:rPr>
        <w:t>月</w:t>
      </w:r>
      <w:r>
        <w:rPr>
          <w:rFonts w:hint="eastAsia" w:ascii="楷体_GB2312" w:eastAsia="楷体_GB2312"/>
          <w:bCs/>
          <w:lang w:val="en-US" w:eastAsia="zh-CN"/>
        </w:rPr>
        <w:t>25</w:t>
      </w:r>
      <w:r>
        <w:rPr>
          <w:rFonts w:hint="eastAsia" w:ascii="楷体_GB2312" w:eastAsia="楷体_GB2312"/>
          <w:bCs/>
        </w:rPr>
        <w:t>日至</w:t>
      </w:r>
      <w:r>
        <w:rPr>
          <w:rFonts w:ascii="楷体_GB2312" w:eastAsia="楷体_GB2312"/>
          <w:bCs/>
        </w:rPr>
        <w:t>10</w:t>
      </w:r>
      <w:r>
        <w:rPr>
          <w:rFonts w:hint="eastAsia" w:ascii="楷体_GB2312" w:eastAsia="楷体_GB2312"/>
          <w:bCs/>
        </w:rPr>
        <w:t>月</w:t>
      </w:r>
      <w:r>
        <w:rPr>
          <w:rFonts w:ascii="楷体_GB2312" w:eastAsia="楷体_GB2312"/>
          <w:bCs/>
        </w:rPr>
        <w:t>10</w:t>
      </w:r>
      <w:r>
        <w:rPr>
          <w:rFonts w:hint="eastAsia" w:ascii="楷体_GB2312" w:eastAsia="楷体_GB2312"/>
          <w:bCs/>
        </w:rPr>
        <w:t>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rPr>
      </w:pPr>
      <w:r>
        <w:rPr>
          <w:rFonts w:ascii="仿宋_GB2312" w:eastAsia="仿宋_GB2312"/>
        </w:rPr>
        <w:t>1.</w:t>
      </w:r>
      <w:r>
        <w:rPr>
          <w:rFonts w:hint="eastAsia" w:ascii="仿宋_GB2312" w:eastAsia="仿宋_GB2312"/>
        </w:rPr>
        <w:t>自查自改。督促各单位对照检查标准，开展“三自主、两公开、一承诺”活动（自主评估风险、自主检查安全、自主整改隐患，向社会公开消防安全责任人、管理人，并承诺本场所不存在突出风险或者已落实防范措施）。</w:t>
      </w:r>
      <w:r>
        <w:rPr>
          <w:rFonts w:hint="eastAsia" w:ascii="仿宋_GB2312" w:eastAsia="仿宋_GB2312"/>
          <w:lang w:val="en-US" w:eastAsia="zh-CN"/>
        </w:rPr>
        <w:t>7</w:t>
      </w:r>
      <w:r>
        <w:rPr>
          <w:rFonts w:hint="eastAsia" w:ascii="仿宋_GB2312" w:eastAsia="仿宋_GB2312"/>
        </w:rPr>
        <w:t>月</w:t>
      </w:r>
      <w:r>
        <w:rPr>
          <w:rFonts w:hint="eastAsia" w:ascii="仿宋_GB2312" w:eastAsia="仿宋_GB2312"/>
          <w:lang w:val="en-US" w:eastAsia="zh-CN"/>
        </w:rPr>
        <w:t>1</w:t>
      </w:r>
      <w:r>
        <w:rPr>
          <w:rFonts w:hint="eastAsia" w:ascii="仿宋_GB2312" w:eastAsia="仿宋_GB2312"/>
        </w:rPr>
        <w:t>日前，各单位要</w:t>
      </w:r>
      <w:r>
        <w:rPr>
          <w:rFonts w:hint="eastAsia" w:ascii="仿宋_GB2312" w:eastAsia="仿宋_GB2312"/>
          <w:lang w:val="en-US" w:eastAsia="zh-CN"/>
        </w:rPr>
        <w:t>上报</w:t>
      </w:r>
      <w:r>
        <w:rPr>
          <w:rFonts w:hint="eastAsia" w:ascii="仿宋_GB2312" w:eastAsia="仿宋_GB2312"/>
        </w:rPr>
        <w:t>《单位消防安全自评自查自改和消防安全承诺情况登记表》（附件</w:t>
      </w:r>
      <w:r>
        <w:rPr>
          <w:rFonts w:ascii="仿宋_GB2312" w:eastAsia="仿宋_GB2312"/>
        </w:rPr>
        <w:t>1</w:t>
      </w:r>
      <w:r>
        <w:rPr>
          <w:rFonts w:hint="eastAsia" w:ascii="仿宋_GB2312" w:eastAsia="仿宋_GB2312"/>
        </w:rPr>
        <w:t>）。</w:t>
      </w:r>
      <w:r>
        <w:rPr>
          <w:rFonts w:hint="eastAsia" w:ascii="仿宋_GB2312" w:eastAsia="仿宋_GB2312"/>
          <w:color w:val="000000"/>
        </w:rPr>
        <w:t>纳入泉州市智慧安监信息管理平台监管的单位</w:t>
      </w:r>
      <w:r>
        <w:rPr>
          <w:rFonts w:hint="eastAsia" w:ascii="仿宋_GB2312" w:eastAsia="仿宋_GB2312"/>
        </w:rPr>
        <w:t>，可通过智慧安监信息管理平台企业端报送。</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rPr>
      </w:pPr>
      <w:r>
        <w:rPr>
          <w:rFonts w:ascii="仿宋_GB2312" w:eastAsia="仿宋_GB2312"/>
        </w:rPr>
        <w:t>2.</w:t>
      </w:r>
      <w:r>
        <w:rPr>
          <w:rFonts w:hint="eastAsia" w:ascii="仿宋_GB2312" w:eastAsia="仿宋_GB2312"/>
          <w:lang w:val="en-US" w:eastAsia="zh-CN"/>
        </w:rPr>
        <w:t>排查整治</w:t>
      </w:r>
      <w:r>
        <w:rPr>
          <w:rFonts w:hint="eastAsia" w:ascii="仿宋_GB2312" w:eastAsia="仿宋_GB2312"/>
        </w:rPr>
        <w:t>。</w:t>
      </w:r>
      <w:r>
        <w:rPr>
          <w:rFonts w:hint="eastAsia" w:ascii="仿宋_GB2312" w:eastAsia="仿宋_GB2312"/>
          <w:lang w:val="en-US" w:eastAsia="zh-CN"/>
        </w:rPr>
        <w:t>各村</w:t>
      </w:r>
      <w:r>
        <w:rPr>
          <w:rFonts w:hint="eastAsia" w:ascii="仿宋_GB2312" w:eastAsia="仿宋_GB2312"/>
        </w:rPr>
        <w:t>要发动安全管理人员和网格力量开展排查</w:t>
      </w:r>
      <w:r>
        <w:rPr>
          <w:rFonts w:hint="eastAsia" w:ascii="仿宋_GB2312" w:eastAsia="仿宋_GB2312"/>
          <w:lang w:eastAsia="zh-CN"/>
        </w:rPr>
        <w:t>，</w:t>
      </w:r>
      <w:r>
        <w:rPr>
          <w:rFonts w:hint="eastAsia" w:ascii="仿宋_GB2312" w:eastAsia="仿宋_GB2312"/>
        </w:rPr>
        <w:t>各相关行业部门按照规定的消防安全职责和检查重点、要求，结合单位自查自改情况，逐类场所、逐类风险进行排查</w:t>
      </w:r>
      <w:r>
        <w:rPr>
          <w:rFonts w:hint="eastAsia" w:ascii="仿宋_GB2312" w:eastAsia="仿宋_GB2312"/>
          <w:lang w:eastAsia="zh-CN"/>
        </w:rPr>
        <w:t>，</w:t>
      </w:r>
      <w:r>
        <w:rPr>
          <w:rFonts w:hint="eastAsia" w:ascii="仿宋_GB2312" w:eastAsia="仿宋_GB2312"/>
        </w:rPr>
        <w:t>对照《消防安全风险排查整治要求》和《消防安全风险排查方法、标准及措施》（附件</w:t>
      </w:r>
      <w:r>
        <w:rPr>
          <w:rFonts w:ascii="仿宋_GB2312" w:eastAsia="仿宋_GB2312"/>
        </w:rPr>
        <w:t>2</w:t>
      </w:r>
      <w:r>
        <w:rPr>
          <w:rFonts w:hint="eastAsia" w:ascii="仿宋_GB2312" w:eastAsia="仿宋_GB2312"/>
        </w:rPr>
        <w:t>）全面开展排查，建立健全排查整治台账（附件</w:t>
      </w:r>
      <w:r>
        <w:rPr>
          <w:rFonts w:ascii="仿宋_GB2312" w:eastAsia="仿宋_GB2312"/>
        </w:rPr>
        <w:t>3</w:t>
      </w:r>
      <w:r>
        <w:rPr>
          <w:rFonts w:hint="eastAsia" w:ascii="仿宋_GB2312" w:eastAsia="仿宋_GB2312"/>
        </w:rPr>
        <w:t>）备查；对检查到</w:t>
      </w:r>
      <w:r>
        <w:rPr>
          <w:rFonts w:hint="eastAsia" w:ascii="仿宋_GB2312" w:eastAsia="仿宋_GB2312"/>
          <w:lang w:val="en-US" w:eastAsia="zh-CN"/>
        </w:rPr>
        <w:t>纳入</w:t>
      </w:r>
      <w:r>
        <w:rPr>
          <w:rFonts w:hint="eastAsia" w:ascii="仿宋_GB2312" w:eastAsia="仿宋_GB2312"/>
        </w:rPr>
        <w:t>智慧安监信息管理平台的企业，监督检查情况要</w:t>
      </w:r>
      <w:r>
        <w:rPr>
          <w:rFonts w:hint="eastAsia" w:ascii="仿宋_GB2312" w:eastAsia="仿宋_GB2312"/>
          <w:lang w:val="en-US" w:eastAsia="zh-CN"/>
        </w:rPr>
        <w:t>及时</w:t>
      </w:r>
      <w:r>
        <w:rPr>
          <w:rFonts w:hint="eastAsia" w:ascii="仿宋_GB2312" w:eastAsia="仿宋_GB2312"/>
        </w:rPr>
        <w:t>录入平台。</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rPr>
      </w:pPr>
      <w:r>
        <w:rPr>
          <w:rFonts w:ascii="仿宋_GB2312" w:eastAsia="仿宋_GB2312"/>
        </w:rPr>
        <w:t>3.</w:t>
      </w:r>
      <w:r>
        <w:rPr>
          <w:rFonts w:hint="eastAsia" w:ascii="仿宋_GB2312" w:eastAsia="仿宋_GB2312"/>
        </w:rPr>
        <w:t>专项行动。在单位自查</w:t>
      </w:r>
      <w:r>
        <w:rPr>
          <w:rFonts w:hint="eastAsia" w:ascii="仿宋_GB2312" w:eastAsia="仿宋_GB2312"/>
          <w:lang w:eastAsia="zh-CN"/>
        </w:rPr>
        <w:t>、</w:t>
      </w:r>
      <w:r>
        <w:rPr>
          <w:rFonts w:hint="eastAsia" w:ascii="仿宋_GB2312" w:eastAsia="仿宋_GB2312"/>
          <w:lang w:val="en-US" w:eastAsia="zh-CN"/>
        </w:rPr>
        <w:t>各村</w:t>
      </w:r>
      <w:r>
        <w:rPr>
          <w:rFonts w:hint="eastAsia" w:ascii="仿宋_GB2312" w:eastAsia="仿宋_GB2312"/>
        </w:rPr>
        <w:t>、</w:t>
      </w:r>
      <w:r>
        <w:rPr>
          <w:rFonts w:hint="eastAsia" w:ascii="仿宋_GB2312" w:eastAsia="仿宋_GB2312"/>
          <w:lang w:val="en-US" w:eastAsia="zh-CN"/>
        </w:rPr>
        <w:t>各有关单位</w:t>
      </w:r>
      <w:r>
        <w:rPr>
          <w:rFonts w:hint="eastAsia" w:ascii="仿宋_GB2312" w:eastAsia="仿宋_GB2312"/>
        </w:rPr>
        <w:t>检查的基础上，结合我</w:t>
      </w:r>
      <w:r>
        <w:rPr>
          <w:rFonts w:hint="eastAsia" w:ascii="仿宋_GB2312" w:eastAsia="仿宋_GB2312"/>
          <w:lang w:val="en-US" w:eastAsia="zh-CN"/>
        </w:rPr>
        <w:t>镇</w:t>
      </w:r>
      <w:r>
        <w:rPr>
          <w:rFonts w:hint="eastAsia" w:ascii="仿宋_GB2312" w:eastAsia="仿宋_GB2312"/>
        </w:rPr>
        <w:t>实际，围绕重点专项行动责任分工（附件</w:t>
      </w:r>
      <w:r>
        <w:rPr>
          <w:rFonts w:ascii="仿宋_GB2312" w:eastAsia="仿宋_GB2312"/>
        </w:rPr>
        <w:t>4</w:t>
      </w:r>
      <w:r>
        <w:rPr>
          <w:rFonts w:hint="eastAsia" w:ascii="仿宋_GB2312" w:eastAsia="仿宋_GB2312"/>
        </w:rPr>
        <w:t>），由牵头部门组织相关责任单位采取联合行动、联合督导、技防保障等有效措施，形成工作合力，解决突出问题。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rPr>
      </w:pPr>
      <w:r>
        <w:rPr>
          <w:rFonts w:ascii="仿宋_GB2312" w:eastAsia="仿宋_GB2312"/>
        </w:rPr>
        <w:t>4.</w:t>
      </w:r>
      <w:r>
        <w:rPr>
          <w:rFonts w:hint="eastAsia" w:ascii="仿宋_GB2312" w:eastAsia="仿宋_GB2312"/>
        </w:rPr>
        <w:t>执法检查。</w:t>
      </w:r>
      <w:r>
        <w:rPr>
          <w:rFonts w:hint="eastAsia" w:ascii="仿宋_GB2312" w:eastAsia="仿宋_GB2312"/>
          <w:lang w:val="en-US" w:eastAsia="zh-CN"/>
        </w:rPr>
        <w:t>镇安办</w:t>
      </w:r>
      <w:r>
        <w:rPr>
          <w:rFonts w:hint="eastAsia" w:ascii="仿宋_GB2312" w:eastAsia="仿宋_GB2312"/>
        </w:rPr>
        <w:t>根据单位自查自改和公开承诺情况，强化执法检查，发现在自查、排查中弄虚作假或存在突出风险隐患的，依法从严从重惩处。坚决挂牌一批、公告一批、曝光一批、处理一批。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楷体_GB2312" w:eastAsia="楷体_GB2312"/>
          <w:bCs/>
        </w:rPr>
      </w:pPr>
      <w:r>
        <w:rPr>
          <w:rFonts w:hint="eastAsia" w:ascii="楷体_GB2312" w:eastAsia="楷体_GB2312"/>
          <w:bCs/>
        </w:rPr>
        <w:t>（三）考评验收阶段（</w:t>
      </w:r>
      <w:r>
        <w:rPr>
          <w:rFonts w:ascii="楷体_GB2312" w:eastAsia="楷体_GB2312"/>
          <w:bCs/>
        </w:rPr>
        <w:t>2019</w:t>
      </w:r>
      <w:r>
        <w:rPr>
          <w:rFonts w:hint="eastAsia" w:ascii="楷体_GB2312" w:eastAsia="楷体_GB2312"/>
          <w:bCs/>
        </w:rPr>
        <w:t>年</w:t>
      </w:r>
      <w:r>
        <w:rPr>
          <w:rFonts w:hint="eastAsia" w:ascii="楷体_GB2312" w:eastAsia="楷体_GB2312"/>
          <w:bCs/>
          <w:lang w:val="en-US" w:eastAsia="zh-CN"/>
        </w:rPr>
        <w:t>10</w:t>
      </w:r>
      <w:r>
        <w:rPr>
          <w:rFonts w:hint="eastAsia" w:ascii="楷体_GB2312" w:eastAsia="楷体_GB2312"/>
          <w:bCs/>
        </w:rPr>
        <w:t>月</w:t>
      </w:r>
      <w:r>
        <w:rPr>
          <w:rFonts w:hint="eastAsia" w:ascii="楷体_GB2312" w:eastAsia="楷体_GB2312"/>
          <w:bCs/>
          <w:lang w:val="en-US" w:eastAsia="zh-CN"/>
        </w:rPr>
        <w:t>11</w:t>
      </w:r>
      <w:r>
        <w:rPr>
          <w:rFonts w:hint="eastAsia" w:ascii="楷体_GB2312" w:eastAsia="楷体_GB2312"/>
          <w:bCs/>
        </w:rPr>
        <w:t>日至</w:t>
      </w:r>
      <w:r>
        <w:rPr>
          <w:rFonts w:ascii="楷体_GB2312" w:eastAsia="楷体_GB2312"/>
          <w:bCs/>
        </w:rPr>
        <w:t>10</w:t>
      </w:r>
      <w:r>
        <w:rPr>
          <w:rFonts w:hint="eastAsia" w:ascii="楷体_GB2312" w:eastAsia="楷体_GB2312"/>
          <w:bCs/>
        </w:rPr>
        <w:t>月</w:t>
      </w:r>
      <w:r>
        <w:rPr>
          <w:rFonts w:ascii="楷体_GB2312" w:eastAsia="楷体_GB2312"/>
          <w:bCs/>
        </w:rPr>
        <w:t>15</w:t>
      </w:r>
      <w:r>
        <w:rPr>
          <w:rFonts w:hint="eastAsia" w:ascii="楷体_GB2312" w:eastAsia="楷体_GB2312"/>
          <w:bCs/>
        </w:rPr>
        <w:t>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仿宋_GB2312" w:eastAsia="仿宋_GB2312"/>
        </w:rPr>
        <w:t>制定考评验收细则，组织检查验收，及时总结专项行动工作情况，固化经验做法，分析存在的主要问题，提出改进工作措施，健全完善防范化解重大安全风险工作机制。专项行动列入安全生产和消防工作考核内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rPr>
      </w:pPr>
      <w:r>
        <w:rPr>
          <w:rFonts w:hint="eastAsia" w:ascii="黑体" w:hAnsi="黑体" w:eastAsia="黑体"/>
        </w:rPr>
        <w:t>四、工作措施</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楷体_GB2312" w:eastAsia="楷体_GB2312"/>
          <w:bCs/>
        </w:rPr>
        <w:t>（一）压实主体责任。</w:t>
      </w:r>
      <w:r>
        <w:rPr>
          <w:rFonts w:hint="eastAsia" w:ascii="仿宋_GB2312" w:eastAsia="仿宋_GB2312"/>
        </w:rPr>
        <w:t>将主体责任落实差、管理漏洞多的单位纳入重点整治范围，提高设防等级、强化督改手段、严格处理措施。针对突出风险，组织重点企业召开座谈会，通报情况、提出建议、督促整改</w:t>
      </w:r>
      <w:r>
        <w:rPr>
          <w:rFonts w:hint="eastAsia" w:ascii="仿宋_GB2312" w:eastAsia="仿宋_GB2312"/>
          <w:lang w:eastAsia="zh-CN"/>
        </w:rPr>
        <w:t>，</w:t>
      </w:r>
      <w:r>
        <w:rPr>
          <w:rFonts w:hint="eastAsia" w:ascii="仿宋_GB2312" w:eastAsia="仿宋_GB2312"/>
        </w:rPr>
        <w:t>以高压管控态势倒逼主体责任落实。</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楷体_GB2312" w:eastAsia="楷体_GB2312"/>
          <w:bCs/>
        </w:rPr>
        <w:t>（二）强化技防应用。</w:t>
      </w:r>
      <w:r>
        <w:rPr>
          <w:rFonts w:hint="eastAsia" w:ascii="仿宋_GB2312" w:eastAsia="仿宋_GB2312"/>
        </w:rPr>
        <w:t>各</w:t>
      </w:r>
      <w:r>
        <w:rPr>
          <w:rFonts w:hint="eastAsia" w:ascii="仿宋_GB2312" w:eastAsia="仿宋_GB2312"/>
          <w:lang w:val="en-US" w:eastAsia="zh-CN"/>
        </w:rPr>
        <w:t>村</w:t>
      </w:r>
      <w:r>
        <w:rPr>
          <w:rFonts w:hint="eastAsia" w:ascii="仿宋_GB2312" w:eastAsia="仿宋_GB2312"/>
        </w:rPr>
        <w:t>、各有关</w:t>
      </w:r>
      <w:r>
        <w:rPr>
          <w:rFonts w:hint="eastAsia" w:ascii="仿宋_GB2312" w:eastAsia="仿宋_GB2312"/>
          <w:lang w:val="en-US" w:eastAsia="zh-CN"/>
        </w:rPr>
        <w:t>单位</w:t>
      </w:r>
      <w:r>
        <w:rPr>
          <w:rFonts w:hint="eastAsia" w:ascii="仿宋_GB2312" w:eastAsia="仿宋_GB2312"/>
        </w:rPr>
        <w:t>应结合辖区及行业实际，多方保障资金用于推广实用的消防安全技防物防措施，积极推广安装独立式感烟火灾探测报警器、简易喷淋。按照智慧用电安全建设三年行动计划，推动群租房、文物建筑、工业企业等场所安装电气火灾监控系统、电动自行车智能充电桩。</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楷体_GB2312" w:eastAsia="楷体_GB2312"/>
          <w:bCs/>
        </w:rPr>
        <w:t>（三）强化失信惩戒。</w:t>
      </w:r>
      <w:r>
        <w:rPr>
          <w:rFonts w:hint="eastAsia" w:ascii="仿宋_GB2312" w:eastAsia="仿宋_GB2312"/>
          <w:lang w:eastAsia="zh-CN"/>
        </w:rPr>
        <w:t>配合上级部门，</w:t>
      </w:r>
      <w:r>
        <w:rPr>
          <w:rFonts w:hint="eastAsia" w:ascii="仿宋_GB2312" w:eastAsia="仿宋_GB2312"/>
        </w:rPr>
        <w:t>对严重失信、隐患久拖不改的单位及其负责人，纳入消防安全失信“黑名单”。落实举报奖励制度，发动群众举报火灾隐患和违法行为。对风险突出、情况复杂的，</w:t>
      </w:r>
      <w:r>
        <w:rPr>
          <w:rFonts w:hint="eastAsia" w:ascii="仿宋_GB2312" w:eastAsia="仿宋_GB2312"/>
          <w:lang w:val="en-US" w:eastAsia="zh-CN"/>
        </w:rPr>
        <w:t>配合上级</w:t>
      </w:r>
      <w:r>
        <w:rPr>
          <w:rFonts w:hint="eastAsia" w:ascii="仿宋_GB2312" w:eastAsia="仿宋_GB2312"/>
        </w:rPr>
        <w:t>采取专家指导、执法服务等方式，帮助推动解决</w:t>
      </w:r>
      <w:r>
        <w:rPr>
          <w:rFonts w:hint="eastAsia" w:ascii="仿宋_GB2312" w:eastAsia="仿宋_GB2312"/>
          <w:lang w:val="en-US" w:eastAsia="zh-CN"/>
        </w:rPr>
        <w:t>问题</w:t>
      </w:r>
      <w:r>
        <w:rPr>
          <w:rFonts w:hint="eastAsia" w:ascii="仿宋_GB2312" w:eastAsia="仿宋_GB2312"/>
        </w:rPr>
        <w:t>。专项行动期间，要至少组织开展</w:t>
      </w:r>
      <w:r>
        <w:rPr>
          <w:rFonts w:ascii="仿宋_GB2312" w:eastAsia="仿宋_GB2312"/>
        </w:rPr>
        <w:t>1</w:t>
      </w:r>
      <w:r>
        <w:rPr>
          <w:rFonts w:hint="eastAsia" w:ascii="仿宋_GB2312" w:eastAsia="仿宋_GB2312"/>
        </w:rPr>
        <w:t>次隐患曝光活动。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楷体_GB2312" w:eastAsia="楷体_GB2312"/>
          <w:bCs/>
        </w:rPr>
        <w:t>（四）强化宣传培训。</w:t>
      </w:r>
      <w:r>
        <w:rPr>
          <w:rFonts w:hint="eastAsia" w:ascii="仿宋_GB2312" w:eastAsia="仿宋_GB2312"/>
        </w:rPr>
        <w:t>要积极协调和利用</w:t>
      </w:r>
      <w:r>
        <w:rPr>
          <w:rFonts w:hint="eastAsia" w:ascii="仿宋_GB2312" w:eastAsia="仿宋_GB2312"/>
          <w:lang w:val="en-US" w:eastAsia="zh-CN"/>
        </w:rPr>
        <w:t>“大美小</w:t>
      </w:r>
      <w:r>
        <w:rPr>
          <w:rFonts w:hint="eastAsia" w:ascii="仿宋" w:hAnsi="仿宋" w:eastAsia="仿宋" w:cs="仿宋"/>
          <w:lang w:val="en-US" w:eastAsia="zh-CN"/>
        </w:rPr>
        <w:t>岞</w:t>
      </w:r>
      <w:r>
        <w:rPr>
          <w:rFonts w:hint="eastAsia" w:ascii="仿宋_GB2312" w:eastAsia="仿宋_GB2312"/>
          <w:lang w:val="en-US" w:eastAsia="zh-CN"/>
        </w:rPr>
        <w:t>”微信公众号等</w:t>
      </w:r>
      <w:r>
        <w:rPr>
          <w:rFonts w:hint="eastAsia" w:ascii="仿宋_GB2312" w:eastAsia="仿宋_GB2312"/>
        </w:rPr>
        <w:t>新媒体</w:t>
      </w:r>
      <w:r>
        <w:rPr>
          <w:rFonts w:hint="eastAsia" w:ascii="仿宋_GB2312" w:eastAsia="仿宋_GB2312"/>
          <w:lang w:eastAsia="zh-CN"/>
        </w:rPr>
        <w:t>，</w:t>
      </w:r>
      <w:r>
        <w:rPr>
          <w:rFonts w:hint="eastAsia" w:ascii="仿宋_GB2312" w:eastAsia="仿宋_GB2312"/>
        </w:rPr>
        <w:t>加大对专项行动的宣传报道，广泛宣传火灾危害性以及逃生自救常识；要积极利用沿街店面</w:t>
      </w:r>
      <w:r>
        <w:rPr>
          <w:rFonts w:ascii="仿宋_GB2312" w:eastAsia="仿宋_GB2312"/>
        </w:rPr>
        <w:t>LED</w:t>
      </w:r>
      <w:r>
        <w:rPr>
          <w:rFonts w:hint="eastAsia" w:ascii="仿宋_GB2312" w:eastAsia="仿宋_GB2312"/>
        </w:rPr>
        <w:t>等媒介高密度、高频次滚播消防安全公益广告</w:t>
      </w:r>
      <w:r>
        <w:rPr>
          <w:rFonts w:hint="eastAsia" w:ascii="仿宋_GB2312" w:eastAsia="仿宋_GB2312"/>
          <w:lang w:eastAsia="zh-CN"/>
        </w:rPr>
        <w:t>；</w:t>
      </w:r>
      <w:r>
        <w:rPr>
          <w:rFonts w:hint="eastAsia" w:ascii="仿宋_GB2312" w:eastAsia="仿宋_GB2312"/>
          <w:lang w:val="en-US" w:eastAsia="zh-CN"/>
        </w:rPr>
        <w:t>要</w:t>
      </w:r>
      <w:r>
        <w:rPr>
          <w:rFonts w:hint="eastAsia" w:ascii="仿宋_GB2312" w:eastAsia="仿宋_GB2312"/>
        </w:rPr>
        <w:t>广泛开展老人、儿童火灾警示教育和疏散逃生演练活动，铺开社会化消防公益宣传和培训，形成消防安全普全民的浓厚氛围。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rPr>
      </w:pPr>
      <w:r>
        <w:rPr>
          <w:rFonts w:hint="eastAsia" w:ascii="黑体" w:hAnsi="黑体" w:eastAsia="黑体"/>
        </w:rPr>
        <w:t>五、工作要求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楷体_GB2312" w:eastAsia="楷体_GB2312"/>
          <w:bCs/>
        </w:rPr>
        <w:t>（一）强化组织领导。</w:t>
      </w:r>
      <w:r>
        <w:rPr>
          <w:rFonts w:hint="eastAsia" w:ascii="仿宋_GB2312" w:eastAsia="仿宋_GB2312"/>
        </w:rPr>
        <w:t>各</w:t>
      </w:r>
      <w:r>
        <w:rPr>
          <w:rFonts w:hint="eastAsia" w:ascii="仿宋_GB2312" w:eastAsia="仿宋_GB2312"/>
          <w:lang w:val="en-US" w:eastAsia="zh-CN"/>
        </w:rPr>
        <w:t>村</w:t>
      </w:r>
      <w:r>
        <w:rPr>
          <w:rFonts w:hint="eastAsia" w:ascii="仿宋_GB2312" w:eastAsia="仿宋_GB2312"/>
        </w:rPr>
        <w:t>要高度重视，加强统筹协调、组织领导。继续深化落实抽调专人办公、充实安全协管员、安排整治经费等保障工作，重点抓好综合治理工作，固化工作机制。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楷体_GB2312" w:eastAsia="楷体_GB2312"/>
          <w:bCs/>
        </w:rPr>
        <w:t>（二）强化联合整治。</w:t>
      </w:r>
      <w:r>
        <w:rPr>
          <w:rFonts w:hint="eastAsia" w:ascii="仿宋_GB2312" w:eastAsia="仿宋_GB2312"/>
        </w:rPr>
        <w:t>各</w:t>
      </w:r>
      <w:r>
        <w:rPr>
          <w:rFonts w:hint="eastAsia" w:ascii="仿宋_GB2312" w:eastAsia="仿宋_GB2312"/>
          <w:lang w:val="en-US" w:eastAsia="zh-CN"/>
        </w:rPr>
        <w:t>村、各</w:t>
      </w:r>
      <w:r>
        <w:rPr>
          <w:rFonts w:hint="eastAsia" w:ascii="仿宋_GB2312" w:eastAsia="仿宋_GB2312"/>
        </w:rPr>
        <w:t>有关</w:t>
      </w:r>
      <w:r>
        <w:rPr>
          <w:rFonts w:hint="eastAsia" w:ascii="仿宋_GB2312" w:eastAsia="仿宋_GB2312"/>
          <w:lang w:val="en-US" w:eastAsia="zh-CN"/>
        </w:rPr>
        <w:t>单位</w:t>
      </w:r>
      <w:r>
        <w:rPr>
          <w:rFonts w:hint="eastAsia" w:ascii="仿宋_GB2312" w:eastAsia="仿宋_GB2312"/>
        </w:rPr>
        <w:t>要落实“三个必须”要求，深入贯彻落实《消防安全责任制实施办法》，加强分工协作、协调配合，强化隐患防控和应急联动，合力提升防范化解重大消防安全风险水平。加强对辖区突出问题、拒不整改的单位集中整治。</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eastAsia="仿宋_GB2312"/>
        </w:rPr>
      </w:pPr>
      <w:r>
        <w:rPr>
          <w:rFonts w:hint="eastAsia" w:ascii="楷体_GB2312" w:eastAsia="楷体_GB2312"/>
          <w:bCs/>
        </w:rPr>
        <w:t>（三）强化督导问责。</w:t>
      </w:r>
      <w:r>
        <w:rPr>
          <w:rFonts w:hint="eastAsia" w:ascii="仿宋_GB2312" w:eastAsia="仿宋_GB2312"/>
        </w:rPr>
        <w:t>各</w:t>
      </w:r>
      <w:r>
        <w:rPr>
          <w:rFonts w:hint="eastAsia" w:ascii="仿宋_GB2312" w:eastAsia="仿宋_GB2312"/>
          <w:lang w:val="en-US" w:eastAsia="zh-CN"/>
        </w:rPr>
        <w:t>村、各有关单位</w:t>
      </w:r>
      <w:r>
        <w:rPr>
          <w:rFonts w:hint="eastAsia" w:ascii="仿宋_GB2312" w:eastAsia="仿宋_GB2312"/>
        </w:rPr>
        <w:t>要将排查整治工作纳入政务督查内容、纳入领导督办事项，狠抓落实。</w:t>
      </w:r>
      <w:r>
        <w:rPr>
          <w:rFonts w:hint="eastAsia" w:ascii="仿宋_GB2312" w:eastAsia="仿宋_GB2312"/>
          <w:lang w:val="en-US" w:eastAsia="zh-CN"/>
        </w:rPr>
        <w:t>镇安办</w:t>
      </w:r>
      <w:r>
        <w:rPr>
          <w:rFonts w:hint="eastAsia" w:ascii="仿宋_GB2312" w:eastAsia="仿宋_GB2312"/>
        </w:rPr>
        <w:t>要加强综合协调和督促指导，形成常态化工作机制，坚决防止走形式、简单化、一阵风。对火灾“四项指数”不降反升的，将提示告知、通报批评。对消防安全责任不落实、工作措施不到位，考评验收不达标的</w:t>
      </w:r>
      <w:r>
        <w:rPr>
          <w:rFonts w:hint="eastAsia" w:ascii="仿宋_GB2312" w:eastAsia="仿宋_GB2312"/>
          <w:lang w:val="en-US" w:eastAsia="zh-CN"/>
        </w:rPr>
        <w:t>村委会</w:t>
      </w:r>
      <w:r>
        <w:rPr>
          <w:rFonts w:hint="eastAsia" w:ascii="仿宋_GB2312" w:eastAsia="仿宋_GB2312"/>
        </w:rPr>
        <w:t>和责任单位，实行“一票否决”，取消安全生产及消防工作考核优秀单位评选资格。对亡人和造成重大社会影响的火灾事故，将组织事故调查，重点调查企业是否开展自查自改，行业是否开展监督检查，牵头部门是否开展专项行动等，对未落实火灾隐患整治年行动各项措施的，将从严从重追究相关单位和人员的责任。</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rPr>
      </w:pPr>
      <w:r>
        <w:rPr>
          <w:rFonts w:hint="eastAsia" w:ascii="仿宋_GB2312" w:eastAsia="仿宋_GB2312"/>
        </w:rPr>
        <w:t>各</w:t>
      </w:r>
      <w:r>
        <w:rPr>
          <w:rFonts w:hint="eastAsia" w:ascii="仿宋_GB2312" w:eastAsia="仿宋_GB2312"/>
          <w:lang w:val="en-US" w:eastAsia="zh-CN"/>
        </w:rPr>
        <w:t>村</w:t>
      </w:r>
      <w:r>
        <w:rPr>
          <w:rFonts w:hint="eastAsia" w:ascii="仿宋_GB2312" w:eastAsia="仿宋_GB2312"/>
          <w:lang w:eastAsia="zh-CN"/>
        </w:rPr>
        <w:t>、</w:t>
      </w:r>
      <w:r>
        <w:rPr>
          <w:rFonts w:hint="eastAsia" w:ascii="仿宋_GB2312" w:eastAsia="仿宋_GB2312"/>
          <w:lang w:val="en-US" w:eastAsia="zh-CN"/>
        </w:rPr>
        <w:t>镇</w:t>
      </w:r>
      <w:r>
        <w:rPr>
          <w:rFonts w:hint="eastAsia" w:ascii="仿宋_GB2312" w:eastAsia="仿宋_GB2312"/>
        </w:rPr>
        <w:t>有关</w:t>
      </w:r>
      <w:r>
        <w:rPr>
          <w:rFonts w:hint="eastAsia" w:ascii="仿宋_GB2312" w:eastAsia="仿宋_GB2312"/>
          <w:lang w:eastAsia="zh-CN"/>
        </w:rPr>
        <w:t>部门、</w:t>
      </w:r>
      <w:r>
        <w:rPr>
          <w:rFonts w:hint="eastAsia" w:ascii="仿宋_GB2312" w:eastAsia="仿宋_GB2312"/>
          <w:lang w:val="en-US" w:eastAsia="zh-CN"/>
        </w:rPr>
        <w:t>单位</w:t>
      </w:r>
      <w:r>
        <w:rPr>
          <w:rFonts w:hint="eastAsia" w:ascii="仿宋_GB2312" w:eastAsia="仿宋_GB2312"/>
        </w:rPr>
        <w:t>专项行动部署情况及行动方案于</w:t>
      </w:r>
      <w:r>
        <w:rPr>
          <w:rFonts w:hint="eastAsia" w:ascii="仿宋_GB2312" w:eastAsia="仿宋_GB2312"/>
          <w:lang w:val="en-US" w:eastAsia="zh-CN"/>
        </w:rPr>
        <w:t>6</w:t>
      </w:r>
      <w:r>
        <w:rPr>
          <w:rFonts w:hint="eastAsia" w:ascii="仿宋_GB2312" w:eastAsia="仿宋_GB2312"/>
        </w:rPr>
        <w:t>月</w:t>
      </w:r>
      <w:r>
        <w:rPr>
          <w:rFonts w:hint="eastAsia" w:ascii="仿宋_GB2312" w:eastAsia="仿宋_GB2312"/>
          <w:lang w:val="en-US" w:eastAsia="zh-CN"/>
        </w:rPr>
        <w:t>25</w:t>
      </w:r>
      <w:r>
        <w:rPr>
          <w:rFonts w:hint="eastAsia" w:ascii="仿宋_GB2312" w:eastAsia="仿宋_GB2312"/>
        </w:rPr>
        <w:t>日前报</w:t>
      </w:r>
      <w:r>
        <w:rPr>
          <w:rFonts w:hint="eastAsia" w:ascii="仿宋_GB2312" w:eastAsia="仿宋_GB2312"/>
          <w:lang w:val="en-US" w:eastAsia="zh-CN"/>
        </w:rPr>
        <w:t>镇安办。</w:t>
      </w:r>
      <w:r>
        <w:rPr>
          <w:rFonts w:ascii="仿宋_GB2312" w:eastAsia="仿宋_GB2312"/>
        </w:rPr>
        <w:t>6</w:t>
      </w:r>
      <w:r>
        <w:rPr>
          <w:rFonts w:hint="eastAsia" w:ascii="仿宋_GB2312" w:eastAsia="仿宋_GB2312"/>
        </w:rPr>
        <w:t>月</w:t>
      </w:r>
      <w:r>
        <w:rPr>
          <w:rFonts w:hint="eastAsia" w:ascii="仿宋_GB2312" w:eastAsia="仿宋_GB2312"/>
          <w:lang w:val="en-US" w:eastAsia="zh-CN"/>
        </w:rPr>
        <w:t>起</w:t>
      </w:r>
      <w:r>
        <w:rPr>
          <w:rFonts w:hint="eastAsia" w:ascii="仿宋_GB2312" w:eastAsia="仿宋_GB2312"/>
        </w:rPr>
        <w:t>至</w:t>
      </w:r>
      <w:r>
        <w:rPr>
          <w:rFonts w:ascii="仿宋_GB2312" w:eastAsia="仿宋_GB2312"/>
        </w:rPr>
        <w:t>9</w:t>
      </w:r>
      <w:r>
        <w:rPr>
          <w:rFonts w:hint="eastAsia" w:ascii="仿宋_GB2312" w:eastAsia="仿宋_GB2312"/>
        </w:rPr>
        <w:t>月，每月</w:t>
      </w:r>
      <w:r>
        <w:rPr>
          <w:rFonts w:hint="eastAsia" w:ascii="仿宋_GB2312" w:eastAsia="仿宋_GB2312"/>
          <w:lang w:val="en-US" w:eastAsia="zh-CN"/>
        </w:rPr>
        <w:t>18</w:t>
      </w:r>
      <w:r>
        <w:rPr>
          <w:rFonts w:hint="eastAsia" w:ascii="仿宋_GB2312" w:eastAsia="仿宋_GB2312"/>
        </w:rPr>
        <w:t>日</w:t>
      </w:r>
      <w:r>
        <w:rPr>
          <w:rFonts w:hint="eastAsia" w:ascii="仿宋_GB2312" w:eastAsia="仿宋_GB2312"/>
          <w:lang w:val="en-US" w:eastAsia="zh-CN"/>
        </w:rPr>
        <w:t>前</w:t>
      </w:r>
      <w:r>
        <w:rPr>
          <w:rFonts w:hint="eastAsia" w:ascii="仿宋_GB2312" w:eastAsia="仿宋_GB2312"/>
        </w:rPr>
        <w:t>报送当月工作小结及情况统计表</w:t>
      </w:r>
      <w:r>
        <w:rPr>
          <w:rFonts w:hint="eastAsia" w:ascii="仿宋_GB2312" w:eastAsia="仿宋_GB2312"/>
          <w:lang w:eastAsia="zh-CN"/>
        </w:rPr>
        <w:t>、</w:t>
      </w:r>
      <w:r>
        <w:rPr>
          <w:rFonts w:hint="eastAsia" w:ascii="仿宋_GB2312" w:eastAsia="仿宋_GB2312"/>
        </w:rPr>
        <w:t>明细表（附件</w:t>
      </w:r>
      <w:r>
        <w:rPr>
          <w:rFonts w:ascii="仿宋_GB2312" w:eastAsia="仿宋_GB2312"/>
        </w:rPr>
        <w:t>7</w:t>
      </w:r>
      <w:r>
        <w:rPr>
          <w:rFonts w:hint="eastAsia" w:ascii="仿宋_GB2312" w:eastAsia="仿宋_GB2312"/>
        </w:rPr>
        <w:t>）；</w:t>
      </w:r>
      <w:r>
        <w:rPr>
          <w:rFonts w:ascii="仿宋_GB2312" w:eastAsia="仿宋_GB2312"/>
        </w:rPr>
        <w:t>10</w:t>
      </w:r>
      <w:r>
        <w:rPr>
          <w:rFonts w:hint="eastAsia" w:ascii="仿宋_GB2312" w:eastAsia="仿宋_GB2312"/>
        </w:rPr>
        <w:t>月</w:t>
      </w:r>
      <w:r>
        <w:rPr>
          <w:rFonts w:hint="eastAsia" w:ascii="仿宋_GB2312" w:eastAsia="仿宋_GB2312"/>
          <w:lang w:val="en-US" w:eastAsia="zh-CN"/>
        </w:rPr>
        <w:t>9</w:t>
      </w:r>
      <w:r>
        <w:rPr>
          <w:rFonts w:hint="eastAsia" w:ascii="仿宋_GB2312" w:eastAsia="仿宋_GB2312"/>
        </w:rPr>
        <w:t>日前报送工作总结报告。</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ascii="仿宋_GB2312" w:eastAsia="仿宋_GB2312"/>
        </w:rPr>
      </w:pPr>
    </w:p>
    <w:p>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ascii="仿宋_GB2312" w:eastAsia="仿宋_GB2312"/>
          <w:spacing w:val="-4"/>
        </w:rPr>
      </w:pPr>
      <w:r>
        <w:rPr>
          <w:rFonts w:hint="eastAsia" w:ascii="仿宋_GB2312" w:eastAsia="仿宋_GB2312"/>
        </w:rPr>
        <w:t>附件：</w:t>
      </w:r>
      <w:r>
        <w:rPr>
          <w:rFonts w:ascii="仿宋_GB2312" w:eastAsia="仿宋_GB2312"/>
        </w:rPr>
        <w:t>1.</w:t>
      </w:r>
      <w:r>
        <w:rPr>
          <w:rFonts w:hint="eastAsia" w:ascii="仿宋_GB2312" w:eastAsia="仿宋_GB2312"/>
          <w:spacing w:val="-4"/>
        </w:rPr>
        <w:t>单位消防安全自评自查自改和消防安全承诺登记表</w:t>
      </w:r>
    </w:p>
    <w:p>
      <w:pPr>
        <w:keepNext w:val="0"/>
        <w:keepLines w:val="0"/>
        <w:pageBreakBefore w:val="0"/>
        <w:widowControl w:val="0"/>
        <w:kinsoku/>
        <w:wordWrap/>
        <w:overflowPunct/>
        <w:topLinePunct w:val="0"/>
        <w:autoSpaceDE/>
        <w:autoSpaceDN/>
        <w:bidi w:val="0"/>
        <w:adjustRightInd/>
        <w:spacing w:line="600" w:lineRule="exact"/>
        <w:ind w:left="1920" w:leftChars="500" w:hanging="320" w:hangingChars="100"/>
        <w:jc w:val="left"/>
        <w:textAlignment w:val="auto"/>
        <w:rPr>
          <w:rFonts w:ascii="仿宋_GB2312" w:eastAsia="仿宋_GB2312"/>
        </w:rPr>
      </w:pPr>
      <w:r>
        <w:rPr>
          <w:rFonts w:ascii="仿宋_GB2312" w:eastAsia="仿宋_GB2312"/>
        </w:rPr>
        <w:t>2.</w:t>
      </w:r>
      <w:r>
        <w:rPr>
          <w:rFonts w:hint="eastAsia" w:ascii="仿宋_GB2312" w:eastAsia="仿宋_GB2312"/>
        </w:rPr>
        <w:t>消防安全突出风险问题整治要求及排查方法、标准及措施</w:t>
      </w:r>
    </w:p>
    <w:p>
      <w:pPr>
        <w:keepNext w:val="0"/>
        <w:keepLines w:val="0"/>
        <w:pageBreakBefore w:val="0"/>
        <w:widowControl w:val="0"/>
        <w:kinsoku/>
        <w:wordWrap/>
        <w:overflowPunct/>
        <w:topLinePunct w:val="0"/>
        <w:autoSpaceDE/>
        <w:autoSpaceDN/>
        <w:bidi w:val="0"/>
        <w:adjustRightInd/>
        <w:spacing w:line="600" w:lineRule="exact"/>
        <w:ind w:firstLine="1600" w:firstLineChars="500"/>
        <w:jc w:val="left"/>
        <w:textAlignment w:val="auto"/>
        <w:rPr>
          <w:rFonts w:ascii="仿宋_GB2312" w:eastAsia="仿宋_GB2312"/>
        </w:rPr>
      </w:pPr>
      <w:r>
        <w:rPr>
          <w:rFonts w:ascii="仿宋_GB2312" w:eastAsia="仿宋_GB2312"/>
        </w:rPr>
        <w:t>3.</w:t>
      </w:r>
      <w:r>
        <w:rPr>
          <w:rFonts w:hint="eastAsia" w:ascii="仿宋_GB2312" w:eastAsia="仿宋_GB2312"/>
        </w:rPr>
        <w:t>隐患排查整治台账</w:t>
      </w:r>
    </w:p>
    <w:p>
      <w:pPr>
        <w:keepNext w:val="0"/>
        <w:keepLines w:val="0"/>
        <w:pageBreakBefore w:val="0"/>
        <w:widowControl w:val="0"/>
        <w:kinsoku/>
        <w:wordWrap/>
        <w:overflowPunct/>
        <w:topLinePunct w:val="0"/>
        <w:autoSpaceDE/>
        <w:autoSpaceDN/>
        <w:bidi w:val="0"/>
        <w:adjustRightInd/>
        <w:spacing w:line="600" w:lineRule="exact"/>
        <w:ind w:firstLine="1600" w:firstLineChars="500"/>
        <w:jc w:val="left"/>
        <w:textAlignment w:val="auto"/>
        <w:rPr>
          <w:rFonts w:hint="eastAsia" w:ascii="仿宋_GB2312" w:eastAsia="仿宋_GB2312"/>
        </w:rPr>
      </w:pPr>
      <w:r>
        <w:rPr>
          <w:rFonts w:ascii="仿宋_GB2312" w:eastAsia="仿宋_GB2312"/>
        </w:rPr>
        <w:t>4.</w:t>
      </w:r>
      <w:r>
        <w:rPr>
          <w:rFonts w:hint="eastAsia" w:ascii="仿宋_GB2312" w:eastAsia="仿宋_GB2312"/>
        </w:rPr>
        <w:t>火灾隐患整治年重点专项行动责任分工表</w:t>
      </w:r>
    </w:p>
    <w:p>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jc w:val="both"/>
        <w:textAlignment w:val="auto"/>
        <w:rPr>
          <w:rFonts w:hint="default" w:ascii="仿宋_GB2312" w:eastAsia="仿宋_GB2312"/>
          <w:lang w:val="en-US" w:eastAsia="zh-CN"/>
        </w:rPr>
      </w:pPr>
      <w:r>
        <w:rPr>
          <w:rFonts w:hint="eastAsia" w:ascii="仿宋_GB2312" w:eastAsia="仿宋_GB2312"/>
          <w:lang w:val="en-US" w:eastAsia="zh-CN"/>
        </w:rPr>
        <w:t>5.</w:t>
      </w:r>
      <w:r>
        <w:rPr>
          <w:rFonts w:hint="eastAsia" w:ascii="仿宋_GB2312" w:eastAsia="仿宋_GB2312"/>
          <w:lang w:eastAsia="zh-CN"/>
        </w:rPr>
        <w:t>小</w:t>
      </w:r>
      <w:r>
        <w:rPr>
          <w:rFonts w:hint="eastAsia" w:ascii="仿宋" w:hAnsi="仿宋" w:eastAsia="仿宋" w:cs="仿宋"/>
          <w:lang w:eastAsia="zh-CN"/>
        </w:rPr>
        <w:t>岞</w:t>
      </w:r>
      <w:r>
        <w:rPr>
          <w:rFonts w:hint="eastAsia" w:ascii="仿宋_GB2312" w:eastAsia="仿宋_GB2312"/>
          <w:lang w:eastAsia="zh-CN"/>
        </w:rPr>
        <w:t>镇</w:t>
      </w:r>
      <w:r>
        <w:rPr>
          <w:rFonts w:hint="eastAsia" w:ascii="仿宋_GB2312" w:eastAsia="仿宋_GB2312"/>
        </w:rPr>
        <w:t>火灾隐患整治年工作统计表</w:t>
      </w:r>
    </w:p>
    <w:p>
      <w:pPr>
        <w:keepNext w:val="0"/>
        <w:keepLines w:val="0"/>
        <w:pageBreakBefore w:val="0"/>
        <w:widowControl w:val="0"/>
        <w:kinsoku/>
        <w:wordWrap/>
        <w:overflowPunct/>
        <w:topLinePunct w:val="0"/>
        <w:autoSpaceDE/>
        <w:autoSpaceDN/>
        <w:bidi w:val="0"/>
        <w:adjustRightInd/>
        <w:spacing w:line="600" w:lineRule="exact"/>
        <w:ind w:firstLine="1600" w:firstLineChars="500"/>
        <w:jc w:val="left"/>
        <w:textAlignment w:val="auto"/>
        <w:rPr>
          <w:rFonts w:hint="eastAsia" w:ascii="仿宋_GB2312" w:eastAsia="仿宋_GB2312"/>
        </w:rPr>
      </w:pPr>
      <w:r>
        <w:rPr>
          <w:rFonts w:hint="eastAsia" w:ascii="仿宋_GB2312" w:eastAsia="仿宋_GB2312"/>
          <w:lang w:val="en-US" w:eastAsia="zh-CN"/>
        </w:rPr>
        <w:t>6</w:t>
      </w:r>
      <w:r>
        <w:rPr>
          <w:rFonts w:ascii="仿宋_GB2312" w:eastAsia="仿宋_GB2312"/>
        </w:rPr>
        <w:t>.</w:t>
      </w:r>
      <w:r>
        <w:rPr>
          <w:rFonts w:hint="eastAsia" w:ascii="仿宋_GB2312" w:eastAsia="仿宋_GB2312"/>
        </w:rPr>
        <w:t>每月火灾隐患整治明细表</w:t>
      </w:r>
    </w:p>
    <w:p>
      <w:pPr>
        <w:keepNext w:val="0"/>
        <w:keepLines w:val="0"/>
        <w:pageBreakBefore w:val="0"/>
        <w:widowControl w:val="0"/>
        <w:kinsoku/>
        <w:wordWrap/>
        <w:overflowPunct/>
        <w:topLinePunct w:val="0"/>
        <w:autoSpaceDE/>
        <w:autoSpaceDN/>
        <w:bidi w:val="0"/>
        <w:adjustRightInd/>
        <w:spacing w:line="600" w:lineRule="exact"/>
        <w:ind w:firstLine="1600" w:firstLineChars="500"/>
        <w:jc w:val="left"/>
        <w:textAlignment w:val="auto"/>
        <w:rPr>
          <w:rFonts w:hint="eastAsia" w:ascii="仿宋_GB2312" w:eastAsia="仿宋_GB2312"/>
        </w:rPr>
        <w:sectPr>
          <w:pgSz w:w="11906" w:h="16838"/>
          <w:pgMar w:top="1418" w:right="1474" w:bottom="1418" w:left="1474" w:header="851" w:footer="992" w:gutter="0"/>
          <w:pgNumType w:fmt="numberInDash"/>
          <w:cols w:space="720" w:num="1"/>
          <w:docGrid w:linePitch="312" w:charSpace="0"/>
        </w:sectPr>
      </w:pPr>
    </w:p>
    <w:p>
      <w:pPr>
        <w:spacing w:line="600" w:lineRule="exact"/>
        <w:ind w:right="640"/>
        <w:rPr>
          <w:rFonts w:ascii="黑体" w:hAnsi="黑体" w:eastAsia="黑体"/>
        </w:rPr>
      </w:pPr>
      <w:r>
        <w:rPr>
          <w:rFonts w:hint="eastAsia" w:ascii="黑体" w:hAnsi="黑体" w:eastAsia="黑体"/>
        </w:rPr>
        <w:t>附件</w:t>
      </w:r>
      <w:r>
        <w:rPr>
          <w:rFonts w:ascii="黑体" w:hAnsi="黑体" w:eastAsia="黑体"/>
        </w:rPr>
        <w:t>1</w:t>
      </w:r>
    </w:p>
    <w:p>
      <w:pPr>
        <w:spacing w:line="560" w:lineRule="exact"/>
        <w:jc w:val="center"/>
        <w:rPr>
          <w:rFonts w:ascii="方正小标宋_GBK" w:eastAsia="方正小标宋_GBK"/>
          <w:spacing w:val="-10"/>
          <w:sz w:val="44"/>
          <w:szCs w:val="44"/>
        </w:rPr>
      </w:pPr>
      <w:r>
        <w:rPr>
          <w:rFonts w:hint="eastAsia" w:ascii="方正小标宋_GBK" w:eastAsia="方正小标宋_GBK"/>
          <w:spacing w:val="-10"/>
          <w:sz w:val="44"/>
          <w:szCs w:val="44"/>
        </w:rPr>
        <w:t>单位消防安全自评自查自改和消防安全承诺登记表</w:t>
      </w:r>
    </w:p>
    <w:p>
      <w:pPr>
        <w:spacing w:line="560" w:lineRule="exact"/>
        <w:jc w:val="center"/>
        <w:rPr>
          <w:rFonts w:eastAsia="仿宋"/>
          <w:sz w:val="40"/>
          <w:szCs w:val="40"/>
        </w:rPr>
      </w:pPr>
      <w:r>
        <w:rPr>
          <w:rFonts w:hint="eastAsia" w:eastAsia="仿宋"/>
          <w:kern w:val="0"/>
          <w:sz w:val="21"/>
          <w:szCs w:val="21"/>
        </w:rPr>
        <w:t>填报单位（印章）：</w:t>
      </w:r>
      <w:r>
        <w:rPr>
          <w:rFonts w:eastAsia="仿宋"/>
          <w:kern w:val="0"/>
          <w:sz w:val="21"/>
          <w:szCs w:val="21"/>
        </w:rPr>
        <w:t xml:space="preserve">         </w:t>
      </w:r>
      <w:r>
        <w:rPr>
          <w:rFonts w:hint="eastAsia" w:eastAsia="仿宋"/>
          <w:kern w:val="0"/>
          <w:sz w:val="21"/>
          <w:szCs w:val="21"/>
        </w:rPr>
        <w:t>填表人：</w:t>
      </w:r>
      <w:r>
        <w:rPr>
          <w:rFonts w:eastAsia="仿宋"/>
          <w:kern w:val="0"/>
          <w:sz w:val="21"/>
          <w:szCs w:val="21"/>
        </w:rPr>
        <w:t xml:space="preserve">           </w:t>
      </w:r>
      <w:r>
        <w:rPr>
          <w:rFonts w:hint="eastAsia" w:eastAsia="仿宋"/>
          <w:kern w:val="0"/>
          <w:sz w:val="21"/>
          <w:szCs w:val="21"/>
        </w:rPr>
        <w:t>联系方式：</w:t>
      </w:r>
      <w:r>
        <w:rPr>
          <w:rFonts w:eastAsia="仿宋"/>
          <w:kern w:val="0"/>
          <w:sz w:val="21"/>
          <w:szCs w:val="21"/>
        </w:rPr>
        <w:t xml:space="preserve">         </w:t>
      </w:r>
      <w:r>
        <w:rPr>
          <w:rFonts w:hint="eastAsia" w:eastAsia="仿宋"/>
          <w:kern w:val="0"/>
          <w:sz w:val="21"/>
          <w:szCs w:val="21"/>
        </w:rPr>
        <w:t>填报时间：</w:t>
      </w:r>
      <w:r>
        <w:rPr>
          <w:rFonts w:eastAsia="仿宋"/>
          <w:kern w:val="0"/>
          <w:sz w:val="21"/>
          <w:szCs w:val="21"/>
        </w:rPr>
        <w:t xml:space="preserve">  </w:t>
      </w:r>
      <w:r>
        <w:rPr>
          <w:rFonts w:hint="eastAsia" w:eastAsia="仿宋"/>
          <w:kern w:val="0"/>
          <w:sz w:val="21"/>
          <w:szCs w:val="21"/>
        </w:rPr>
        <w:t>年</w:t>
      </w:r>
      <w:r>
        <w:rPr>
          <w:rFonts w:eastAsia="仿宋"/>
          <w:kern w:val="0"/>
          <w:sz w:val="21"/>
          <w:szCs w:val="21"/>
        </w:rPr>
        <w:t xml:space="preserve">  </w:t>
      </w:r>
      <w:r>
        <w:rPr>
          <w:rFonts w:hint="eastAsia" w:eastAsia="仿宋"/>
          <w:kern w:val="0"/>
          <w:sz w:val="21"/>
          <w:szCs w:val="21"/>
        </w:rPr>
        <w:t>月</w:t>
      </w:r>
      <w:r>
        <w:rPr>
          <w:rFonts w:eastAsia="仿宋"/>
          <w:kern w:val="0"/>
          <w:sz w:val="21"/>
          <w:szCs w:val="21"/>
        </w:rPr>
        <w:t xml:space="preserve">  </w:t>
      </w:r>
      <w:r>
        <w:rPr>
          <w:rFonts w:hint="eastAsia" w:eastAsia="仿宋"/>
          <w:kern w:val="0"/>
          <w:sz w:val="21"/>
          <w:szCs w:val="21"/>
        </w:rPr>
        <w:t>日</w:t>
      </w:r>
    </w:p>
    <w:tbl>
      <w:tblPr>
        <w:tblStyle w:val="6"/>
        <w:tblW w:w="107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385"/>
        <w:gridCol w:w="82"/>
        <w:gridCol w:w="281"/>
        <w:gridCol w:w="201"/>
        <w:gridCol w:w="903"/>
        <w:gridCol w:w="115"/>
        <w:gridCol w:w="759"/>
        <w:gridCol w:w="544"/>
        <w:gridCol w:w="412"/>
        <w:gridCol w:w="296"/>
        <w:gridCol w:w="857"/>
        <w:gridCol w:w="50"/>
        <w:gridCol w:w="181"/>
        <w:gridCol w:w="610"/>
        <w:gridCol w:w="145"/>
        <w:gridCol w:w="366"/>
        <w:gridCol w:w="66"/>
        <w:gridCol w:w="637"/>
        <w:gridCol w:w="352"/>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738" w:type="dxa"/>
            <w:vAlign w:val="center"/>
          </w:tcPr>
          <w:p>
            <w:pPr>
              <w:widowControl/>
              <w:adjustRightInd w:val="0"/>
              <w:snapToGrid w:val="0"/>
              <w:jc w:val="center"/>
              <w:rPr>
                <w:rFonts w:eastAsia="仿宋"/>
                <w:kern w:val="0"/>
                <w:sz w:val="21"/>
                <w:szCs w:val="21"/>
              </w:rPr>
            </w:pPr>
            <w:r>
              <w:rPr>
                <w:rFonts w:hint="eastAsia" w:eastAsia="仿宋"/>
                <w:kern w:val="0"/>
                <w:sz w:val="21"/>
                <w:szCs w:val="21"/>
              </w:rPr>
              <w:t>单位（法人）</w:t>
            </w:r>
          </w:p>
          <w:p>
            <w:pPr>
              <w:widowControl/>
              <w:adjustRightInd w:val="0"/>
              <w:snapToGrid w:val="0"/>
              <w:jc w:val="center"/>
              <w:rPr>
                <w:rFonts w:eastAsia="仿宋"/>
                <w:kern w:val="0"/>
                <w:sz w:val="21"/>
                <w:szCs w:val="21"/>
              </w:rPr>
            </w:pPr>
            <w:r>
              <w:rPr>
                <w:rFonts w:hint="eastAsia" w:eastAsia="仿宋"/>
                <w:kern w:val="0"/>
                <w:sz w:val="21"/>
                <w:szCs w:val="21"/>
              </w:rPr>
              <w:t>名称</w:t>
            </w:r>
          </w:p>
        </w:tc>
        <w:tc>
          <w:tcPr>
            <w:tcW w:w="4270" w:type="dxa"/>
            <w:gridSpan w:val="8"/>
            <w:vAlign w:val="center"/>
          </w:tcPr>
          <w:p>
            <w:pPr>
              <w:widowControl/>
              <w:adjustRightInd w:val="0"/>
              <w:snapToGrid w:val="0"/>
              <w:jc w:val="center"/>
              <w:rPr>
                <w:rFonts w:eastAsia="仿宋"/>
                <w:kern w:val="0"/>
                <w:sz w:val="21"/>
                <w:szCs w:val="21"/>
              </w:rPr>
            </w:pPr>
          </w:p>
        </w:tc>
        <w:tc>
          <w:tcPr>
            <w:tcW w:w="1565" w:type="dxa"/>
            <w:gridSpan w:val="3"/>
            <w:vAlign w:val="center"/>
          </w:tcPr>
          <w:p>
            <w:pPr>
              <w:widowControl/>
              <w:adjustRightInd w:val="0"/>
              <w:snapToGrid w:val="0"/>
              <w:jc w:val="center"/>
              <w:rPr>
                <w:rFonts w:eastAsia="仿宋"/>
                <w:kern w:val="0"/>
                <w:sz w:val="21"/>
                <w:szCs w:val="21"/>
              </w:rPr>
            </w:pPr>
            <w:r>
              <w:rPr>
                <w:rFonts w:hint="eastAsia" w:eastAsia="仿宋"/>
                <w:kern w:val="0"/>
                <w:sz w:val="21"/>
                <w:szCs w:val="21"/>
              </w:rPr>
              <w:t>统一社会</w:t>
            </w:r>
          </w:p>
          <w:p>
            <w:pPr>
              <w:widowControl/>
              <w:adjustRightInd w:val="0"/>
              <w:snapToGrid w:val="0"/>
              <w:jc w:val="center"/>
              <w:rPr>
                <w:rFonts w:eastAsia="仿宋"/>
                <w:kern w:val="0"/>
                <w:sz w:val="21"/>
                <w:szCs w:val="21"/>
              </w:rPr>
            </w:pPr>
            <w:r>
              <w:rPr>
                <w:rFonts w:hint="eastAsia" w:eastAsia="仿宋"/>
                <w:kern w:val="0"/>
                <w:sz w:val="21"/>
                <w:szCs w:val="21"/>
              </w:rPr>
              <w:t>信用代码</w:t>
            </w:r>
          </w:p>
        </w:tc>
        <w:tc>
          <w:tcPr>
            <w:tcW w:w="3187" w:type="dxa"/>
            <w:gridSpan w:val="9"/>
            <w:vAlign w:val="center"/>
          </w:tcPr>
          <w:p>
            <w:pPr>
              <w:widowControl/>
              <w:adjustRightInd w:val="0"/>
              <w:snapToGrid w:val="0"/>
              <w:jc w:val="center"/>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738" w:type="dxa"/>
            <w:vAlign w:val="center"/>
          </w:tcPr>
          <w:p>
            <w:pPr>
              <w:widowControl/>
              <w:adjustRightInd w:val="0"/>
              <w:snapToGrid w:val="0"/>
              <w:jc w:val="center"/>
              <w:rPr>
                <w:rFonts w:eastAsia="仿宋"/>
                <w:kern w:val="0"/>
                <w:sz w:val="21"/>
                <w:szCs w:val="21"/>
              </w:rPr>
            </w:pPr>
            <w:r>
              <w:rPr>
                <w:rFonts w:hint="eastAsia" w:eastAsia="仿宋"/>
                <w:kern w:val="0"/>
                <w:sz w:val="21"/>
                <w:szCs w:val="21"/>
              </w:rPr>
              <w:t>单位（场所）</w:t>
            </w:r>
          </w:p>
          <w:p>
            <w:pPr>
              <w:widowControl/>
              <w:adjustRightInd w:val="0"/>
              <w:snapToGrid w:val="0"/>
              <w:jc w:val="center"/>
              <w:rPr>
                <w:rFonts w:eastAsia="仿宋"/>
                <w:kern w:val="0"/>
                <w:sz w:val="21"/>
                <w:szCs w:val="21"/>
              </w:rPr>
            </w:pPr>
            <w:r>
              <w:rPr>
                <w:rFonts w:hint="eastAsia" w:eastAsia="仿宋"/>
                <w:kern w:val="0"/>
                <w:sz w:val="21"/>
                <w:szCs w:val="21"/>
              </w:rPr>
              <w:t>实际名称</w:t>
            </w:r>
          </w:p>
        </w:tc>
        <w:tc>
          <w:tcPr>
            <w:tcW w:w="4270" w:type="dxa"/>
            <w:gridSpan w:val="8"/>
            <w:vAlign w:val="center"/>
          </w:tcPr>
          <w:p>
            <w:pPr>
              <w:widowControl/>
              <w:adjustRightInd w:val="0"/>
              <w:snapToGrid w:val="0"/>
              <w:jc w:val="center"/>
              <w:rPr>
                <w:rFonts w:eastAsia="仿宋"/>
                <w:kern w:val="0"/>
                <w:sz w:val="21"/>
                <w:szCs w:val="21"/>
              </w:rPr>
            </w:pPr>
          </w:p>
        </w:tc>
        <w:tc>
          <w:tcPr>
            <w:tcW w:w="1565" w:type="dxa"/>
            <w:gridSpan w:val="3"/>
            <w:vAlign w:val="center"/>
          </w:tcPr>
          <w:p>
            <w:pPr>
              <w:widowControl/>
              <w:adjustRightInd w:val="0"/>
              <w:snapToGrid w:val="0"/>
              <w:jc w:val="center"/>
              <w:rPr>
                <w:rFonts w:eastAsia="仿宋"/>
                <w:kern w:val="0"/>
                <w:sz w:val="21"/>
                <w:szCs w:val="21"/>
              </w:rPr>
            </w:pPr>
            <w:r>
              <w:rPr>
                <w:rFonts w:hint="eastAsia" w:eastAsia="仿宋"/>
                <w:kern w:val="0"/>
                <w:sz w:val="21"/>
                <w:szCs w:val="21"/>
              </w:rPr>
              <w:t>单位使用性质</w:t>
            </w:r>
          </w:p>
        </w:tc>
        <w:tc>
          <w:tcPr>
            <w:tcW w:w="3187" w:type="dxa"/>
            <w:gridSpan w:val="9"/>
            <w:vAlign w:val="center"/>
          </w:tcPr>
          <w:p>
            <w:pPr>
              <w:widowControl/>
              <w:adjustRightInd w:val="0"/>
              <w:snapToGrid w:val="0"/>
              <w:jc w:val="center"/>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738" w:type="dxa"/>
            <w:vAlign w:val="center"/>
          </w:tcPr>
          <w:p>
            <w:pPr>
              <w:widowControl/>
              <w:adjustRightInd w:val="0"/>
              <w:snapToGrid w:val="0"/>
              <w:jc w:val="center"/>
              <w:rPr>
                <w:rFonts w:eastAsia="仿宋"/>
                <w:kern w:val="0"/>
                <w:sz w:val="21"/>
                <w:szCs w:val="21"/>
              </w:rPr>
            </w:pPr>
            <w:r>
              <w:rPr>
                <w:rFonts w:hint="eastAsia" w:eastAsia="仿宋"/>
                <w:kern w:val="0"/>
                <w:sz w:val="21"/>
                <w:szCs w:val="21"/>
              </w:rPr>
              <w:t>地址</w:t>
            </w:r>
          </w:p>
        </w:tc>
        <w:tc>
          <w:tcPr>
            <w:tcW w:w="9022" w:type="dxa"/>
            <w:gridSpan w:val="20"/>
            <w:vAlign w:val="center"/>
          </w:tcPr>
          <w:p>
            <w:pPr>
              <w:widowControl/>
              <w:adjustRightInd w:val="0"/>
              <w:snapToGrid w:val="0"/>
              <w:ind w:firstLine="1050" w:firstLineChars="500"/>
              <w:rPr>
                <w:rFonts w:eastAsia="仿宋"/>
                <w:kern w:val="0"/>
                <w:sz w:val="21"/>
                <w:szCs w:val="21"/>
              </w:rPr>
            </w:pPr>
            <w:r>
              <w:rPr>
                <w:rFonts w:hint="eastAsia" w:eastAsia="仿宋"/>
                <w:kern w:val="0"/>
                <w:sz w:val="21"/>
                <w:szCs w:val="21"/>
              </w:rPr>
              <w:t>市</w:t>
            </w:r>
            <w:r>
              <w:rPr>
                <w:rFonts w:eastAsia="仿宋"/>
                <w:kern w:val="0"/>
                <w:sz w:val="21"/>
                <w:szCs w:val="21"/>
              </w:rPr>
              <w:t xml:space="preserve">       </w:t>
            </w:r>
            <w:r>
              <w:rPr>
                <w:rFonts w:hint="eastAsia" w:eastAsia="仿宋"/>
                <w:kern w:val="0"/>
                <w:sz w:val="21"/>
                <w:szCs w:val="21"/>
              </w:rPr>
              <w:t>县（市、区）</w:t>
            </w:r>
            <w:r>
              <w:rPr>
                <w:rFonts w:eastAsia="仿宋"/>
                <w:kern w:val="0"/>
                <w:sz w:val="21"/>
                <w:szCs w:val="21"/>
              </w:rPr>
              <w:t xml:space="preserve">        </w:t>
            </w:r>
            <w:r>
              <w:rPr>
                <w:rFonts w:hint="eastAsia" w:eastAsia="仿宋"/>
                <w:kern w:val="0"/>
                <w:sz w:val="21"/>
                <w:szCs w:val="21"/>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738" w:type="dxa"/>
            <w:vMerge w:val="restart"/>
            <w:vAlign w:val="center"/>
          </w:tcPr>
          <w:p>
            <w:pPr>
              <w:widowControl/>
              <w:adjustRightInd w:val="0"/>
              <w:snapToGrid w:val="0"/>
              <w:jc w:val="center"/>
              <w:rPr>
                <w:rFonts w:eastAsia="仿宋"/>
                <w:kern w:val="0"/>
                <w:sz w:val="21"/>
                <w:szCs w:val="21"/>
              </w:rPr>
            </w:pPr>
            <w:r>
              <w:rPr>
                <w:rFonts w:hint="eastAsia" w:eastAsia="仿宋"/>
                <w:kern w:val="0"/>
                <w:sz w:val="21"/>
                <w:szCs w:val="21"/>
              </w:rPr>
              <w:t>消防安全</w:t>
            </w:r>
          </w:p>
          <w:p>
            <w:pPr>
              <w:widowControl/>
              <w:adjustRightInd w:val="0"/>
              <w:snapToGrid w:val="0"/>
              <w:jc w:val="center"/>
              <w:rPr>
                <w:rFonts w:eastAsia="仿宋"/>
                <w:kern w:val="0"/>
                <w:sz w:val="21"/>
                <w:szCs w:val="21"/>
              </w:rPr>
            </w:pPr>
            <w:r>
              <w:rPr>
                <w:rFonts w:hint="eastAsia" w:eastAsia="仿宋"/>
                <w:kern w:val="0"/>
                <w:sz w:val="21"/>
                <w:szCs w:val="21"/>
              </w:rPr>
              <w:t>责任人</w:t>
            </w:r>
          </w:p>
        </w:tc>
        <w:tc>
          <w:tcPr>
            <w:tcW w:w="1748" w:type="dxa"/>
            <w:gridSpan w:val="3"/>
            <w:vMerge w:val="restart"/>
            <w:vAlign w:val="center"/>
          </w:tcPr>
          <w:p>
            <w:pPr>
              <w:widowControl/>
              <w:adjustRightInd w:val="0"/>
              <w:snapToGrid w:val="0"/>
              <w:jc w:val="center"/>
              <w:rPr>
                <w:rFonts w:eastAsia="仿宋"/>
                <w:kern w:val="0"/>
                <w:sz w:val="21"/>
                <w:szCs w:val="21"/>
              </w:rPr>
            </w:pPr>
          </w:p>
        </w:tc>
        <w:tc>
          <w:tcPr>
            <w:tcW w:w="1219" w:type="dxa"/>
            <w:gridSpan w:val="3"/>
            <w:vMerge w:val="restart"/>
            <w:vAlign w:val="center"/>
          </w:tcPr>
          <w:p>
            <w:pPr>
              <w:widowControl/>
              <w:adjustRightInd w:val="0"/>
              <w:snapToGrid w:val="0"/>
              <w:jc w:val="center"/>
              <w:rPr>
                <w:rFonts w:eastAsia="仿宋"/>
                <w:kern w:val="0"/>
                <w:sz w:val="21"/>
                <w:szCs w:val="21"/>
              </w:rPr>
            </w:pPr>
            <w:r>
              <w:rPr>
                <w:rFonts w:hint="eastAsia" w:eastAsia="仿宋"/>
                <w:kern w:val="0"/>
                <w:sz w:val="21"/>
                <w:szCs w:val="21"/>
              </w:rPr>
              <w:t>消防安全管理人</w:t>
            </w:r>
          </w:p>
        </w:tc>
        <w:tc>
          <w:tcPr>
            <w:tcW w:w="1303" w:type="dxa"/>
            <w:gridSpan w:val="2"/>
            <w:vMerge w:val="restart"/>
            <w:vAlign w:val="center"/>
          </w:tcPr>
          <w:p>
            <w:pPr>
              <w:widowControl/>
              <w:adjustRightInd w:val="0"/>
              <w:snapToGrid w:val="0"/>
              <w:jc w:val="center"/>
              <w:rPr>
                <w:rFonts w:eastAsia="仿宋"/>
                <w:kern w:val="0"/>
                <w:sz w:val="21"/>
                <w:szCs w:val="21"/>
              </w:rPr>
            </w:pPr>
          </w:p>
        </w:tc>
        <w:tc>
          <w:tcPr>
            <w:tcW w:w="1565" w:type="dxa"/>
            <w:gridSpan w:val="3"/>
            <w:vMerge w:val="restart"/>
            <w:vAlign w:val="center"/>
          </w:tcPr>
          <w:p>
            <w:pPr>
              <w:widowControl/>
              <w:adjustRightInd w:val="0"/>
              <w:snapToGrid w:val="0"/>
              <w:jc w:val="center"/>
              <w:rPr>
                <w:rFonts w:eastAsia="仿宋"/>
                <w:kern w:val="0"/>
                <w:sz w:val="21"/>
                <w:szCs w:val="21"/>
              </w:rPr>
            </w:pPr>
            <w:r>
              <w:rPr>
                <w:rFonts w:hint="eastAsia" w:eastAsia="仿宋"/>
                <w:kern w:val="0"/>
                <w:sz w:val="21"/>
                <w:szCs w:val="21"/>
              </w:rPr>
              <w:t>联系电话</w:t>
            </w:r>
          </w:p>
        </w:tc>
        <w:tc>
          <w:tcPr>
            <w:tcW w:w="841" w:type="dxa"/>
            <w:gridSpan w:val="3"/>
            <w:vAlign w:val="center"/>
          </w:tcPr>
          <w:p>
            <w:pPr>
              <w:widowControl/>
              <w:adjustRightInd w:val="0"/>
              <w:snapToGrid w:val="0"/>
              <w:jc w:val="center"/>
              <w:rPr>
                <w:rFonts w:eastAsia="仿宋"/>
                <w:kern w:val="0"/>
                <w:sz w:val="21"/>
                <w:szCs w:val="21"/>
              </w:rPr>
            </w:pPr>
            <w:r>
              <w:rPr>
                <w:rFonts w:hint="eastAsia" w:eastAsia="仿宋"/>
                <w:kern w:val="0"/>
                <w:sz w:val="21"/>
                <w:szCs w:val="21"/>
              </w:rPr>
              <w:t>手机</w:t>
            </w:r>
          </w:p>
        </w:tc>
        <w:tc>
          <w:tcPr>
            <w:tcW w:w="2346" w:type="dxa"/>
            <w:gridSpan w:val="6"/>
            <w:vAlign w:val="center"/>
          </w:tcPr>
          <w:p>
            <w:pPr>
              <w:widowControl/>
              <w:adjustRightInd w:val="0"/>
              <w:snapToGrid w:val="0"/>
              <w:jc w:val="center"/>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738" w:type="dxa"/>
            <w:vMerge w:val="continue"/>
            <w:vAlign w:val="center"/>
          </w:tcPr>
          <w:p>
            <w:pPr>
              <w:widowControl/>
              <w:jc w:val="left"/>
              <w:rPr>
                <w:rFonts w:eastAsia="仿宋"/>
                <w:kern w:val="0"/>
                <w:sz w:val="21"/>
                <w:szCs w:val="21"/>
              </w:rPr>
            </w:pPr>
          </w:p>
        </w:tc>
        <w:tc>
          <w:tcPr>
            <w:tcW w:w="1748" w:type="dxa"/>
            <w:gridSpan w:val="3"/>
            <w:vMerge w:val="continue"/>
            <w:vAlign w:val="center"/>
          </w:tcPr>
          <w:p>
            <w:pPr>
              <w:widowControl/>
              <w:jc w:val="left"/>
              <w:rPr>
                <w:rFonts w:eastAsia="仿宋"/>
                <w:kern w:val="0"/>
                <w:sz w:val="21"/>
                <w:szCs w:val="21"/>
              </w:rPr>
            </w:pPr>
          </w:p>
        </w:tc>
        <w:tc>
          <w:tcPr>
            <w:tcW w:w="1219" w:type="dxa"/>
            <w:gridSpan w:val="3"/>
            <w:vMerge w:val="continue"/>
            <w:vAlign w:val="center"/>
          </w:tcPr>
          <w:p>
            <w:pPr>
              <w:widowControl/>
              <w:jc w:val="left"/>
              <w:rPr>
                <w:rFonts w:eastAsia="仿宋"/>
                <w:kern w:val="0"/>
                <w:sz w:val="21"/>
                <w:szCs w:val="21"/>
              </w:rPr>
            </w:pPr>
          </w:p>
        </w:tc>
        <w:tc>
          <w:tcPr>
            <w:tcW w:w="1303" w:type="dxa"/>
            <w:gridSpan w:val="2"/>
            <w:vMerge w:val="continue"/>
            <w:vAlign w:val="center"/>
          </w:tcPr>
          <w:p>
            <w:pPr>
              <w:widowControl/>
              <w:jc w:val="left"/>
              <w:rPr>
                <w:rFonts w:eastAsia="仿宋"/>
                <w:kern w:val="0"/>
                <w:sz w:val="21"/>
                <w:szCs w:val="21"/>
              </w:rPr>
            </w:pPr>
          </w:p>
        </w:tc>
        <w:tc>
          <w:tcPr>
            <w:tcW w:w="1565" w:type="dxa"/>
            <w:gridSpan w:val="3"/>
            <w:vMerge w:val="continue"/>
            <w:vAlign w:val="center"/>
          </w:tcPr>
          <w:p>
            <w:pPr>
              <w:widowControl/>
              <w:jc w:val="left"/>
              <w:rPr>
                <w:rFonts w:eastAsia="仿宋"/>
                <w:kern w:val="0"/>
                <w:sz w:val="21"/>
                <w:szCs w:val="21"/>
              </w:rPr>
            </w:pPr>
          </w:p>
        </w:tc>
        <w:tc>
          <w:tcPr>
            <w:tcW w:w="841" w:type="dxa"/>
            <w:gridSpan w:val="3"/>
            <w:vAlign w:val="center"/>
          </w:tcPr>
          <w:p>
            <w:pPr>
              <w:widowControl/>
              <w:adjustRightInd w:val="0"/>
              <w:snapToGrid w:val="0"/>
              <w:jc w:val="center"/>
              <w:rPr>
                <w:rFonts w:eastAsia="仿宋"/>
                <w:kern w:val="0"/>
                <w:sz w:val="21"/>
                <w:szCs w:val="21"/>
              </w:rPr>
            </w:pPr>
            <w:r>
              <w:rPr>
                <w:rFonts w:hint="eastAsia" w:eastAsia="仿宋"/>
                <w:kern w:val="0"/>
                <w:sz w:val="21"/>
                <w:szCs w:val="21"/>
              </w:rPr>
              <w:t>固话</w:t>
            </w:r>
          </w:p>
        </w:tc>
        <w:tc>
          <w:tcPr>
            <w:tcW w:w="2346" w:type="dxa"/>
            <w:gridSpan w:val="6"/>
            <w:vAlign w:val="center"/>
          </w:tcPr>
          <w:p>
            <w:pPr>
              <w:widowControl/>
              <w:adjustRightInd w:val="0"/>
              <w:snapToGrid w:val="0"/>
              <w:jc w:val="center"/>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1738" w:type="dxa"/>
            <w:vAlign w:val="center"/>
          </w:tcPr>
          <w:p>
            <w:pPr>
              <w:widowControl/>
              <w:adjustRightInd w:val="0"/>
              <w:snapToGrid w:val="0"/>
              <w:jc w:val="center"/>
              <w:rPr>
                <w:rFonts w:eastAsia="仿宋"/>
                <w:kern w:val="0"/>
                <w:sz w:val="21"/>
                <w:szCs w:val="21"/>
              </w:rPr>
            </w:pPr>
            <w:r>
              <w:rPr>
                <w:rFonts w:hint="eastAsia" w:eastAsia="仿宋"/>
                <w:kern w:val="0"/>
                <w:sz w:val="21"/>
                <w:szCs w:val="21"/>
              </w:rPr>
              <w:t>是否自主</w:t>
            </w:r>
          </w:p>
          <w:p>
            <w:pPr>
              <w:widowControl/>
              <w:adjustRightInd w:val="0"/>
              <w:snapToGrid w:val="0"/>
              <w:jc w:val="center"/>
              <w:rPr>
                <w:rFonts w:eastAsia="仿宋"/>
                <w:kern w:val="0"/>
                <w:sz w:val="21"/>
                <w:szCs w:val="21"/>
              </w:rPr>
            </w:pPr>
            <w:r>
              <w:rPr>
                <w:rFonts w:hint="eastAsia" w:eastAsia="仿宋"/>
                <w:kern w:val="0"/>
                <w:sz w:val="21"/>
                <w:szCs w:val="21"/>
              </w:rPr>
              <w:t>消防安全管理</w:t>
            </w:r>
          </w:p>
        </w:tc>
        <w:tc>
          <w:tcPr>
            <w:tcW w:w="1748" w:type="dxa"/>
            <w:gridSpan w:val="3"/>
            <w:vAlign w:val="center"/>
          </w:tcPr>
          <w:p>
            <w:pPr>
              <w:widowControl/>
              <w:adjustRightInd w:val="0"/>
              <w:snapToGrid w:val="0"/>
              <w:jc w:val="center"/>
              <w:rPr>
                <w:rFonts w:eastAsia="仿宋"/>
                <w:kern w:val="0"/>
                <w:sz w:val="21"/>
                <w:szCs w:val="21"/>
              </w:rPr>
            </w:pPr>
            <w:r>
              <w:rPr>
                <w:rFonts w:hint="eastAsia" w:eastAsia="仿宋"/>
                <w:kern w:val="0"/>
                <w:sz w:val="21"/>
                <w:szCs w:val="21"/>
              </w:rPr>
              <w:t>是</w:t>
            </w:r>
            <w:r>
              <w:rPr>
                <w:rFonts w:eastAsia="仿宋"/>
                <w:kern w:val="0"/>
                <w:sz w:val="21"/>
                <w:szCs w:val="21"/>
              </w:rPr>
              <w:t xml:space="preserve">□  </w:t>
            </w:r>
            <w:r>
              <w:rPr>
                <w:rFonts w:hint="eastAsia" w:eastAsia="仿宋"/>
                <w:kern w:val="0"/>
                <w:sz w:val="21"/>
                <w:szCs w:val="21"/>
              </w:rPr>
              <w:t>否</w:t>
            </w:r>
            <w:r>
              <w:rPr>
                <w:rFonts w:eastAsia="仿宋"/>
                <w:kern w:val="0"/>
                <w:sz w:val="21"/>
                <w:szCs w:val="21"/>
              </w:rPr>
              <w:t>□</w:t>
            </w:r>
          </w:p>
        </w:tc>
        <w:tc>
          <w:tcPr>
            <w:tcW w:w="2522" w:type="dxa"/>
            <w:gridSpan w:val="5"/>
            <w:vAlign w:val="center"/>
          </w:tcPr>
          <w:p>
            <w:pPr>
              <w:widowControl/>
              <w:adjustRightInd w:val="0"/>
              <w:snapToGrid w:val="0"/>
              <w:jc w:val="center"/>
              <w:rPr>
                <w:rFonts w:eastAsia="仿宋"/>
                <w:kern w:val="0"/>
                <w:sz w:val="21"/>
                <w:szCs w:val="21"/>
              </w:rPr>
            </w:pPr>
            <w:r>
              <w:rPr>
                <w:rFonts w:hint="eastAsia" w:eastAsia="仿宋"/>
                <w:kern w:val="0"/>
                <w:sz w:val="21"/>
                <w:szCs w:val="21"/>
              </w:rPr>
              <w:t>消防安全管理单位名称</w:t>
            </w:r>
          </w:p>
        </w:tc>
        <w:tc>
          <w:tcPr>
            <w:tcW w:w="4752" w:type="dxa"/>
            <w:gridSpan w:val="12"/>
            <w:vAlign w:val="center"/>
          </w:tcPr>
          <w:p>
            <w:pPr>
              <w:spacing w:line="400" w:lineRule="exact"/>
              <w:jc w:val="center"/>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738" w:type="dxa"/>
            <w:vAlign w:val="center"/>
          </w:tcPr>
          <w:p>
            <w:pPr>
              <w:widowControl/>
              <w:adjustRightInd w:val="0"/>
              <w:snapToGrid w:val="0"/>
              <w:jc w:val="center"/>
              <w:rPr>
                <w:rFonts w:eastAsia="仿宋"/>
                <w:kern w:val="0"/>
                <w:sz w:val="21"/>
                <w:szCs w:val="21"/>
              </w:rPr>
            </w:pPr>
            <w:r>
              <w:rPr>
                <w:rFonts w:hint="eastAsia" w:eastAsia="仿宋"/>
                <w:kern w:val="0"/>
                <w:sz w:val="21"/>
                <w:szCs w:val="21"/>
              </w:rPr>
              <w:t>直属上级单位</w:t>
            </w:r>
          </w:p>
          <w:p>
            <w:pPr>
              <w:widowControl/>
              <w:adjustRightInd w:val="0"/>
              <w:snapToGrid w:val="0"/>
              <w:jc w:val="center"/>
              <w:rPr>
                <w:rFonts w:eastAsia="仿宋"/>
                <w:kern w:val="0"/>
                <w:sz w:val="21"/>
                <w:szCs w:val="21"/>
              </w:rPr>
            </w:pPr>
            <w:r>
              <w:rPr>
                <w:rFonts w:hint="eastAsia" w:eastAsia="仿宋"/>
                <w:kern w:val="0"/>
                <w:sz w:val="21"/>
                <w:szCs w:val="21"/>
              </w:rPr>
              <w:t>名称</w:t>
            </w:r>
          </w:p>
        </w:tc>
        <w:tc>
          <w:tcPr>
            <w:tcW w:w="9022" w:type="dxa"/>
            <w:gridSpan w:val="20"/>
            <w:vAlign w:val="center"/>
          </w:tcPr>
          <w:p>
            <w:pPr>
              <w:spacing w:line="280" w:lineRule="exact"/>
              <w:jc w:val="cente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738" w:type="dxa"/>
            <w:vMerge w:val="restart"/>
            <w:vAlign w:val="center"/>
          </w:tcPr>
          <w:p>
            <w:pPr>
              <w:widowControl/>
              <w:adjustRightInd w:val="0"/>
              <w:snapToGrid w:val="0"/>
              <w:rPr>
                <w:rFonts w:eastAsia="仿宋"/>
                <w:kern w:val="0"/>
                <w:sz w:val="21"/>
                <w:szCs w:val="21"/>
              </w:rPr>
            </w:pPr>
            <w:r>
              <w:rPr>
                <w:rFonts w:hint="eastAsia" w:eastAsia="仿宋"/>
                <w:kern w:val="0"/>
                <w:sz w:val="21"/>
                <w:szCs w:val="21"/>
              </w:rPr>
              <w:t>单位与所在建筑关系</w:t>
            </w:r>
          </w:p>
        </w:tc>
        <w:tc>
          <w:tcPr>
            <w:tcW w:w="3726" w:type="dxa"/>
            <w:gridSpan w:val="7"/>
            <w:vAlign w:val="center"/>
          </w:tcPr>
          <w:p>
            <w:pPr>
              <w:widowControl/>
              <w:adjustRightInd w:val="0"/>
              <w:snapToGrid w:val="0"/>
              <w:rPr>
                <w:rFonts w:eastAsia="仿宋"/>
                <w:kern w:val="0"/>
                <w:sz w:val="21"/>
                <w:szCs w:val="21"/>
              </w:rPr>
            </w:pPr>
            <w:r>
              <w:rPr>
                <w:rFonts w:hint="eastAsia" w:eastAsia="仿宋"/>
                <w:kern w:val="0"/>
                <w:sz w:val="21"/>
                <w:szCs w:val="21"/>
              </w:rPr>
              <w:t>同一建筑</w:t>
            </w:r>
            <w:r>
              <w:rPr>
                <w:rFonts w:eastAsia="仿宋"/>
                <w:kern w:val="0"/>
                <w:sz w:val="21"/>
                <w:szCs w:val="21"/>
              </w:rPr>
              <w:t xml:space="preserve">     □</w:t>
            </w:r>
          </w:p>
        </w:tc>
        <w:tc>
          <w:tcPr>
            <w:tcW w:w="1252" w:type="dxa"/>
            <w:gridSpan w:val="3"/>
            <w:vMerge w:val="restart"/>
            <w:vAlign w:val="center"/>
          </w:tcPr>
          <w:p>
            <w:pPr>
              <w:widowControl/>
              <w:adjustRightInd w:val="0"/>
              <w:snapToGrid w:val="0"/>
              <w:rPr>
                <w:rFonts w:eastAsia="仿宋"/>
                <w:kern w:val="0"/>
                <w:sz w:val="21"/>
                <w:szCs w:val="21"/>
              </w:rPr>
            </w:pPr>
            <w:r>
              <w:rPr>
                <w:rFonts w:hint="eastAsia" w:eastAsia="仿宋"/>
                <w:kern w:val="0"/>
                <w:sz w:val="21"/>
                <w:szCs w:val="21"/>
              </w:rPr>
              <w:t>单位的经营活动场所是否涉及地下</w:t>
            </w:r>
          </w:p>
        </w:tc>
        <w:tc>
          <w:tcPr>
            <w:tcW w:w="907" w:type="dxa"/>
            <w:gridSpan w:val="2"/>
            <w:vMerge w:val="restart"/>
            <w:vAlign w:val="center"/>
          </w:tcPr>
          <w:p>
            <w:pPr>
              <w:widowControl/>
              <w:adjustRightInd w:val="0"/>
              <w:snapToGrid w:val="0"/>
              <w:jc w:val="center"/>
              <w:rPr>
                <w:rFonts w:eastAsia="仿宋"/>
                <w:kern w:val="0"/>
                <w:sz w:val="21"/>
                <w:szCs w:val="21"/>
              </w:rPr>
            </w:pPr>
            <w:r>
              <w:rPr>
                <w:rFonts w:hint="eastAsia" w:eastAsia="仿宋"/>
                <w:kern w:val="0"/>
                <w:sz w:val="21"/>
                <w:szCs w:val="21"/>
              </w:rPr>
              <w:t>是</w:t>
            </w:r>
            <w:r>
              <w:rPr>
                <w:rFonts w:eastAsia="仿宋"/>
                <w:kern w:val="0"/>
                <w:sz w:val="21"/>
                <w:szCs w:val="21"/>
              </w:rPr>
              <w:t>□</w:t>
            </w:r>
          </w:p>
          <w:p>
            <w:pPr>
              <w:widowControl/>
              <w:adjustRightInd w:val="0"/>
              <w:snapToGrid w:val="0"/>
              <w:jc w:val="center"/>
              <w:rPr>
                <w:rFonts w:eastAsia="仿宋"/>
                <w:kern w:val="0"/>
                <w:sz w:val="21"/>
                <w:szCs w:val="21"/>
              </w:rPr>
            </w:pPr>
            <w:r>
              <w:rPr>
                <w:rFonts w:hint="eastAsia" w:eastAsia="仿宋"/>
                <w:kern w:val="0"/>
                <w:sz w:val="21"/>
                <w:szCs w:val="21"/>
              </w:rPr>
              <w:t>否</w:t>
            </w:r>
            <w:r>
              <w:rPr>
                <w:rFonts w:eastAsia="仿宋"/>
                <w:kern w:val="0"/>
                <w:sz w:val="21"/>
                <w:szCs w:val="21"/>
              </w:rPr>
              <w:t>□</w:t>
            </w:r>
          </w:p>
        </w:tc>
        <w:tc>
          <w:tcPr>
            <w:tcW w:w="1368" w:type="dxa"/>
            <w:gridSpan w:val="5"/>
            <w:vMerge w:val="restart"/>
            <w:vAlign w:val="center"/>
          </w:tcPr>
          <w:p>
            <w:pPr>
              <w:widowControl/>
              <w:adjustRightInd w:val="0"/>
              <w:snapToGrid w:val="0"/>
              <w:rPr>
                <w:rFonts w:eastAsia="仿宋"/>
                <w:kern w:val="0"/>
                <w:sz w:val="21"/>
                <w:szCs w:val="21"/>
              </w:rPr>
            </w:pPr>
            <w:r>
              <w:rPr>
                <w:rFonts w:hint="eastAsia" w:eastAsia="仿宋"/>
                <w:kern w:val="0"/>
                <w:sz w:val="21"/>
                <w:szCs w:val="21"/>
              </w:rPr>
              <w:t>是否设在建筑底层沿街（商业综合体除外）</w:t>
            </w:r>
          </w:p>
        </w:tc>
        <w:tc>
          <w:tcPr>
            <w:tcW w:w="1769" w:type="dxa"/>
            <w:gridSpan w:val="3"/>
            <w:vMerge w:val="restart"/>
            <w:vAlign w:val="center"/>
          </w:tcPr>
          <w:p>
            <w:pPr>
              <w:widowControl/>
              <w:adjustRightInd w:val="0"/>
              <w:snapToGrid w:val="0"/>
              <w:jc w:val="center"/>
              <w:rPr>
                <w:rFonts w:eastAsia="仿宋"/>
                <w:kern w:val="0"/>
                <w:sz w:val="21"/>
                <w:szCs w:val="21"/>
              </w:rPr>
            </w:pPr>
            <w:r>
              <w:rPr>
                <w:rFonts w:hint="eastAsia" w:eastAsia="仿宋"/>
                <w:kern w:val="0"/>
                <w:sz w:val="21"/>
                <w:szCs w:val="21"/>
              </w:rPr>
              <w:t>是</w:t>
            </w:r>
            <w:r>
              <w:rPr>
                <w:rFonts w:eastAsia="仿宋"/>
                <w:kern w:val="0"/>
                <w:sz w:val="21"/>
                <w:szCs w:val="21"/>
              </w:rPr>
              <w:t>□</w:t>
            </w:r>
          </w:p>
          <w:p>
            <w:pPr>
              <w:widowControl/>
              <w:adjustRightInd w:val="0"/>
              <w:snapToGrid w:val="0"/>
              <w:jc w:val="center"/>
              <w:rPr>
                <w:rFonts w:eastAsia="仿宋"/>
                <w:kern w:val="0"/>
                <w:sz w:val="21"/>
                <w:szCs w:val="21"/>
              </w:rPr>
            </w:pPr>
            <w:r>
              <w:rPr>
                <w:rFonts w:hint="eastAsia" w:eastAsia="仿宋"/>
                <w:kern w:val="0"/>
                <w:sz w:val="21"/>
                <w:szCs w:val="21"/>
              </w:rPr>
              <w:t>否</w:t>
            </w:r>
            <w:r>
              <w:rPr>
                <w:rFonts w:eastAsia="仿宋"/>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738" w:type="dxa"/>
            <w:vMerge w:val="continue"/>
            <w:vAlign w:val="center"/>
          </w:tcPr>
          <w:p>
            <w:pPr>
              <w:widowControl/>
              <w:jc w:val="left"/>
              <w:rPr>
                <w:rFonts w:eastAsia="仿宋"/>
                <w:kern w:val="0"/>
                <w:sz w:val="21"/>
                <w:szCs w:val="21"/>
              </w:rPr>
            </w:pPr>
          </w:p>
        </w:tc>
        <w:tc>
          <w:tcPr>
            <w:tcW w:w="3726" w:type="dxa"/>
            <w:gridSpan w:val="7"/>
            <w:vAlign w:val="center"/>
          </w:tcPr>
          <w:p>
            <w:pPr>
              <w:widowControl/>
              <w:adjustRightInd w:val="0"/>
              <w:snapToGrid w:val="0"/>
              <w:rPr>
                <w:rFonts w:eastAsia="仿宋"/>
                <w:kern w:val="0"/>
                <w:sz w:val="18"/>
                <w:szCs w:val="18"/>
              </w:rPr>
            </w:pPr>
            <w:r>
              <w:rPr>
                <w:rFonts w:hint="eastAsia" w:eastAsia="仿宋"/>
                <w:kern w:val="0"/>
                <w:sz w:val="21"/>
                <w:szCs w:val="21"/>
              </w:rPr>
              <w:t>使用局部</w:t>
            </w:r>
            <w:r>
              <w:rPr>
                <w:rFonts w:eastAsia="仿宋"/>
                <w:kern w:val="0"/>
                <w:sz w:val="21"/>
                <w:szCs w:val="21"/>
              </w:rPr>
              <w:t xml:space="preserve">     □</w:t>
            </w:r>
          </w:p>
        </w:tc>
        <w:tc>
          <w:tcPr>
            <w:tcW w:w="1252" w:type="dxa"/>
            <w:gridSpan w:val="3"/>
            <w:vMerge w:val="continue"/>
            <w:vAlign w:val="center"/>
          </w:tcPr>
          <w:p>
            <w:pPr>
              <w:widowControl/>
              <w:jc w:val="left"/>
              <w:rPr>
                <w:rFonts w:eastAsia="仿宋"/>
                <w:kern w:val="0"/>
                <w:sz w:val="21"/>
                <w:szCs w:val="21"/>
              </w:rPr>
            </w:pPr>
          </w:p>
        </w:tc>
        <w:tc>
          <w:tcPr>
            <w:tcW w:w="907" w:type="dxa"/>
            <w:gridSpan w:val="2"/>
            <w:vMerge w:val="continue"/>
            <w:vAlign w:val="center"/>
          </w:tcPr>
          <w:p>
            <w:pPr>
              <w:widowControl/>
              <w:jc w:val="left"/>
              <w:rPr>
                <w:rFonts w:eastAsia="仿宋"/>
                <w:kern w:val="0"/>
                <w:sz w:val="21"/>
                <w:szCs w:val="21"/>
              </w:rPr>
            </w:pPr>
          </w:p>
        </w:tc>
        <w:tc>
          <w:tcPr>
            <w:tcW w:w="1368" w:type="dxa"/>
            <w:gridSpan w:val="5"/>
            <w:vMerge w:val="continue"/>
            <w:vAlign w:val="center"/>
          </w:tcPr>
          <w:p>
            <w:pPr>
              <w:widowControl/>
              <w:jc w:val="left"/>
              <w:rPr>
                <w:rFonts w:eastAsia="仿宋"/>
                <w:kern w:val="0"/>
                <w:sz w:val="21"/>
                <w:szCs w:val="21"/>
              </w:rPr>
            </w:pPr>
          </w:p>
        </w:tc>
        <w:tc>
          <w:tcPr>
            <w:tcW w:w="1769" w:type="dxa"/>
            <w:gridSpan w:val="3"/>
            <w:vMerge w:val="continue"/>
            <w:vAlign w:val="center"/>
          </w:tcPr>
          <w:p>
            <w:pPr>
              <w:widowControl/>
              <w:jc w:val="left"/>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738" w:type="dxa"/>
            <w:vMerge w:val="continue"/>
            <w:vAlign w:val="center"/>
          </w:tcPr>
          <w:p>
            <w:pPr>
              <w:widowControl/>
              <w:jc w:val="left"/>
              <w:rPr>
                <w:rFonts w:eastAsia="仿宋"/>
                <w:kern w:val="0"/>
                <w:sz w:val="21"/>
                <w:szCs w:val="21"/>
              </w:rPr>
            </w:pPr>
          </w:p>
        </w:tc>
        <w:tc>
          <w:tcPr>
            <w:tcW w:w="1949" w:type="dxa"/>
            <w:gridSpan w:val="4"/>
            <w:vAlign w:val="center"/>
          </w:tcPr>
          <w:p>
            <w:pPr>
              <w:widowControl/>
              <w:adjustRightInd w:val="0"/>
              <w:snapToGrid w:val="0"/>
              <w:rPr>
                <w:rFonts w:eastAsia="仿宋"/>
                <w:kern w:val="0"/>
                <w:sz w:val="21"/>
                <w:szCs w:val="21"/>
              </w:rPr>
            </w:pPr>
            <w:r>
              <w:rPr>
                <w:rFonts w:hint="eastAsia" w:eastAsia="仿宋"/>
                <w:kern w:val="0"/>
                <w:sz w:val="21"/>
                <w:szCs w:val="21"/>
              </w:rPr>
              <w:t>涵盖多栋建筑</w:t>
            </w:r>
            <w:r>
              <w:rPr>
                <w:rFonts w:eastAsia="仿宋"/>
                <w:kern w:val="0"/>
                <w:sz w:val="21"/>
                <w:szCs w:val="21"/>
              </w:rPr>
              <w:t xml:space="preserve"> □</w:t>
            </w:r>
          </w:p>
        </w:tc>
        <w:tc>
          <w:tcPr>
            <w:tcW w:w="903" w:type="dxa"/>
            <w:vAlign w:val="center"/>
          </w:tcPr>
          <w:p>
            <w:pPr>
              <w:adjustRightInd w:val="0"/>
              <w:snapToGrid w:val="0"/>
              <w:jc w:val="center"/>
              <w:rPr>
                <w:rFonts w:eastAsia="仿宋"/>
                <w:kern w:val="0"/>
                <w:sz w:val="18"/>
                <w:szCs w:val="18"/>
              </w:rPr>
            </w:pPr>
            <w:r>
              <w:rPr>
                <w:rFonts w:hint="eastAsia" w:eastAsia="仿宋"/>
                <w:kern w:val="0"/>
                <w:sz w:val="18"/>
                <w:szCs w:val="18"/>
              </w:rPr>
              <w:t>建筑</w:t>
            </w:r>
          </w:p>
          <w:p>
            <w:pPr>
              <w:adjustRightInd w:val="0"/>
              <w:snapToGrid w:val="0"/>
              <w:jc w:val="center"/>
              <w:rPr>
                <w:rFonts w:eastAsia="仿宋"/>
                <w:kern w:val="0"/>
                <w:sz w:val="21"/>
                <w:szCs w:val="21"/>
              </w:rPr>
            </w:pPr>
            <w:r>
              <w:rPr>
                <w:rFonts w:hint="eastAsia" w:eastAsia="仿宋"/>
                <w:kern w:val="0"/>
                <w:sz w:val="18"/>
                <w:szCs w:val="18"/>
              </w:rPr>
              <w:t>数量</w:t>
            </w:r>
          </w:p>
        </w:tc>
        <w:tc>
          <w:tcPr>
            <w:tcW w:w="874" w:type="dxa"/>
            <w:gridSpan w:val="2"/>
            <w:vAlign w:val="center"/>
          </w:tcPr>
          <w:p>
            <w:pPr>
              <w:adjustRightInd w:val="0"/>
              <w:snapToGrid w:val="0"/>
              <w:rPr>
                <w:rFonts w:eastAsia="仿宋"/>
                <w:kern w:val="0"/>
                <w:sz w:val="18"/>
                <w:szCs w:val="18"/>
              </w:rPr>
            </w:pPr>
          </w:p>
        </w:tc>
        <w:tc>
          <w:tcPr>
            <w:tcW w:w="1252" w:type="dxa"/>
            <w:gridSpan w:val="3"/>
            <w:vMerge w:val="continue"/>
            <w:vAlign w:val="center"/>
          </w:tcPr>
          <w:p>
            <w:pPr>
              <w:widowControl/>
              <w:jc w:val="left"/>
              <w:rPr>
                <w:rFonts w:eastAsia="仿宋"/>
                <w:kern w:val="0"/>
                <w:sz w:val="21"/>
                <w:szCs w:val="21"/>
              </w:rPr>
            </w:pPr>
          </w:p>
        </w:tc>
        <w:tc>
          <w:tcPr>
            <w:tcW w:w="907" w:type="dxa"/>
            <w:gridSpan w:val="2"/>
            <w:vMerge w:val="continue"/>
            <w:vAlign w:val="center"/>
          </w:tcPr>
          <w:p>
            <w:pPr>
              <w:widowControl/>
              <w:jc w:val="left"/>
              <w:rPr>
                <w:rFonts w:eastAsia="仿宋"/>
                <w:kern w:val="0"/>
                <w:sz w:val="21"/>
                <w:szCs w:val="21"/>
              </w:rPr>
            </w:pPr>
          </w:p>
        </w:tc>
        <w:tc>
          <w:tcPr>
            <w:tcW w:w="1368" w:type="dxa"/>
            <w:gridSpan w:val="5"/>
            <w:vMerge w:val="continue"/>
            <w:vAlign w:val="center"/>
          </w:tcPr>
          <w:p>
            <w:pPr>
              <w:widowControl/>
              <w:jc w:val="left"/>
              <w:rPr>
                <w:rFonts w:eastAsia="仿宋"/>
                <w:kern w:val="0"/>
                <w:sz w:val="21"/>
                <w:szCs w:val="21"/>
              </w:rPr>
            </w:pPr>
          </w:p>
        </w:tc>
        <w:tc>
          <w:tcPr>
            <w:tcW w:w="1769" w:type="dxa"/>
            <w:gridSpan w:val="3"/>
            <w:vMerge w:val="continue"/>
            <w:vAlign w:val="center"/>
          </w:tcPr>
          <w:p>
            <w:pPr>
              <w:widowControl/>
              <w:jc w:val="left"/>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1738" w:type="dxa"/>
            <w:vAlign w:val="center"/>
          </w:tcPr>
          <w:p>
            <w:pPr>
              <w:widowControl/>
              <w:adjustRightInd w:val="0"/>
              <w:snapToGrid w:val="0"/>
              <w:jc w:val="center"/>
              <w:rPr>
                <w:rFonts w:eastAsia="仿宋"/>
                <w:kern w:val="0"/>
                <w:sz w:val="21"/>
                <w:szCs w:val="21"/>
              </w:rPr>
            </w:pPr>
            <w:r>
              <w:rPr>
                <w:rFonts w:hint="eastAsia" w:eastAsia="仿宋"/>
                <w:kern w:val="0"/>
                <w:sz w:val="21"/>
                <w:szCs w:val="21"/>
              </w:rPr>
              <w:t>单位（场所）</w:t>
            </w:r>
          </w:p>
          <w:p>
            <w:pPr>
              <w:widowControl/>
              <w:adjustRightInd w:val="0"/>
              <w:snapToGrid w:val="0"/>
              <w:jc w:val="center"/>
              <w:rPr>
                <w:rFonts w:eastAsia="仿宋"/>
                <w:kern w:val="0"/>
                <w:sz w:val="21"/>
                <w:szCs w:val="21"/>
              </w:rPr>
            </w:pPr>
            <w:r>
              <w:rPr>
                <w:rFonts w:hint="eastAsia" w:eastAsia="仿宋"/>
                <w:kern w:val="0"/>
                <w:sz w:val="21"/>
                <w:szCs w:val="21"/>
              </w:rPr>
              <w:t>面积（</w:t>
            </w:r>
            <w:r>
              <w:rPr>
                <w:rFonts w:eastAsia="仿宋"/>
                <w:kern w:val="0"/>
                <w:sz w:val="21"/>
                <w:szCs w:val="21"/>
              </w:rPr>
              <w:t>m</w:t>
            </w:r>
            <w:r>
              <w:rPr>
                <w:rFonts w:eastAsia="仿宋"/>
                <w:kern w:val="0"/>
                <w:sz w:val="21"/>
                <w:szCs w:val="21"/>
                <w:vertAlign w:val="superscript"/>
              </w:rPr>
              <w:t>2</w:t>
            </w:r>
            <w:r>
              <w:rPr>
                <w:rFonts w:hint="eastAsia" w:eastAsia="仿宋"/>
                <w:kern w:val="0"/>
                <w:sz w:val="21"/>
                <w:szCs w:val="21"/>
              </w:rPr>
              <w:t>）</w:t>
            </w:r>
          </w:p>
        </w:tc>
        <w:tc>
          <w:tcPr>
            <w:tcW w:w="1467" w:type="dxa"/>
            <w:gridSpan w:val="2"/>
            <w:vAlign w:val="center"/>
          </w:tcPr>
          <w:p>
            <w:pPr>
              <w:widowControl/>
              <w:adjustRightInd w:val="0"/>
              <w:snapToGrid w:val="0"/>
              <w:jc w:val="center"/>
              <w:rPr>
                <w:rFonts w:eastAsia="仿宋"/>
                <w:kern w:val="0"/>
                <w:sz w:val="21"/>
                <w:szCs w:val="21"/>
              </w:rPr>
            </w:pPr>
          </w:p>
        </w:tc>
        <w:tc>
          <w:tcPr>
            <w:tcW w:w="2259" w:type="dxa"/>
            <w:gridSpan w:val="5"/>
            <w:vAlign w:val="center"/>
          </w:tcPr>
          <w:p>
            <w:pPr>
              <w:widowControl/>
              <w:adjustRightInd w:val="0"/>
              <w:snapToGrid w:val="0"/>
              <w:jc w:val="center"/>
              <w:rPr>
                <w:rFonts w:eastAsia="仿宋"/>
                <w:kern w:val="0"/>
                <w:sz w:val="21"/>
                <w:szCs w:val="21"/>
              </w:rPr>
            </w:pPr>
            <w:r>
              <w:rPr>
                <w:rFonts w:hint="eastAsia" w:eastAsia="仿宋"/>
                <w:kern w:val="0"/>
                <w:sz w:val="21"/>
                <w:szCs w:val="21"/>
              </w:rPr>
              <w:t>所处建筑部位</w:t>
            </w:r>
          </w:p>
        </w:tc>
        <w:tc>
          <w:tcPr>
            <w:tcW w:w="1252" w:type="dxa"/>
            <w:gridSpan w:val="3"/>
            <w:vAlign w:val="center"/>
          </w:tcPr>
          <w:p>
            <w:pPr>
              <w:widowControl/>
              <w:adjustRightInd w:val="0"/>
              <w:snapToGrid w:val="0"/>
              <w:jc w:val="center"/>
              <w:rPr>
                <w:rFonts w:eastAsia="仿宋"/>
                <w:kern w:val="0"/>
                <w:sz w:val="21"/>
                <w:szCs w:val="21"/>
              </w:rPr>
            </w:pPr>
            <w:r>
              <w:rPr>
                <w:rFonts w:hint="eastAsia" w:eastAsia="仿宋"/>
                <w:kern w:val="0"/>
                <w:sz w:val="21"/>
                <w:szCs w:val="21"/>
              </w:rPr>
              <w:t>所在建筑物名称</w:t>
            </w:r>
          </w:p>
        </w:tc>
        <w:tc>
          <w:tcPr>
            <w:tcW w:w="1843" w:type="dxa"/>
            <w:gridSpan w:val="5"/>
            <w:vAlign w:val="center"/>
          </w:tcPr>
          <w:p>
            <w:pPr>
              <w:spacing w:line="280" w:lineRule="exact"/>
              <w:jc w:val="center"/>
              <w:rPr>
                <w:rFonts w:eastAsia="仿宋"/>
              </w:rPr>
            </w:pPr>
          </w:p>
        </w:tc>
        <w:tc>
          <w:tcPr>
            <w:tcW w:w="1069" w:type="dxa"/>
            <w:gridSpan w:val="3"/>
            <w:vAlign w:val="center"/>
          </w:tcPr>
          <w:p>
            <w:pPr>
              <w:spacing w:line="280" w:lineRule="exact"/>
              <w:jc w:val="center"/>
              <w:rPr>
                <w:rFonts w:eastAsia="仿宋"/>
              </w:rPr>
            </w:pPr>
            <w:r>
              <w:rPr>
                <w:rFonts w:hint="eastAsia" w:eastAsia="仿宋"/>
                <w:kern w:val="0"/>
                <w:sz w:val="21"/>
                <w:szCs w:val="21"/>
              </w:rPr>
              <w:t>建成年代</w:t>
            </w:r>
          </w:p>
        </w:tc>
        <w:tc>
          <w:tcPr>
            <w:tcW w:w="1132" w:type="dxa"/>
            <w:gridSpan w:val="2"/>
            <w:vAlign w:val="center"/>
          </w:tcPr>
          <w:p>
            <w:pPr>
              <w:spacing w:line="280" w:lineRule="exact"/>
              <w:jc w:val="center"/>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1738" w:type="dxa"/>
            <w:vMerge w:val="restart"/>
            <w:vAlign w:val="center"/>
          </w:tcPr>
          <w:p>
            <w:pPr>
              <w:widowControl/>
              <w:adjustRightInd w:val="0"/>
              <w:snapToGrid w:val="0"/>
              <w:jc w:val="center"/>
              <w:rPr>
                <w:rFonts w:eastAsia="仿宋"/>
                <w:kern w:val="0"/>
                <w:sz w:val="21"/>
                <w:szCs w:val="21"/>
              </w:rPr>
            </w:pPr>
            <w:r>
              <w:rPr>
                <w:rFonts w:hint="eastAsia" w:eastAsia="仿宋"/>
                <w:kern w:val="0"/>
                <w:sz w:val="21"/>
                <w:szCs w:val="21"/>
              </w:rPr>
              <w:t>建筑层数</w:t>
            </w:r>
          </w:p>
          <w:p>
            <w:pPr>
              <w:widowControl/>
              <w:adjustRightInd w:val="0"/>
              <w:snapToGrid w:val="0"/>
              <w:jc w:val="center"/>
              <w:rPr>
                <w:rFonts w:eastAsia="仿宋"/>
                <w:kern w:val="0"/>
                <w:sz w:val="21"/>
                <w:szCs w:val="21"/>
              </w:rPr>
            </w:pPr>
            <w:r>
              <w:rPr>
                <w:rFonts w:hint="eastAsia" w:eastAsia="仿宋"/>
                <w:kern w:val="0"/>
                <w:sz w:val="21"/>
                <w:szCs w:val="21"/>
              </w:rPr>
              <w:t>【建筑面积】</w:t>
            </w:r>
          </w:p>
        </w:tc>
        <w:tc>
          <w:tcPr>
            <w:tcW w:w="1467" w:type="dxa"/>
            <w:gridSpan w:val="2"/>
            <w:vAlign w:val="center"/>
          </w:tcPr>
          <w:p>
            <w:pPr>
              <w:widowControl/>
              <w:adjustRightInd w:val="0"/>
              <w:snapToGrid w:val="0"/>
              <w:jc w:val="center"/>
              <w:rPr>
                <w:rFonts w:eastAsia="仿宋"/>
                <w:kern w:val="0"/>
                <w:sz w:val="21"/>
                <w:szCs w:val="21"/>
              </w:rPr>
            </w:pPr>
            <w:r>
              <w:rPr>
                <w:rFonts w:hint="eastAsia" w:eastAsia="仿宋"/>
                <w:kern w:val="0"/>
                <w:sz w:val="21"/>
                <w:szCs w:val="21"/>
              </w:rPr>
              <w:t>地上</w:t>
            </w:r>
          </w:p>
        </w:tc>
        <w:tc>
          <w:tcPr>
            <w:tcW w:w="2259" w:type="dxa"/>
            <w:gridSpan w:val="5"/>
            <w:vAlign w:val="center"/>
          </w:tcPr>
          <w:p>
            <w:pPr>
              <w:widowControl/>
              <w:wordWrap w:val="0"/>
              <w:adjustRightInd w:val="0"/>
              <w:snapToGrid w:val="0"/>
              <w:jc w:val="center"/>
              <w:rPr>
                <w:rFonts w:eastAsia="仿宋"/>
                <w:kern w:val="0"/>
                <w:sz w:val="21"/>
                <w:szCs w:val="21"/>
              </w:rPr>
            </w:pPr>
            <w:r>
              <w:rPr>
                <w:rFonts w:eastAsia="仿宋"/>
                <w:kern w:val="0"/>
                <w:sz w:val="21"/>
                <w:szCs w:val="21"/>
              </w:rPr>
              <w:t xml:space="preserve">  </w:t>
            </w:r>
            <w:r>
              <w:rPr>
                <w:rFonts w:hint="eastAsia" w:eastAsia="仿宋"/>
                <w:kern w:val="0"/>
                <w:sz w:val="21"/>
                <w:szCs w:val="21"/>
              </w:rPr>
              <w:t>层</w:t>
            </w:r>
            <w:r>
              <w:rPr>
                <w:rFonts w:eastAsia="仿宋"/>
                <w:kern w:val="0"/>
                <w:sz w:val="21"/>
                <w:szCs w:val="21"/>
              </w:rPr>
              <w:t xml:space="preserve">        m</w:t>
            </w:r>
            <w:r>
              <w:rPr>
                <w:rFonts w:eastAsia="仿宋"/>
                <w:kern w:val="0"/>
                <w:sz w:val="21"/>
                <w:szCs w:val="21"/>
                <w:vertAlign w:val="superscript"/>
              </w:rPr>
              <w:t>2</w:t>
            </w:r>
          </w:p>
        </w:tc>
        <w:tc>
          <w:tcPr>
            <w:tcW w:w="1252" w:type="dxa"/>
            <w:gridSpan w:val="3"/>
            <w:vMerge w:val="restart"/>
            <w:vAlign w:val="center"/>
          </w:tcPr>
          <w:p>
            <w:pPr>
              <w:widowControl/>
              <w:adjustRightInd w:val="0"/>
              <w:snapToGrid w:val="0"/>
              <w:jc w:val="center"/>
              <w:rPr>
                <w:rFonts w:eastAsia="仿宋"/>
                <w:kern w:val="0"/>
                <w:sz w:val="21"/>
                <w:szCs w:val="21"/>
              </w:rPr>
            </w:pPr>
            <w:r>
              <w:rPr>
                <w:rFonts w:hint="eastAsia" w:eastAsia="仿宋"/>
                <w:kern w:val="0"/>
                <w:sz w:val="21"/>
                <w:szCs w:val="21"/>
              </w:rPr>
              <w:t>建筑高度</w:t>
            </w:r>
            <w:r>
              <w:rPr>
                <w:rFonts w:hint="eastAsia" w:eastAsia="仿宋"/>
                <w:kern w:val="0"/>
                <w:sz w:val="18"/>
                <w:szCs w:val="18"/>
              </w:rPr>
              <w:t>（</w:t>
            </w:r>
            <w:r>
              <w:rPr>
                <w:rFonts w:eastAsia="仿宋"/>
                <w:kern w:val="0"/>
                <w:sz w:val="18"/>
                <w:szCs w:val="18"/>
              </w:rPr>
              <w:t>m</w:t>
            </w:r>
            <w:r>
              <w:rPr>
                <w:rFonts w:hint="eastAsia" w:eastAsia="仿宋"/>
                <w:kern w:val="0"/>
                <w:sz w:val="18"/>
                <w:szCs w:val="18"/>
              </w:rPr>
              <w:t>）</w:t>
            </w:r>
          </w:p>
        </w:tc>
        <w:tc>
          <w:tcPr>
            <w:tcW w:w="4044" w:type="dxa"/>
            <w:gridSpan w:val="10"/>
            <w:vMerge w:val="restart"/>
            <w:vAlign w:val="center"/>
          </w:tcPr>
          <w:p>
            <w:pPr>
              <w:spacing w:line="280" w:lineRule="exact"/>
              <w:jc w:val="cente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738" w:type="dxa"/>
            <w:vMerge w:val="continue"/>
            <w:vAlign w:val="center"/>
          </w:tcPr>
          <w:p>
            <w:pPr>
              <w:widowControl/>
              <w:jc w:val="left"/>
              <w:rPr>
                <w:rFonts w:eastAsia="仿宋"/>
                <w:kern w:val="0"/>
                <w:sz w:val="21"/>
                <w:szCs w:val="21"/>
              </w:rPr>
            </w:pPr>
          </w:p>
        </w:tc>
        <w:tc>
          <w:tcPr>
            <w:tcW w:w="1467" w:type="dxa"/>
            <w:gridSpan w:val="2"/>
            <w:vAlign w:val="center"/>
          </w:tcPr>
          <w:p>
            <w:pPr>
              <w:widowControl/>
              <w:adjustRightInd w:val="0"/>
              <w:snapToGrid w:val="0"/>
              <w:jc w:val="center"/>
              <w:rPr>
                <w:rFonts w:eastAsia="仿宋"/>
                <w:kern w:val="0"/>
                <w:sz w:val="21"/>
                <w:szCs w:val="21"/>
              </w:rPr>
            </w:pPr>
            <w:r>
              <w:rPr>
                <w:rFonts w:hint="eastAsia" w:eastAsia="仿宋"/>
                <w:kern w:val="0"/>
                <w:sz w:val="21"/>
                <w:szCs w:val="21"/>
              </w:rPr>
              <w:t>地下</w:t>
            </w:r>
          </w:p>
        </w:tc>
        <w:tc>
          <w:tcPr>
            <w:tcW w:w="2259" w:type="dxa"/>
            <w:gridSpan w:val="5"/>
            <w:vAlign w:val="center"/>
          </w:tcPr>
          <w:p>
            <w:pPr>
              <w:widowControl/>
              <w:adjustRightInd w:val="0"/>
              <w:snapToGrid w:val="0"/>
              <w:ind w:firstLine="210" w:firstLineChars="100"/>
              <w:jc w:val="center"/>
              <w:rPr>
                <w:rFonts w:eastAsia="仿宋"/>
                <w:kern w:val="0"/>
                <w:sz w:val="21"/>
                <w:szCs w:val="21"/>
              </w:rPr>
            </w:pPr>
            <w:r>
              <w:rPr>
                <w:rFonts w:hint="eastAsia" w:eastAsia="仿宋"/>
                <w:kern w:val="0"/>
                <w:sz w:val="21"/>
                <w:szCs w:val="21"/>
              </w:rPr>
              <w:t>层</w:t>
            </w:r>
            <w:r>
              <w:rPr>
                <w:rFonts w:eastAsia="仿宋"/>
                <w:kern w:val="0"/>
                <w:sz w:val="21"/>
                <w:szCs w:val="21"/>
              </w:rPr>
              <w:t xml:space="preserve">        m</w:t>
            </w:r>
            <w:r>
              <w:rPr>
                <w:rFonts w:eastAsia="仿宋"/>
                <w:kern w:val="0"/>
                <w:sz w:val="21"/>
                <w:szCs w:val="21"/>
                <w:vertAlign w:val="superscript"/>
              </w:rPr>
              <w:t>2</w:t>
            </w:r>
          </w:p>
        </w:tc>
        <w:tc>
          <w:tcPr>
            <w:tcW w:w="1252" w:type="dxa"/>
            <w:gridSpan w:val="3"/>
            <w:vMerge w:val="continue"/>
            <w:vAlign w:val="center"/>
          </w:tcPr>
          <w:p>
            <w:pPr>
              <w:widowControl/>
              <w:jc w:val="left"/>
              <w:rPr>
                <w:rFonts w:eastAsia="仿宋"/>
                <w:kern w:val="0"/>
                <w:sz w:val="21"/>
                <w:szCs w:val="21"/>
              </w:rPr>
            </w:pPr>
          </w:p>
        </w:tc>
        <w:tc>
          <w:tcPr>
            <w:tcW w:w="4044" w:type="dxa"/>
            <w:gridSpan w:val="10"/>
            <w:vMerge w:val="continue"/>
            <w:vAlign w:val="center"/>
          </w:tcPr>
          <w:p>
            <w:pPr>
              <w:widowControl/>
              <w:jc w:val="lef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738" w:type="dxa"/>
            <w:vAlign w:val="center"/>
          </w:tcPr>
          <w:p>
            <w:pPr>
              <w:widowControl/>
              <w:adjustRightInd w:val="0"/>
              <w:snapToGrid w:val="0"/>
              <w:jc w:val="center"/>
              <w:rPr>
                <w:rFonts w:eastAsia="仿宋"/>
                <w:kern w:val="0"/>
                <w:sz w:val="21"/>
                <w:szCs w:val="21"/>
              </w:rPr>
            </w:pPr>
            <w:r>
              <w:rPr>
                <w:rFonts w:hint="eastAsia" w:eastAsia="仿宋"/>
                <w:kern w:val="0"/>
                <w:sz w:val="21"/>
                <w:szCs w:val="21"/>
              </w:rPr>
              <w:t>消防设施设置</w:t>
            </w:r>
          </w:p>
        </w:tc>
        <w:tc>
          <w:tcPr>
            <w:tcW w:w="9022" w:type="dxa"/>
            <w:gridSpan w:val="20"/>
            <w:vAlign w:val="center"/>
          </w:tcPr>
          <w:p>
            <w:pPr>
              <w:widowControl/>
              <w:adjustRightInd w:val="0"/>
              <w:snapToGrid w:val="0"/>
              <w:jc w:val="left"/>
              <w:rPr>
                <w:rFonts w:eastAsia="仿宋"/>
                <w:kern w:val="0"/>
                <w:sz w:val="21"/>
                <w:szCs w:val="21"/>
              </w:rPr>
            </w:pPr>
            <w:r>
              <w:rPr>
                <w:rFonts w:hint="eastAsia" w:eastAsia="仿宋"/>
                <w:kern w:val="0"/>
                <w:sz w:val="21"/>
                <w:szCs w:val="21"/>
              </w:rPr>
              <w:t>火灾自动报警系统</w:t>
            </w:r>
            <w:r>
              <w:rPr>
                <w:rFonts w:eastAsia="仿宋"/>
                <w:kern w:val="0"/>
                <w:sz w:val="21"/>
                <w:szCs w:val="21"/>
              </w:rPr>
              <w:t xml:space="preserve">□  </w:t>
            </w:r>
            <w:r>
              <w:rPr>
                <w:rFonts w:hint="eastAsia" w:eastAsia="仿宋"/>
                <w:kern w:val="0"/>
                <w:sz w:val="21"/>
                <w:szCs w:val="21"/>
              </w:rPr>
              <w:t>自动灭火系统</w:t>
            </w:r>
            <w:r>
              <w:rPr>
                <w:rFonts w:eastAsia="仿宋"/>
                <w:kern w:val="0"/>
                <w:sz w:val="21"/>
                <w:szCs w:val="21"/>
              </w:rPr>
              <w:t xml:space="preserve">□  </w:t>
            </w:r>
            <w:r>
              <w:rPr>
                <w:rFonts w:hint="eastAsia" w:eastAsia="仿宋"/>
                <w:kern w:val="0"/>
                <w:sz w:val="21"/>
                <w:szCs w:val="21"/>
              </w:rPr>
              <w:t>室内消火栓系统</w:t>
            </w:r>
            <w:r>
              <w:rPr>
                <w:rFonts w:eastAsia="仿宋"/>
                <w:kern w:val="0"/>
                <w:sz w:val="21"/>
                <w:szCs w:val="21"/>
              </w:rPr>
              <w:t xml:space="preserve">□  </w:t>
            </w:r>
            <w:r>
              <w:rPr>
                <w:rFonts w:hint="eastAsia" w:eastAsia="仿宋"/>
                <w:kern w:val="0"/>
                <w:sz w:val="21"/>
                <w:szCs w:val="21"/>
              </w:rPr>
              <w:t>防排烟系统</w:t>
            </w:r>
            <w:r>
              <w:rPr>
                <w:rFonts w:eastAsia="仿宋"/>
                <w:kern w:val="0"/>
                <w:sz w:val="21"/>
                <w:szCs w:val="21"/>
              </w:rPr>
              <w:t xml:space="preserve">□  </w:t>
            </w:r>
            <w:r>
              <w:rPr>
                <w:rFonts w:hint="eastAsia" w:eastAsia="仿宋"/>
                <w:kern w:val="0"/>
                <w:sz w:val="21"/>
                <w:szCs w:val="21"/>
              </w:rPr>
              <w:t>消防应急照明和疏散指示标志</w:t>
            </w:r>
            <w:r>
              <w:rPr>
                <w:rFonts w:eastAsia="仿宋"/>
                <w:kern w:val="0"/>
                <w:sz w:val="21"/>
                <w:szCs w:val="21"/>
              </w:rPr>
              <w:t xml:space="preserve">□  </w:t>
            </w:r>
            <w:r>
              <w:rPr>
                <w:rFonts w:hint="eastAsia" w:eastAsia="仿宋"/>
                <w:kern w:val="0"/>
                <w:sz w:val="21"/>
                <w:szCs w:val="21"/>
              </w:rPr>
              <w:t>独立式点型感烟探测器</w:t>
            </w:r>
            <w:r>
              <w:rPr>
                <w:rFonts w:eastAsia="仿宋"/>
                <w:kern w:val="0"/>
                <w:sz w:val="21"/>
                <w:szCs w:val="21"/>
              </w:rPr>
              <w:t xml:space="preserve">□  </w:t>
            </w:r>
            <w:r>
              <w:rPr>
                <w:rFonts w:hint="eastAsia" w:eastAsia="仿宋"/>
                <w:kern w:val="0"/>
                <w:sz w:val="21"/>
                <w:szCs w:val="21"/>
              </w:rPr>
              <w:t>简易喷水系统</w:t>
            </w:r>
            <w:r>
              <w:rPr>
                <w:rFonts w:eastAsia="仿宋"/>
                <w:kern w:val="0"/>
                <w:sz w:val="21"/>
                <w:szCs w:val="21"/>
              </w:rPr>
              <w:t xml:space="preserve">□ </w:t>
            </w:r>
            <w:r>
              <w:rPr>
                <w:rFonts w:hint="eastAsia" w:eastAsia="仿宋"/>
                <w:kern w:val="0"/>
                <w:sz w:val="21"/>
                <w:szCs w:val="21"/>
              </w:rPr>
              <w:t>消防软管卷盘或轻便消防水龙</w:t>
            </w:r>
            <w:r>
              <w:rPr>
                <w:rFonts w:eastAsia="仿宋"/>
                <w:kern w:val="0"/>
                <w:sz w:val="21"/>
                <w:szCs w:val="21"/>
              </w:rPr>
              <w:t>□</w:t>
            </w:r>
          </w:p>
          <w:p>
            <w:pPr>
              <w:widowControl/>
              <w:adjustRightInd w:val="0"/>
              <w:snapToGrid w:val="0"/>
              <w:jc w:val="left"/>
              <w:rPr>
                <w:rFonts w:eastAsia="仿宋"/>
                <w:kern w:val="0"/>
                <w:sz w:val="21"/>
                <w:szCs w:val="21"/>
              </w:rPr>
            </w:pPr>
            <w:r>
              <w:rPr>
                <w:rFonts w:hint="eastAsia" w:eastAsia="仿宋"/>
                <w:kern w:val="0"/>
                <w:sz w:val="21"/>
                <w:szCs w:val="21"/>
              </w:rPr>
              <w:t>其他</w:t>
            </w:r>
            <w:r>
              <w:rPr>
                <w:rFonts w:eastAsia="仿宋"/>
                <w:kern w:val="0"/>
                <w:sz w:val="21"/>
                <w:szCs w:val="21"/>
              </w:rPr>
              <w:t xml:space="preserve">□ </w:t>
            </w:r>
            <w:r>
              <w:rPr>
                <w:rFonts w:eastAsia="仿宋"/>
                <w:kern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738" w:type="dxa"/>
            <w:vAlign w:val="center"/>
          </w:tcPr>
          <w:p>
            <w:pPr>
              <w:widowControl/>
              <w:adjustRightInd w:val="0"/>
              <w:snapToGrid w:val="0"/>
              <w:jc w:val="left"/>
              <w:rPr>
                <w:rFonts w:eastAsia="仿宋"/>
                <w:kern w:val="0"/>
                <w:sz w:val="21"/>
                <w:szCs w:val="21"/>
              </w:rPr>
            </w:pPr>
            <w:r>
              <w:rPr>
                <w:rFonts w:hint="eastAsia" w:eastAsia="仿宋"/>
                <w:kern w:val="0"/>
                <w:sz w:val="21"/>
                <w:szCs w:val="21"/>
              </w:rPr>
              <w:t>消防控制室设置</w:t>
            </w:r>
          </w:p>
        </w:tc>
        <w:tc>
          <w:tcPr>
            <w:tcW w:w="1385" w:type="dxa"/>
            <w:vAlign w:val="center"/>
          </w:tcPr>
          <w:p>
            <w:pPr>
              <w:widowControl/>
              <w:adjustRightInd w:val="0"/>
              <w:snapToGrid w:val="0"/>
              <w:jc w:val="left"/>
              <w:rPr>
                <w:rFonts w:eastAsia="仿宋"/>
                <w:kern w:val="0"/>
                <w:sz w:val="21"/>
                <w:szCs w:val="21"/>
              </w:rPr>
            </w:pPr>
            <w:r>
              <w:rPr>
                <w:rFonts w:hint="eastAsia" w:eastAsia="仿宋"/>
                <w:kern w:val="0"/>
                <w:sz w:val="21"/>
                <w:szCs w:val="21"/>
              </w:rPr>
              <w:t>是否设有消防控制室</w:t>
            </w:r>
          </w:p>
        </w:tc>
        <w:tc>
          <w:tcPr>
            <w:tcW w:w="1467" w:type="dxa"/>
            <w:gridSpan w:val="4"/>
            <w:vAlign w:val="center"/>
          </w:tcPr>
          <w:p>
            <w:pPr>
              <w:widowControl/>
              <w:adjustRightInd w:val="0"/>
              <w:snapToGrid w:val="0"/>
              <w:jc w:val="center"/>
              <w:rPr>
                <w:rFonts w:eastAsia="仿宋"/>
                <w:kern w:val="0"/>
                <w:sz w:val="21"/>
                <w:szCs w:val="21"/>
              </w:rPr>
            </w:pPr>
            <w:r>
              <w:rPr>
                <w:rFonts w:hint="eastAsia" w:eastAsia="仿宋"/>
                <w:kern w:val="0"/>
                <w:sz w:val="21"/>
                <w:szCs w:val="21"/>
              </w:rPr>
              <w:t>是</w:t>
            </w:r>
            <w:r>
              <w:rPr>
                <w:rFonts w:eastAsia="仿宋"/>
                <w:kern w:val="0"/>
                <w:sz w:val="21"/>
                <w:szCs w:val="21"/>
              </w:rPr>
              <w:t>□</w:t>
            </w:r>
          </w:p>
          <w:p>
            <w:pPr>
              <w:widowControl/>
              <w:adjustRightInd w:val="0"/>
              <w:snapToGrid w:val="0"/>
              <w:jc w:val="center"/>
              <w:rPr>
                <w:rFonts w:eastAsia="仿宋"/>
                <w:kern w:val="0"/>
                <w:sz w:val="21"/>
                <w:szCs w:val="21"/>
              </w:rPr>
            </w:pPr>
            <w:r>
              <w:rPr>
                <w:rFonts w:hint="eastAsia" w:eastAsia="仿宋"/>
                <w:kern w:val="0"/>
                <w:sz w:val="21"/>
                <w:szCs w:val="21"/>
              </w:rPr>
              <w:t>否</w:t>
            </w:r>
            <w:r>
              <w:rPr>
                <w:rFonts w:eastAsia="仿宋"/>
                <w:kern w:val="0"/>
                <w:sz w:val="21"/>
                <w:szCs w:val="21"/>
              </w:rPr>
              <w:t>□</w:t>
            </w:r>
          </w:p>
        </w:tc>
        <w:tc>
          <w:tcPr>
            <w:tcW w:w="1830" w:type="dxa"/>
            <w:gridSpan w:val="4"/>
            <w:vAlign w:val="center"/>
          </w:tcPr>
          <w:p>
            <w:pPr>
              <w:widowControl/>
              <w:adjustRightInd w:val="0"/>
              <w:snapToGrid w:val="0"/>
              <w:jc w:val="left"/>
              <w:rPr>
                <w:rFonts w:eastAsia="仿宋"/>
                <w:kern w:val="0"/>
                <w:sz w:val="21"/>
                <w:szCs w:val="21"/>
              </w:rPr>
            </w:pPr>
            <w:r>
              <w:rPr>
                <w:rFonts w:hint="eastAsia" w:eastAsia="仿宋"/>
                <w:kern w:val="0"/>
                <w:sz w:val="21"/>
                <w:szCs w:val="21"/>
              </w:rPr>
              <w:t>是否为消防控制室主管单位</w:t>
            </w:r>
          </w:p>
        </w:tc>
        <w:tc>
          <w:tcPr>
            <w:tcW w:w="1153" w:type="dxa"/>
            <w:gridSpan w:val="2"/>
            <w:vAlign w:val="center"/>
          </w:tcPr>
          <w:p>
            <w:pPr>
              <w:widowControl/>
              <w:adjustRightInd w:val="0"/>
              <w:snapToGrid w:val="0"/>
              <w:jc w:val="center"/>
              <w:rPr>
                <w:rFonts w:eastAsia="仿宋"/>
                <w:kern w:val="0"/>
                <w:sz w:val="21"/>
                <w:szCs w:val="21"/>
              </w:rPr>
            </w:pPr>
            <w:r>
              <w:rPr>
                <w:rFonts w:hint="eastAsia" w:eastAsia="仿宋"/>
                <w:kern w:val="0"/>
                <w:sz w:val="21"/>
                <w:szCs w:val="21"/>
              </w:rPr>
              <w:t>是</w:t>
            </w:r>
            <w:r>
              <w:rPr>
                <w:rFonts w:eastAsia="仿宋"/>
                <w:kern w:val="0"/>
                <w:sz w:val="21"/>
                <w:szCs w:val="21"/>
              </w:rPr>
              <w:t>□</w:t>
            </w:r>
          </w:p>
          <w:p>
            <w:pPr>
              <w:widowControl/>
              <w:adjustRightInd w:val="0"/>
              <w:snapToGrid w:val="0"/>
              <w:jc w:val="center"/>
              <w:rPr>
                <w:rFonts w:eastAsia="仿宋"/>
                <w:kern w:val="0"/>
                <w:sz w:val="21"/>
                <w:szCs w:val="21"/>
              </w:rPr>
            </w:pPr>
            <w:r>
              <w:rPr>
                <w:rFonts w:hint="eastAsia" w:eastAsia="仿宋"/>
                <w:kern w:val="0"/>
                <w:sz w:val="21"/>
                <w:szCs w:val="21"/>
              </w:rPr>
              <w:t>否</w:t>
            </w:r>
            <w:r>
              <w:rPr>
                <w:rFonts w:eastAsia="仿宋"/>
                <w:kern w:val="0"/>
                <w:sz w:val="21"/>
                <w:szCs w:val="21"/>
              </w:rPr>
              <w:t>□</w:t>
            </w:r>
          </w:p>
        </w:tc>
        <w:tc>
          <w:tcPr>
            <w:tcW w:w="1352" w:type="dxa"/>
            <w:gridSpan w:val="5"/>
            <w:vAlign w:val="center"/>
          </w:tcPr>
          <w:p>
            <w:pPr>
              <w:widowControl/>
              <w:adjustRightInd w:val="0"/>
              <w:snapToGrid w:val="0"/>
              <w:jc w:val="center"/>
              <w:rPr>
                <w:rFonts w:eastAsia="仿宋"/>
                <w:kern w:val="0"/>
                <w:sz w:val="21"/>
                <w:szCs w:val="21"/>
              </w:rPr>
            </w:pPr>
            <w:r>
              <w:rPr>
                <w:rFonts w:hint="eastAsia" w:eastAsia="仿宋"/>
                <w:kern w:val="0"/>
                <w:sz w:val="21"/>
                <w:szCs w:val="21"/>
              </w:rPr>
              <w:t>独立</w:t>
            </w:r>
            <w:r>
              <w:rPr>
                <w:rFonts w:eastAsia="仿宋"/>
                <w:kern w:val="0"/>
                <w:sz w:val="21"/>
                <w:szCs w:val="21"/>
              </w:rPr>
              <w:t>□</w:t>
            </w:r>
          </w:p>
          <w:p>
            <w:pPr>
              <w:widowControl/>
              <w:adjustRightInd w:val="0"/>
              <w:snapToGrid w:val="0"/>
              <w:jc w:val="center"/>
              <w:rPr>
                <w:rFonts w:eastAsia="仿宋"/>
                <w:kern w:val="0"/>
                <w:sz w:val="21"/>
                <w:szCs w:val="21"/>
              </w:rPr>
            </w:pPr>
            <w:r>
              <w:rPr>
                <w:rFonts w:hint="eastAsia" w:eastAsia="仿宋"/>
                <w:kern w:val="0"/>
                <w:sz w:val="21"/>
                <w:szCs w:val="21"/>
              </w:rPr>
              <w:t>合用</w:t>
            </w:r>
            <w:r>
              <w:rPr>
                <w:rFonts w:eastAsia="仿宋"/>
                <w:kern w:val="0"/>
                <w:sz w:val="21"/>
                <w:szCs w:val="21"/>
              </w:rPr>
              <w:t>□</w:t>
            </w:r>
          </w:p>
        </w:tc>
        <w:tc>
          <w:tcPr>
            <w:tcW w:w="1055" w:type="dxa"/>
            <w:gridSpan w:val="3"/>
            <w:vAlign w:val="center"/>
          </w:tcPr>
          <w:p>
            <w:pPr>
              <w:widowControl/>
              <w:adjustRightInd w:val="0"/>
              <w:snapToGrid w:val="0"/>
              <w:jc w:val="left"/>
              <w:rPr>
                <w:rFonts w:eastAsia="仿宋"/>
                <w:kern w:val="0"/>
                <w:sz w:val="21"/>
                <w:szCs w:val="21"/>
              </w:rPr>
            </w:pPr>
            <w:r>
              <w:rPr>
                <w:rFonts w:hint="eastAsia" w:eastAsia="仿宋"/>
                <w:kern w:val="0"/>
                <w:sz w:val="21"/>
                <w:szCs w:val="21"/>
              </w:rPr>
              <w:t>消控室持证上岗人数</w:t>
            </w:r>
          </w:p>
        </w:tc>
        <w:tc>
          <w:tcPr>
            <w:tcW w:w="780" w:type="dxa"/>
            <w:vAlign w:val="center"/>
          </w:tcPr>
          <w:p>
            <w:pPr>
              <w:widowControl/>
              <w:adjustRightInd w:val="0"/>
              <w:snapToGrid w:val="0"/>
              <w:ind w:firstLine="420" w:firstLineChars="200"/>
              <w:jc w:val="left"/>
              <w:rPr>
                <w:rFonts w:eastAsia="仿宋"/>
                <w:kern w:val="0"/>
                <w:sz w:val="21"/>
                <w:szCs w:val="21"/>
              </w:rPr>
            </w:pPr>
            <w:r>
              <w:rPr>
                <w:rFonts w:hint="eastAsia" w:eastAsia="仿宋"/>
                <w:kern w:val="0"/>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738" w:type="dxa"/>
            <w:vAlign w:val="center"/>
          </w:tcPr>
          <w:p>
            <w:pPr>
              <w:widowControl/>
              <w:adjustRightInd w:val="0"/>
              <w:snapToGrid w:val="0"/>
              <w:jc w:val="center"/>
              <w:rPr>
                <w:rFonts w:eastAsia="仿宋"/>
                <w:kern w:val="0"/>
                <w:sz w:val="21"/>
                <w:szCs w:val="21"/>
              </w:rPr>
            </w:pPr>
            <w:r>
              <w:rPr>
                <w:rFonts w:hint="eastAsia" w:eastAsia="仿宋"/>
                <w:kern w:val="0"/>
                <w:sz w:val="21"/>
                <w:szCs w:val="21"/>
              </w:rPr>
              <w:t>微型消防站组建情况</w:t>
            </w:r>
          </w:p>
        </w:tc>
        <w:tc>
          <w:tcPr>
            <w:tcW w:w="1385" w:type="dxa"/>
            <w:vAlign w:val="center"/>
          </w:tcPr>
          <w:p>
            <w:pPr>
              <w:widowControl/>
              <w:adjustRightInd w:val="0"/>
              <w:snapToGrid w:val="0"/>
              <w:jc w:val="left"/>
              <w:rPr>
                <w:rFonts w:eastAsia="仿宋"/>
                <w:kern w:val="0"/>
                <w:sz w:val="21"/>
                <w:szCs w:val="21"/>
              </w:rPr>
            </w:pPr>
            <w:r>
              <w:rPr>
                <w:rFonts w:hint="eastAsia" w:eastAsia="仿宋"/>
                <w:kern w:val="0"/>
                <w:sz w:val="21"/>
                <w:szCs w:val="21"/>
              </w:rPr>
              <w:t>是否组建微型消防站</w:t>
            </w:r>
          </w:p>
        </w:tc>
        <w:tc>
          <w:tcPr>
            <w:tcW w:w="1467" w:type="dxa"/>
            <w:gridSpan w:val="4"/>
            <w:vAlign w:val="center"/>
          </w:tcPr>
          <w:p>
            <w:pPr>
              <w:widowControl/>
              <w:adjustRightInd w:val="0"/>
              <w:snapToGrid w:val="0"/>
              <w:jc w:val="center"/>
              <w:rPr>
                <w:rFonts w:eastAsia="仿宋"/>
                <w:kern w:val="0"/>
                <w:sz w:val="21"/>
                <w:szCs w:val="21"/>
              </w:rPr>
            </w:pPr>
            <w:r>
              <w:rPr>
                <w:rFonts w:hint="eastAsia" w:eastAsia="仿宋"/>
                <w:kern w:val="0"/>
                <w:sz w:val="21"/>
                <w:szCs w:val="21"/>
              </w:rPr>
              <w:t>是</w:t>
            </w:r>
            <w:r>
              <w:rPr>
                <w:rFonts w:eastAsia="仿宋"/>
                <w:kern w:val="0"/>
                <w:sz w:val="21"/>
                <w:szCs w:val="21"/>
              </w:rPr>
              <w:t>□</w:t>
            </w:r>
          </w:p>
          <w:p>
            <w:pPr>
              <w:widowControl/>
              <w:adjustRightInd w:val="0"/>
              <w:snapToGrid w:val="0"/>
              <w:jc w:val="center"/>
              <w:rPr>
                <w:rFonts w:eastAsia="仿宋"/>
                <w:kern w:val="0"/>
                <w:sz w:val="21"/>
                <w:szCs w:val="21"/>
              </w:rPr>
            </w:pPr>
            <w:r>
              <w:rPr>
                <w:rFonts w:hint="eastAsia" w:eastAsia="仿宋"/>
                <w:kern w:val="0"/>
                <w:sz w:val="21"/>
                <w:szCs w:val="21"/>
              </w:rPr>
              <w:t>否</w:t>
            </w:r>
            <w:r>
              <w:rPr>
                <w:rFonts w:eastAsia="仿宋"/>
                <w:kern w:val="0"/>
                <w:sz w:val="21"/>
                <w:szCs w:val="21"/>
              </w:rPr>
              <w:t>□</w:t>
            </w:r>
          </w:p>
        </w:tc>
        <w:tc>
          <w:tcPr>
            <w:tcW w:w="1830" w:type="dxa"/>
            <w:gridSpan w:val="4"/>
            <w:vAlign w:val="center"/>
          </w:tcPr>
          <w:p>
            <w:pPr>
              <w:widowControl/>
              <w:adjustRightInd w:val="0"/>
              <w:snapToGrid w:val="0"/>
              <w:jc w:val="left"/>
              <w:rPr>
                <w:rFonts w:eastAsia="仿宋"/>
                <w:kern w:val="0"/>
                <w:sz w:val="21"/>
                <w:szCs w:val="21"/>
              </w:rPr>
            </w:pPr>
            <w:r>
              <w:rPr>
                <w:rFonts w:hint="eastAsia" w:eastAsia="仿宋"/>
                <w:kern w:val="0"/>
                <w:sz w:val="21"/>
                <w:szCs w:val="21"/>
              </w:rPr>
              <w:t>微型消防站人数</w:t>
            </w:r>
          </w:p>
        </w:tc>
        <w:tc>
          <w:tcPr>
            <w:tcW w:w="4340" w:type="dxa"/>
            <w:gridSpan w:val="11"/>
            <w:vAlign w:val="center"/>
          </w:tcPr>
          <w:p>
            <w:pPr>
              <w:widowControl/>
              <w:adjustRightInd w:val="0"/>
              <w:snapToGrid w:val="0"/>
              <w:jc w:val="left"/>
              <w:rPr>
                <w:rFonts w:eastAsia="仿宋"/>
                <w:kern w:val="0"/>
                <w:sz w:val="21"/>
                <w:szCs w:val="21"/>
              </w:rPr>
            </w:pPr>
            <w:r>
              <w:rPr>
                <w:rFonts w:eastAsia="仿宋"/>
                <w:kern w:val="0"/>
                <w:sz w:val="21"/>
                <w:szCs w:val="21"/>
              </w:rPr>
              <w:t xml:space="preserve">         </w:t>
            </w:r>
            <w:r>
              <w:rPr>
                <w:rFonts w:hint="eastAsia" w:eastAsia="仿宋"/>
                <w:kern w:val="0"/>
                <w:sz w:val="21"/>
                <w:szCs w:val="21"/>
              </w:rPr>
              <w:t>人</w:t>
            </w:r>
            <w:r>
              <w:rPr>
                <w:rFonts w:eastAsia="仿宋"/>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738" w:type="dxa"/>
            <w:vAlign w:val="center"/>
          </w:tcPr>
          <w:p>
            <w:pPr>
              <w:widowControl/>
              <w:adjustRightInd w:val="0"/>
              <w:snapToGrid w:val="0"/>
              <w:jc w:val="center"/>
              <w:rPr>
                <w:rFonts w:eastAsia="仿宋"/>
                <w:kern w:val="0"/>
                <w:sz w:val="21"/>
                <w:szCs w:val="21"/>
              </w:rPr>
            </w:pPr>
            <w:r>
              <w:rPr>
                <w:rFonts w:hint="eastAsia" w:eastAsia="仿宋"/>
                <w:kern w:val="0"/>
                <w:sz w:val="21"/>
                <w:szCs w:val="21"/>
              </w:rPr>
              <w:t>突出风险问题</w:t>
            </w:r>
          </w:p>
        </w:tc>
        <w:tc>
          <w:tcPr>
            <w:tcW w:w="6066" w:type="dxa"/>
            <w:gridSpan w:val="13"/>
            <w:vAlign w:val="center"/>
          </w:tcPr>
          <w:p>
            <w:pPr>
              <w:widowControl/>
              <w:adjustRightInd w:val="0"/>
              <w:snapToGrid w:val="0"/>
              <w:jc w:val="center"/>
              <w:rPr>
                <w:rFonts w:eastAsia="仿宋"/>
                <w:kern w:val="0"/>
                <w:sz w:val="21"/>
                <w:szCs w:val="21"/>
              </w:rPr>
            </w:pPr>
            <w:r>
              <w:rPr>
                <w:rFonts w:hint="eastAsia" w:eastAsia="仿宋"/>
                <w:kern w:val="0"/>
                <w:sz w:val="21"/>
                <w:szCs w:val="21"/>
              </w:rPr>
              <w:t>突出风险问题细项表现</w:t>
            </w:r>
          </w:p>
        </w:tc>
        <w:tc>
          <w:tcPr>
            <w:tcW w:w="2956" w:type="dxa"/>
            <w:gridSpan w:val="7"/>
            <w:vAlign w:val="center"/>
          </w:tcPr>
          <w:p>
            <w:pPr>
              <w:widowControl/>
              <w:adjustRightInd w:val="0"/>
              <w:snapToGrid w:val="0"/>
              <w:jc w:val="center"/>
              <w:rPr>
                <w:rFonts w:eastAsia="仿宋"/>
                <w:kern w:val="0"/>
                <w:sz w:val="21"/>
                <w:szCs w:val="21"/>
              </w:rPr>
            </w:pPr>
            <w:r>
              <w:rPr>
                <w:rFonts w:hint="eastAsia" w:eastAsia="仿宋"/>
                <w:kern w:val="0"/>
                <w:sz w:val="21"/>
                <w:szCs w:val="21"/>
              </w:rPr>
              <w:t>存在风险问题及整改措施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38" w:type="dxa"/>
            <w:vMerge w:val="restart"/>
            <w:vAlign w:val="center"/>
          </w:tcPr>
          <w:p>
            <w:pPr>
              <w:widowControl/>
              <w:adjustRightInd w:val="0"/>
              <w:snapToGrid w:val="0"/>
              <w:spacing w:line="240" w:lineRule="exact"/>
              <w:rPr>
                <w:rFonts w:eastAsia="仿宋"/>
                <w:kern w:val="0"/>
                <w:sz w:val="21"/>
                <w:szCs w:val="21"/>
              </w:rPr>
            </w:pPr>
            <w:r>
              <w:rPr>
                <w:rFonts w:hint="eastAsia" w:eastAsia="仿宋"/>
                <w:kern w:val="0"/>
                <w:sz w:val="21"/>
                <w:szCs w:val="21"/>
              </w:rPr>
              <w:t>违规使用易燃可燃材料装修装饰</w:t>
            </w: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1.</w:t>
            </w:r>
            <w:r>
              <w:rPr>
                <w:rFonts w:hint="eastAsia" w:eastAsia="仿宋"/>
                <w:kern w:val="0"/>
                <w:sz w:val="21"/>
                <w:szCs w:val="21"/>
              </w:rPr>
              <w:t>人员密集场所使用聚氨酯泡沫、聚苯乙烯等易燃可燃材料装修或者作隔热保温层。</w:t>
            </w:r>
          </w:p>
        </w:tc>
        <w:tc>
          <w:tcPr>
            <w:tcW w:w="2956" w:type="dxa"/>
            <w:gridSpan w:val="7"/>
            <w:vAlign w:val="center"/>
          </w:tcPr>
          <w:p>
            <w:pPr>
              <w:widowControl/>
              <w:adjustRightInd w:val="0"/>
              <w:snapToGrid w:val="0"/>
              <w:spacing w:line="240" w:lineRule="exact"/>
              <w:jc w:val="center"/>
              <w:rPr>
                <w:rFonts w:eastAsia="仿宋"/>
                <w:kern w:val="0"/>
                <w:sz w:val="18"/>
                <w:szCs w:val="18"/>
              </w:rPr>
            </w:pPr>
          </w:p>
          <w:p>
            <w:pPr>
              <w:widowControl/>
              <w:adjustRightInd w:val="0"/>
              <w:snapToGrid w:val="0"/>
              <w:spacing w:line="240" w:lineRule="exact"/>
              <w:jc w:val="center"/>
              <w:rPr>
                <w:rFonts w:eastAsia="仿宋"/>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2.</w:t>
            </w:r>
            <w:r>
              <w:rPr>
                <w:rFonts w:hint="eastAsia" w:eastAsia="仿宋"/>
                <w:kern w:val="0"/>
                <w:sz w:val="21"/>
                <w:szCs w:val="21"/>
              </w:rPr>
              <w:t>员工宿舍采用易燃可燃材料为芯材的彩钢板搭建。</w:t>
            </w:r>
          </w:p>
        </w:tc>
        <w:tc>
          <w:tcPr>
            <w:tcW w:w="2956" w:type="dxa"/>
            <w:gridSpan w:val="7"/>
            <w:vAlign w:val="center"/>
          </w:tcPr>
          <w:p>
            <w:pPr>
              <w:widowControl/>
              <w:adjustRightInd w:val="0"/>
              <w:snapToGrid w:val="0"/>
              <w:spacing w:line="240" w:lineRule="exact"/>
              <w:jc w:val="center"/>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3.</w:t>
            </w:r>
            <w:r>
              <w:rPr>
                <w:rFonts w:hint="eastAsia" w:eastAsia="仿宋"/>
                <w:kern w:val="0"/>
                <w:sz w:val="21"/>
                <w:szCs w:val="21"/>
              </w:rPr>
              <w:t>公共娱乐场所、商场市场等使用大量易燃可燃材料装饰。</w:t>
            </w:r>
          </w:p>
        </w:tc>
        <w:tc>
          <w:tcPr>
            <w:tcW w:w="2956" w:type="dxa"/>
            <w:gridSpan w:val="7"/>
            <w:vAlign w:val="center"/>
          </w:tcPr>
          <w:p>
            <w:pPr>
              <w:widowControl/>
              <w:adjustRightInd w:val="0"/>
              <w:snapToGrid w:val="0"/>
              <w:spacing w:line="240" w:lineRule="exact"/>
              <w:jc w:val="center"/>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738" w:type="dxa"/>
            <w:vMerge w:val="restart"/>
            <w:vAlign w:val="center"/>
          </w:tcPr>
          <w:p>
            <w:pPr>
              <w:widowControl/>
              <w:adjustRightInd w:val="0"/>
              <w:snapToGrid w:val="0"/>
              <w:spacing w:line="240" w:lineRule="exact"/>
              <w:rPr>
                <w:rFonts w:eastAsia="仿宋"/>
                <w:kern w:val="0"/>
                <w:sz w:val="21"/>
                <w:szCs w:val="21"/>
              </w:rPr>
            </w:pPr>
            <w:r>
              <w:rPr>
                <w:rFonts w:hint="eastAsia" w:eastAsia="仿宋"/>
                <w:kern w:val="0"/>
                <w:sz w:val="21"/>
                <w:szCs w:val="21"/>
              </w:rPr>
              <w:t>防火分隔不到位</w:t>
            </w: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4.</w:t>
            </w:r>
            <w:r>
              <w:rPr>
                <w:rFonts w:hint="eastAsia" w:eastAsia="仿宋"/>
                <w:kern w:val="0"/>
                <w:sz w:val="21"/>
                <w:szCs w:val="21"/>
              </w:rPr>
              <w:t>建筑地下与地上部分、住宅与非住宅部分未按规范进行防火分隔。</w:t>
            </w:r>
          </w:p>
        </w:tc>
        <w:tc>
          <w:tcPr>
            <w:tcW w:w="2956" w:type="dxa"/>
            <w:gridSpan w:val="7"/>
            <w:vAlign w:val="center"/>
          </w:tcPr>
          <w:p>
            <w:pPr>
              <w:widowControl/>
              <w:adjustRightInd w:val="0"/>
              <w:snapToGrid w:val="0"/>
              <w:spacing w:line="240" w:lineRule="exact"/>
              <w:jc w:val="center"/>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5.</w:t>
            </w:r>
            <w:r>
              <w:rPr>
                <w:rFonts w:hint="eastAsia" w:eastAsia="仿宋"/>
                <w:kern w:val="0"/>
                <w:sz w:val="21"/>
                <w:szCs w:val="21"/>
              </w:rPr>
              <w:t>防火隔墙、防火卷帘、防火门等防火分隔设施缺失或者损坏。</w:t>
            </w:r>
          </w:p>
        </w:tc>
        <w:tc>
          <w:tcPr>
            <w:tcW w:w="2956" w:type="dxa"/>
            <w:gridSpan w:val="7"/>
            <w:vAlign w:val="center"/>
          </w:tcPr>
          <w:p>
            <w:pPr>
              <w:widowControl/>
              <w:adjustRightInd w:val="0"/>
              <w:snapToGrid w:val="0"/>
              <w:spacing w:line="240" w:lineRule="exact"/>
              <w:jc w:val="center"/>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6.</w:t>
            </w:r>
            <w:r>
              <w:rPr>
                <w:rFonts w:hint="eastAsia" w:eastAsia="仿宋"/>
                <w:kern w:val="0"/>
                <w:sz w:val="21"/>
                <w:szCs w:val="21"/>
              </w:rPr>
              <w:t>门窗孔洞、竖向管道井每层楼板处封堵不严密。</w:t>
            </w:r>
          </w:p>
        </w:tc>
        <w:tc>
          <w:tcPr>
            <w:tcW w:w="2956" w:type="dxa"/>
            <w:gridSpan w:val="7"/>
            <w:vAlign w:val="center"/>
          </w:tcPr>
          <w:p>
            <w:pPr>
              <w:widowControl/>
              <w:adjustRightInd w:val="0"/>
              <w:snapToGrid w:val="0"/>
              <w:spacing w:line="240" w:lineRule="exact"/>
              <w:jc w:val="center"/>
              <w:rPr>
                <w:rFonts w:eastAsia="仿宋"/>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7.</w:t>
            </w:r>
            <w:r>
              <w:rPr>
                <w:rFonts w:hint="eastAsia" w:eastAsia="仿宋"/>
                <w:kern w:val="0"/>
                <w:sz w:val="21"/>
                <w:szCs w:val="21"/>
              </w:rPr>
              <w:t>楼梯间、前室常闭式防火门敞开。</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738" w:type="dxa"/>
            <w:vMerge w:val="restart"/>
            <w:vAlign w:val="center"/>
          </w:tcPr>
          <w:p>
            <w:pPr>
              <w:widowControl/>
              <w:adjustRightInd w:val="0"/>
              <w:snapToGrid w:val="0"/>
              <w:spacing w:line="240" w:lineRule="exact"/>
              <w:jc w:val="center"/>
              <w:rPr>
                <w:rFonts w:eastAsia="仿宋"/>
                <w:kern w:val="0"/>
                <w:sz w:val="21"/>
                <w:szCs w:val="21"/>
              </w:rPr>
            </w:pPr>
            <w:r>
              <w:rPr>
                <w:rFonts w:hint="eastAsia" w:eastAsia="仿宋"/>
                <w:kern w:val="0"/>
                <w:sz w:val="21"/>
                <w:szCs w:val="21"/>
              </w:rPr>
              <w:t>疏散通道不畅通</w:t>
            </w: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8.</w:t>
            </w:r>
            <w:r>
              <w:rPr>
                <w:rFonts w:hint="eastAsia" w:eastAsia="仿宋"/>
                <w:kern w:val="0"/>
                <w:sz w:val="21"/>
                <w:szCs w:val="21"/>
              </w:rPr>
              <w:t>疏散通道、安全出口数量不足或者被封闭、堵塞、占用。</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9.</w:t>
            </w:r>
            <w:r>
              <w:rPr>
                <w:rFonts w:hint="eastAsia" w:eastAsia="仿宋"/>
                <w:kern w:val="0"/>
                <w:sz w:val="21"/>
                <w:szCs w:val="21"/>
              </w:rPr>
              <w:t>人员密集场所在门窗上设置广告牌等影响逃生和灭火救援的障碍物。</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1738" w:type="dxa"/>
            <w:vMerge w:val="restart"/>
            <w:vAlign w:val="center"/>
          </w:tcPr>
          <w:p>
            <w:pPr>
              <w:widowControl/>
              <w:adjustRightInd w:val="0"/>
              <w:snapToGrid w:val="0"/>
              <w:spacing w:line="240" w:lineRule="exact"/>
              <w:jc w:val="center"/>
              <w:rPr>
                <w:rFonts w:eastAsia="仿宋"/>
                <w:kern w:val="0"/>
                <w:sz w:val="21"/>
                <w:szCs w:val="21"/>
              </w:rPr>
            </w:pPr>
            <w:r>
              <w:rPr>
                <w:rFonts w:hint="eastAsia" w:eastAsia="仿宋"/>
                <w:kern w:val="0"/>
                <w:sz w:val="21"/>
                <w:szCs w:val="21"/>
              </w:rPr>
              <w:t>违规存放</w:t>
            </w:r>
          </w:p>
          <w:p>
            <w:pPr>
              <w:widowControl/>
              <w:adjustRightInd w:val="0"/>
              <w:snapToGrid w:val="0"/>
              <w:spacing w:line="240" w:lineRule="exact"/>
              <w:jc w:val="center"/>
              <w:rPr>
                <w:rFonts w:eastAsia="仿宋"/>
                <w:kern w:val="0"/>
                <w:sz w:val="21"/>
                <w:szCs w:val="21"/>
              </w:rPr>
            </w:pPr>
            <w:r>
              <w:rPr>
                <w:rFonts w:hint="eastAsia" w:eastAsia="仿宋"/>
                <w:kern w:val="0"/>
                <w:sz w:val="21"/>
                <w:szCs w:val="21"/>
              </w:rPr>
              <w:t>易燃易爆危险品</w:t>
            </w: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10.</w:t>
            </w:r>
            <w:r>
              <w:rPr>
                <w:rFonts w:hint="eastAsia" w:eastAsia="仿宋"/>
                <w:kern w:val="0"/>
                <w:sz w:val="21"/>
                <w:szCs w:val="21"/>
              </w:rPr>
              <w:t>人员密集场所违规使用、储存易燃易爆危险品。</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11.</w:t>
            </w:r>
            <w:r>
              <w:rPr>
                <w:rFonts w:hint="eastAsia" w:eastAsia="仿宋"/>
                <w:kern w:val="0"/>
                <w:sz w:val="21"/>
                <w:szCs w:val="21"/>
              </w:rPr>
              <w:t>群租房、商场市场、施工工地等场所违规堆放易燃可燃物品。</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12.</w:t>
            </w:r>
            <w:r>
              <w:rPr>
                <w:rFonts w:hint="eastAsia" w:eastAsia="仿宋"/>
                <w:kern w:val="0"/>
                <w:sz w:val="21"/>
                <w:szCs w:val="21"/>
              </w:rPr>
              <w:t>劳动密集型企业生产车间等场所超量存放易燃易爆原材料或者半成品。</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738" w:type="dxa"/>
            <w:vMerge w:val="restart"/>
            <w:vAlign w:val="center"/>
          </w:tcPr>
          <w:p>
            <w:pPr>
              <w:widowControl/>
              <w:adjustRightInd w:val="0"/>
              <w:snapToGrid w:val="0"/>
              <w:spacing w:line="240" w:lineRule="exact"/>
              <w:jc w:val="center"/>
              <w:rPr>
                <w:rFonts w:eastAsia="仿宋"/>
                <w:kern w:val="0"/>
                <w:sz w:val="21"/>
                <w:szCs w:val="21"/>
              </w:rPr>
            </w:pPr>
            <w:r>
              <w:rPr>
                <w:rFonts w:hint="eastAsia" w:eastAsia="仿宋"/>
                <w:kern w:val="0"/>
                <w:sz w:val="21"/>
                <w:szCs w:val="21"/>
              </w:rPr>
              <w:t>消防设施损坏</w:t>
            </w:r>
          </w:p>
          <w:p>
            <w:pPr>
              <w:widowControl/>
              <w:adjustRightInd w:val="0"/>
              <w:snapToGrid w:val="0"/>
              <w:spacing w:line="240" w:lineRule="exact"/>
              <w:jc w:val="center"/>
              <w:rPr>
                <w:rFonts w:eastAsia="仿宋"/>
                <w:kern w:val="0"/>
                <w:sz w:val="21"/>
                <w:szCs w:val="21"/>
              </w:rPr>
            </w:pPr>
            <w:r>
              <w:rPr>
                <w:rFonts w:hint="eastAsia" w:eastAsia="仿宋"/>
                <w:kern w:val="0"/>
                <w:sz w:val="21"/>
                <w:szCs w:val="21"/>
              </w:rPr>
              <w:t>停用</w:t>
            </w: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13.</w:t>
            </w:r>
            <w:r>
              <w:rPr>
                <w:rFonts w:hint="eastAsia" w:eastAsia="仿宋"/>
                <w:kern w:val="0"/>
                <w:sz w:val="21"/>
                <w:szCs w:val="21"/>
              </w:rPr>
              <w:t>火灾自动报警系统停用或者不能正常运行。</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14.</w:t>
            </w:r>
            <w:r>
              <w:rPr>
                <w:rFonts w:hint="eastAsia" w:eastAsia="仿宋"/>
                <w:kern w:val="0"/>
                <w:sz w:val="21"/>
                <w:szCs w:val="21"/>
              </w:rPr>
              <w:t>消防水泵控制柜处于手动控制状态。</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15.</w:t>
            </w:r>
            <w:r>
              <w:rPr>
                <w:rFonts w:hint="eastAsia" w:eastAsia="仿宋"/>
                <w:kern w:val="0"/>
                <w:sz w:val="21"/>
                <w:szCs w:val="21"/>
              </w:rPr>
              <w:t>自动喷水灭火系统、防火卷帘、机械防排烟等消防设施不能正常联动。</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16.</w:t>
            </w:r>
            <w:r>
              <w:rPr>
                <w:rFonts w:hint="eastAsia" w:eastAsia="仿宋"/>
                <w:kern w:val="0"/>
                <w:sz w:val="21"/>
                <w:szCs w:val="21"/>
              </w:rPr>
              <w:t>消火栓、自动喷水灭火系统不能正常供水。</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738" w:type="dxa"/>
            <w:vMerge w:val="restart"/>
            <w:vAlign w:val="center"/>
          </w:tcPr>
          <w:p>
            <w:pPr>
              <w:widowControl/>
              <w:adjustRightInd w:val="0"/>
              <w:snapToGrid w:val="0"/>
              <w:spacing w:line="240" w:lineRule="exact"/>
              <w:jc w:val="center"/>
              <w:rPr>
                <w:rFonts w:eastAsia="仿宋"/>
                <w:kern w:val="0"/>
                <w:sz w:val="21"/>
                <w:szCs w:val="21"/>
              </w:rPr>
            </w:pPr>
            <w:r>
              <w:rPr>
                <w:rFonts w:hint="eastAsia" w:eastAsia="仿宋"/>
                <w:kern w:val="0"/>
                <w:sz w:val="21"/>
                <w:szCs w:val="21"/>
              </w:rPr>
              <w:t>电动自行车违规停放充电</w:t>
            </w: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17.</w:t>
            </w:r>
            <w:r>
              <w:rPr>
                <w:rFonts w:hint="eastAsia" w:eastAsia="仿宋"/>
                <w:kern w:val="0"/>
                <w:sz w:val="21"/>
                <w:szCs w:val="21"/>
              </w:rPr>
              <w:t>停放在建筑门厅、楼梯间、共用走道以及地下室半地下室等室内公共区域。</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18.</w:t>
            </w:r>
            <w:r>
              <w:rPr>
                <w:rFonts w:hint="eastAsia" w:eastAsia="仿宋"/>
                <w:kern w:val="0"/>
                <w:sz w:val="21"/>
                <w:szCs w:val="21"/>
              </w:rPr>
              <w:t>停放位置与周围可燃物未落实防火措施。</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19.</w:t>
            </w:r>
            <w:r>
              <w:rPr>
                <w:rFonts w:hint="eastAsia" w:eastAsia="仿宋"/>
                <w:kern w:val="0"/>
                <w:sz w:val="21"/>
                <w:szCs w:val="21"/>
              </w:rPr>
              <w:t>采取</w:t>
            </w:r>
            <w:r>
              <w:rPr>
                <w:rFonts w:eastAsia="仿宋"/>
                <w:kern w:val="0"/>
                <w:sz w:val="21"/>
                <w:szCs w:val="21"/>
              </w:rPr>
              <w:t>“</w:t>
            </w:r>
            <w:r>
              <w:rPr>
                <w:rFonts w:hint="eastAsia" w:eastAsia="仿宋"/>
                <w:kern w:val="0"/>
                <w:sz w:val="21"/>
                <w:szCs w:val="21"/>
              </w:rPr>
              <w:t>飞线</w:t>
            </w:r>
            <w:r>
              <w:rPr>
                <w:rFonts w:eastAsia="仿宋"/>
                <w:kern w:val="0"/>
                <w:sz w:val="21"/>
                <w:szCs w:val="21"/>
              </w:rPr>
              <w:t>”</w:t>
            </w:r>
            <w:r>
              <w:rPr>
                <w:rFonts w:hint="eastAsia" w:eastAsia="仿宋"/>
                <w:kern w:val="0"/>
                <w:sz w:val="21"/>
                <w:szCs w:val="21"/>
              </w:rPr>
              <w:t>、入户等方式违规充电。</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738" w:type="dxa"/>
            <w:vMerge w:val="restart"/>
            <w:vAlign w:val="center"/>
          </w:tcPr>
          <w:p>
            <w:pPr>
              <w:widowControl/>
              <w:adjustRightInd w:val="0"/>
              <w:snapToGrid w:val="0"/>
              <w:spacing w:line="240" w:lineRule="exact"/>
              <w:jc w:val="center"/>
              <w:rPr>
                <w:rFonts w:eastAsia="仿宋"/>
                <w:kern w:val="0"/>
                <w:sz w:val="21"/>
                <w:szCs w:val="21"/>
              </w:rPr>
            </w:pPr>
            <w:r>
              <w:rPr>
                <w:rFonts w:hint="eastAsia" w:eastAsia="仿宋"/>
                <w:kern w:val="0"/>
                <w:sz w:val="21"/>
                <w:szCs w:val="21"/>
              </w:rPr>
              <w:t>电气火灾隐患</w:t>
            </w: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20.</w:t>
            </w:r>
            <w:r>
              <w:rPr>
                <w:rFonts w:hint="eastAsia" w:eastAsia="仿宋"/>
                <w:kern w:val="0"/>
                <w:sz w:val="21"/>
                <w:szCs w:val="21"/>
              </w:rPr>
              <w:t>使用无证或</w:t>
            </w:r>
            <w:r>
              <w:rPr>
                <w:rFonts w:eastAsia="仿宋"/>
                <w:kern w:val="0"/>
                <w:sz w:val="21"/>
                <w:szCs w:val="21"/>
              </w:rPr>
              <w:t>“</w:t>
            </w:r>
            <w:r>
              <w:rPr>
                <w:rFonts w:hint="eastAsia" w:eastAsia="仿宋"/>
                <w:kern w:val="0"/>
                <w:sz w:val="21"/>
                <w:szCs w:val="21"/>
              </w:rPr>
              <w:t>三无</w:t>
            </w:r>
            <w:r>
              <w:rPr>
                <w:rFonts w:eastAsia="仿宋"/>
                <w:kern w:val="0"/>
                <w:sz w:val="21"/>
                <w:szCs w:val="21"/>
              </w:rPr>
              <w:t>”</w:t>
            </w:r>
            <w:r>
              <w:rPr>
                <w:rFonts w:hint="eastAsia" w:eastAsia="仿宋"/>
                <w:kern w:val="0"/>
                <w:sz w:val="21"/>
                <w:szCs w:val="21"/>
              </w:rPr>
              <w:t>电线、电器产品。</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738" w:type="dxa"/>
            <w:vMerge w:val="continue"/>
            <w:vAlign w:val="center"/>
          </w:tcPr>
          <w:p>
            <w:pPr>
              <w:widowControl/>
              <w:adjustRightInd w:val="0"/>
              <w:snapToGrid w:val="0"/>
              <w:spacing w:line="240" w:lineRule="exact"/>
              <w:jc w:val="center"/>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21.</w:t>
            </w:r>
            <w:r>
              <w:rPr>
                <w:rFonts w:hint="eastAsia" w:eastAsia="仿宋"/>
                <w:kern w:val="0"/>
                <w:sz w:val="21"/>
                <w:szCs w:val="21"/>
              </w:rPr>
              <w:t>电气线路敷设不规范，未采取穿金属管、密封槽盒等防火保护措施</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738" w:type="dxa"/>
            <w:vMerge w:val="continue"/>
            <w:vAlign w:val="center"/>
          </w:tcPr>
          <w:p>
            <w:pPr>
              <w:widowControl/>
              <w:adjustRightInd w:val="0"/>
              <w:snapToGrid w:val="0"/>
              <w:spacing w:line="240" w:lineRule="exact"/>
              <w:jc w:val="center"/>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22.</w:t>
            </w:r>
            <w:r>
              <w:rPr>
                <w:rFonts w:hint="eastAsia" w:eastAsia="仿宋"/>
                <w:kern w:val="0"/>
                <w:sz w:val="21"/>
                <w:szCs w:val="21"/>
              </w:rPr>
              <w:t>电表箱、配电箱（柜）等电气设备未设短路、过负荷、漏电等保护装置</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738" w:type="dxa"/>
            <w:vMerge w:val="continue"/>
            <w:vAlign w:val="center"/>
          </w:tcPr>
          <w:p>
            <w:pPr>
              <w:widowControl/>
              <w:adjustRightInd w:val="0"/>
              <w:snapToGrid w:val="0"/>
              <w:spacing w:line="240" w:lineRule="exact"/>
              <w:jc w:val="center"/>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23.</w:t>
            </w:r>
            <w:r>
              <w:rPr>
                <w:rFonts w:hint="eastAsia" w:eastAsia="仿宋"/>
                <w:kern w:val="0"/>
                <w:sz w:val="21"/>
                <w:szCs w:val="21"/>
              </w:rPr>
              <w:t>私拉乱接电气线路，随意增加线路负荷。</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738" w:type="dxa"/>
            <w:vMerge w:val="continue"/>
            <w:vAlign w:val="center"/>
          </w:tcPr>
          <w:p>
            <w:pPr>
              <w:widowControl/>
              <w:adjustRightInd w:val="0"/>
              <w:snapToGrid w:val="0"/>
              <w:spacing w:line="240" w:lineRule="exact"/>
              <w:jc w:val="center"/>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24.</w:t>
            </w:r>
            <w:r>
              <w:rPr>
                <w:rFonts w:hint="eastAsia" w:eastAsia="仿宋"/>
                <w:kern w:val="0"/>
                <w:sz w:val="21"/>
                <w:szCs w:val="21"/>
              </w:rPr>
              <w:t>电气设备未与可燃物保持安全距离。</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738" w:type="dxa"/>
            <w:vMerge w:val="restart"/>
            <w:vAlign w:val="center"/>
          </w:tcPr>
          <w:p>
            <w:pPr>
              <w:widowControl/>
              <w:adjustRightInd w:val="0"/>
              <w:snapToGrid w:val="0"/>
              <w:spacing w:line="240" w:lineRule="exact"/>
              <w:jc w:val="center"/>
              <w:rPr>
                <w:rFonts w:eastAsia="仿宋"/>
                <w:kern w:val="0"/>
                <w:sz w:val="21"/>
                <w:szCs w:val="21"/>
              </w:rPr>
            </w:pPr>
            <w:r>
              <w:rPr>
                <w:rFonts w:hint="eastAsia" w:eastAsia="仿宋"/>
                <w:kern w:val="0"/>
                <w:sz w:val="21"/>
                <w:szCs w:val="21"/>
              </w:rPr>
              <w:t>重点岗位人员</w:t>
            </w:r>
          </w:p>
          <w:p>
            <w:pPr>
              <w:widowControl/>
              <w:adjustRightInd w:val="0"/>
              <w:snapToGrid w:val="0"/>
              <w:spacing w:line="240" w:lineRule="exact"/>
              <w:jc w:val="center"/>
              <w:rPr>
                <w:rFonts w:eastAsia="仿宋"/>
                <w:kern w:val="0"/>
                <w:sz w:val="21"/>
                <w:szCs w:val="21"/>
              </w:rPr>
            </w:pPr>
            <w:r>
              <w:rPr>
                <w:rFonts w:hint="eastAsia" w:eastAsia="仿宋"/>
                <w:kern w:val="0"/>
                <w:sz w:val="21"/>
                <w:szCs w:val="21"/>
              </w:rPr>
              <w:t>责任不落实</w:t>
            </w: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25.</w:t>
            </w:r>
            <w:r>
              <w:rPr>
                <w:rFonts w:hint="eastAsia" w:eastAsia="仿宋"/>
                <w:kern w:val="0"/>
                <w:sz w:val="21"/>
                <w:szCs w:val="21"/>
              </w:rPr>
              <w:t>单位未依法明确消防安全责任人、管理人及其职责。</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26.</w:t>
            </w:r>
            <w:r>
              <w:rPr>
                <w:rFonts w:hint="eastAsia" w:eastAsia="仿宋"/>
                <w:kern w:val="0"/>
                <w:sz w:val="21"/>
                <w:szCs w:val="21"/>
              </w:rPr>
              <w:t>消防控制室值班人员不会熟练操作设施设备。</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27.</w:t>
            </w:r>
            <w:r>
              <w:rPr>
                <w:rFonts w:hint="eastAsia" w:eastAsia="仿宋"/>
                <w:kern w:val="0"/>
                <w:sz w:val="21"/>
                <w:szCs w:val="21"/>
              </w:rPr>
              <w:t>微型消防站队员不能及时有效处置初起火灾。</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738" w:type="dxa"/>
            <w:vMerge w:val="restart"/>
            <w:vAlign w:val="center"/>
          </w:tcPr>
          <w:p>
            <w:pPr>
              <w:widowControl/>
              <w:adjustRightInd w:val="0"/>
              <w:snapToGrid w:val="0"/>
              <w:spacing w:line="240" w:lineRule="exact"/>
              <w:jc w:val="center"/>
              <w:rPr>
                <w:rFonts w:eastAsia="仿宋"/>
                <w:kern w:val="0"/>
                <w:sz w:val="21"/>
                <w:szCs w:val="21"/>
              </w:rPr>
            </w:pPr>
            <w:r>
              <w:rPr>
                <w:rFonts w:hint="eastAsia" w:eastAsia="仿宋"/>
                <w:kern w:val="0"/>
                <w:sz w:val="21"/>
                <w:szCs w:val="21"/>
              </w:rPr>
              <w:t>日常管理机制</w:t>
            </w:r>
          </w:p>
          <w:p>
            <w:pPr>
              <w:widowControl/>
              <w:adjustRightInd w:val="0"/>
              <w:snapToGrid w:val="0"/>
              <w:spacing w:line="240" w:lineRule="exact"/>
              <w:jc w:val="center"/>
              <w:rPr>
                <w:rFonts w:eastAsia="仿宋"/>
                <w:kern w:val="0"/>
                <w:sz w:val="21"/>
                <w:szCs w:val="21"/>
              </w:rPr>
            </w:pPr>
            <w:r>
              <w:rPr>
                <w:rFonts w:hint="eastAsia" w:eastAsia="仿宋"/>
                <w:kern w:val="0"/>
                <w:sz w:val="21"/>
                <w:szCs w:val="21"/>
              </w:rPr>
              <w:t>不健全</w:t>
            </w:r>
          </w:p>
        </w:tc>
        <w:tc>
          <w:tcPr>
            <w:tcW w:w="6066" w:type="dxa"/>
            <w:gridSpan w:val="13"/>
            <w:vAlign w:val="center"/>
          </w:tcPr>
          <w:p>
            <w:pPr>
              <w:widowControl/>
              <w:adjustRightInd w:val="0"/>
              <w:snapToGrid w:val="0"/>
              <w:spacing w:line="240" w:lineRule="exact"/>
              <w:jc w:val="left"/>
              <w:rPr>
                <w:rFonts w:eastAsia="仿宋"/>
                <w:spacing w:val="-6"/>
                <w:kern w:val="0"/>
                <w:sz w:val="21"/>
                <w:szCs w:val="21"/>
              </w:rPr>
            </w:pPr>
            <w:r>
              <w:rPr>
                <w:rFonts w:eastAsia="仿宋"/>
                <w:spacing w:val="-6"/>
                <w:kern w:val="0"/>
                <w:sz w:val="21"/>
                <w:szCs w:val="21"/>
              </w:rPr>
              <w:t>28.</w:t>
            </w:r>
            <w:r>
              <w:rPr>
                <w:rFonts w:hint="eastAsia" w:eastAsia="仿宋"/>
                <w:spacing w:val="-6"/>
                <w:kern w:val="0"/>
                <w:sz w:val="21"/>
                <w:szCs w:val="21"/>
              </w:rPr>
              <w:t>单位未定期开展建筑消防设施检测和维护保养，并完整准确记录。</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29.</w:t>
            </w:r>
            <w:r>
              <w:rPr>
                <w:rFonts w:hint="eastAsia" w:eastAsia="仿宋"/>
                <w:kern w:val="0"/>
                <w:sz w:val="21"/>
                <w:szCs w:val="21"/>
              </w:rPr>
              <w:t>未定期开展防火检查巡查，并如实登记报告。</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30.</w:t>
            </w:r>
            <w:r>
              <w:rPr>
                <w:rFonts w:hint="eastAsia" w:eastAsia="仿宋"/>
                <w:kern w:val="0"/>
                <w:sz w:val="21"/>
                <w:szCs w:val="21"/>
              </w:rPr>
              <w:t>未及时整改消除隐患问题，并落实安全防范措施。</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exact"/>
        </w:trPr>
        <w:tc>
          <w:tcPr>
            <w:tcW w:w="1738" w:type="dxa"/>
            <w:vMerge w:val="restart"/>
            <w:vAlign w:val="center"/>
          </w:tcPr>
          <w:p>
            <w:pPr>
              <w:widowControl/>
              <w:adjustRightInd w:val="0"/>
              <w:snapToGrid w:val="0"/>
              <w:spacing w:line="240" w:lineRule="exact"/>
              <w:jc w:val="center"/>
              <w:rPr>
                <w:rFonts w:eastAsia="仿宋"/>
                <w:kern w:val="0"/>
                <w:sz w:val="21"/>
                <w:szCs w:val="21"/>
              </w:rPr>
            </w:pPr>
            <w:r>
              <w:rPr>
                <w:rFonts w:hint="eastAsia" w:eastAsia="仿宋"/>
                <w:kern w:val="0"/>
                <w:sz w:val="21"/>
                <w:szCs w:val="21"/>
              </w:rPr>
              <w:t>宣传教育培训</w:t>
            </w:r>
          </w:p>
          <w:p>
            <w:pPr>
              <w:widowControl/>
              <w:adjustRightInd w:val="0"/>
              <w:snapToGrid w:val="0"/>
              <w:spacing w:line="240" w:lineRule="exact"/>
              <w:jc w:val="center"/>
              <w:rPr>
                <w:rFonts w:eastAsia="仿宋"/>
                <w:kern w:val="0"/>
                <w:sz w:val="21"/>
                <w:szCs w:val="21"/>
              </w:rPr>
            </w:pPr>
            <w:r>
              <w:rPr>
                <w:rFonts w:hint="eastAsia" w:eastAsia="仿宋"/>
                <w:kern w:val="0"/>
                <w:sz w:val="21"/>
                <w:szCs w:val="21"/>
              </w:rPr>
              <w:t>不深入</w:t>
            </w:r>
          </w:p>
        </w:tc>
        <w:tc>
          <w:tcPr>
            <w:tcW w:w="6066" w:type="dxa"/>
            <w:gridSpan w:val="13"/>
            <w:vAlign w:val="center"/>
          </w:tcPr>
          <w:p>
            <w:pPr>
              <w:widowControl/>
              <w:adjustRightInd w:val="0"/>
              <w:snapToGrid w:val="0"/>
              <w:spacing w:line="240" w:lineRule="exact"/>
              <w:jc w:val="left"/>
              <w:rPr>
                <w:rFonts w:eastAsia="仿宋"/>
                <w:kern w:val="0"/>
                <w:sz w:val="21"/>
                <w:szCs w:val="21"/>
              </w:rPr>
            </w:pPr>
            <w:r>
              <w:rPr>
                <w:rFonts w:eastAsia="仿宋"/>
                <w:kern w:val="0"/>
                <w:sz w:val="21"/>
                <w:szCs w:val="21"/>
              </w:rPr>
              <w:t>31.</w:t>
            </w:r>
            <w:r>
              <w:rPr>
                <w:rFonts w:hint="eastAsia" w:eastAsia="仿宋"/>
                <w:kern w:val="0"/>
                <w:sz w:val="21"/>
                <w:szCs w:val="21"/>
              </w:rPr>
              <w:t>单位检查整改隐患、扑救初起火灾、组织人员疏散、开展宣传培训能力不足。</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1738" w:type="dxa"/>
            <w:vMerge w:val="continue"/>
            <w:vAlign w:val="center"/>
          </w:tcPr>
          <w:p>
            <w:pPr>
              <w:widowControl/>
              <w:spacing w:line="240" w:lineRule="exact"/>
              <w:jc w:val="left"/>
              <w:rPr>
                <w:rFonts w:eastAsia="仿宋"/>
                <w:kern w:val="0"/>
                <w:sz w:val="21"/>
                <w:szCs w:val="21"/>
              </w:rPr>
            </w:pPr>
          </w:p>
        </w:tc>
        <w:tc>
          <w:tcPr>
            <w:tcW w:w="6066" w:type="dxa"/>
            <w:gridSpan w:val="13"/>
            <w:vAlign w:val="center"/>
          </w:tcPr>
          <w:p>
            <w:pPr>
              <w:widowControl/>
              <w:adjustRightInd w:val="0"/>
              <w:snapToGrid w:val="0"/>
              <w:spacing w:line="240" w:lineRule="exact"/>
              <w:jc w:val="left"/>
              <w:rPr>
                <w:rFonts w:eastAsia="仿宋"/>
                <w:spacing w:val="-6"/>
                <w:kern w:val="0"/>
                <w:sz w:val="21"/>
                <w:szCs w:val="21"/>
              </w:rPr>
            </w:pPr>
            <w:r>
              <w:rPr>
                <w:rFonts w:eastAsia="仿宋"/>
                <w:spacing w:val="-6"/>
                <w:kern w:val="0"/>
                <w:sz w:val="21"/>
                <w:szCs w:val="21"/>
              </w:rPr>
              <w:t>32.</w:t>
            </w:r>
            <w:r>
              <w:rPr>
                <w:rFonts w:hint="eastAsia" w:eastAsia="仿宋"/>
                <w:spacing w:val="-6"/>
                <w:kern w:val="0"/>
                <w:sz w:val="21"/>
                <w:szCs w:val="21"/>
              </w:rPr>
              <w:t>员工不了解本场所火灾危险性，不会报警、不会灭火、不会逃生。</w:t>
            </w:r>
          </w:p>
        </w:tc>
        <w:tc>
          <w:tcPr>
            <w:tcW w:w="2956" w:type="dxa"/>
            <w:gridSpan w:val="7"/>
            <w:vAlign w:val="center"/>
          </w:tcPr>
          <w:p>
            <w:pPr>
              <w:spacing w:line="240" w:lineRule="exact"/>
              <w:jc w:val="cente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trPr>
        <w:tc>
          <w:tcPr>
            <w:tcW w:w="1738" w:type="dxa"/>
            <w:vAlign w:val="center"/>
          </w:tcPr>
          <w:p>
            <w:pPr>
              <w:widowControl/>
              <w:adjustRightInd w:val="0"/>
              <w:snapToGrid w:val="0"/>
              <w:spacing w:line="240" w:lineRule="exact"/>
              <w:jc w:val="center"/>
              <w:rPr>
                <w:rFonts w:eastAsia="仿宋"/>
                <w:kern w:val="0"/>
                <w:sz w:val="21"/>
                <w:szCs w:val="21"/>
              </w:rPr>
            </w:pPr>
            <w:r>
              <w:rPr>
                <w:rFonts w:hint="eastAsia" w:eastAsia="仿宋"/>
                <w:kern w:val="0"/>
                <w:sz w:val="21"/>
                <w:szCs w:val="21"/>
              </w:rPr>
              <w:t>其他问题及采取的措施</w:t>
            </w:r>
          </w:p>
        </w:tc>
        <w:tc>
          <w:tcPr>
            <w:tcW w:w="9022" w:type="dxa"/>
            <w:gridSpan w:val="20"/>
            <w:vAlign w:val="center"/>
          </w:tcPr>
          <w:p>
            <w:pPr>
              <w:spacing w:line="240" w:lineRule="exact"/>
              <w:jc w:val="lef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738" w:type="dxa"/>
            <w:vAlign w:val="center"/>
          </w:tcPr>
          <w:p>
            <w:pPr>
              <w:spacing w:line="240" w:lineRule="exact"/>
              <w:jc w:val="center"/>
              <w:rPr>
                <w:rFonts w:eastAsia="仿宋"/>
                <w:sz w:val="24"/>
                <w:szCs w:val="24"/>
              </w:rPr>
            </w:pPr>
            <w:r>
              <w:rPr>
                <w:rFonts w:hint="eastAsia" w:eastAsia="仿宋"/>
                <w:sz w:val="24"/>
                <w:szCs w:val="24"/>
              </w:rPr>
              <w:t>消防安全</w:t>
            </w:r>
          </w:p>
          <w:p>
            <w:pPr>
              <w:spacing w:line="240" w:lineRule="exact"/>
              <w:ind w:firstLine="240" w:firstLineChars="100"/>
              <w:jc w:val="left"/>
              <w:rPr>
                <w:rFonts w:eastAsia="仿宋"/>
                <w:sz w:val="28"/>
                <w:szCs w:val="28"/>
              </w:rPr>
            </w:pPr>
            <w:r>
              <w:rPr>
                <w:rFonts w:hint="eastAsia" w:eastAsia="仿宋"/>
                <w:sz w:val="24"/>
                <w:szCs w:val="24"/>
              </w:rPr>
              <w:t>承诺情况</w:t>
            </w:r>
          </w:p>
        </w:tc>
        <w:tc>
          <w:tcPr>
            <w:tcW w:w="9022" w:type="dxa"/>
            <w:gridSpan w:val="20"/>
            <w:vAlign w:val="center"/>
          </w:tcPr>
          <w:p>
            <w:pPr>
              <w:spacing w:line="240" w:lineRule="exact"/>
              <w:jc w:val="left"/>
              <w:rPr>
                <w:rFonts w:eastAsia="仿宋"/>
                <w:sz w:val="28"/>
                <w:szCs w:val="28"/>
              </w:rPr>
            </w:pPr>
            <w:r>
              <w:rPr>
                <w:rFonts w:hint="eastAsia" w:eastAsia="仿宋"/>
                <w:kern w:val="0"/>
                <w:sz w:val="21"/>
                <w:szCs w:val="21"/>
              </w:rPr>
              <w:t>本场所不存在突出风险</w:t>
            </w:r>
            <w:r>
              <w:rPr>
                <w:rFonts w:eastAsia="仿宋"/>
                <w:kern w:val="0"/>
                <w:sz w:val="21"/>
                <w:szCs w:val="21"/>
              </w:rPr>
              <w:t xml:space="preserve"> □       </w:t>
            </w:r>
            <w:r>
              <w:rPr>
                <w:rFonts w:hint="eastAsia" w:eastAsia="仿宋"/>
                <w:kern w:val="0"/>
                <w:sz w:val="21"/>
                <w:szCs w:val="21"/>
              </w:rPr>
              <w:t>本场所已落实防范措施</w:t>
            </w:r>
            <w:r>
              <w:rPr>
                <w:rFonts w:eastAsia="仿宋"/>
                <w:kern w:val="0"/>
                <w:sz w:val="21"/>
                <w:szCs w:val="21"/>
              </w:rPr>
              <w:t xml:space="preserve"> □</w:t>
            </w:r>
          </w:p>
        </w:tc>
      </w:tr>
    </w:tbl>
    <w:p>
      <w:pPr>
        <w:spacing w:line="200" w:lineRule="exact"/>
        <w:ind w:left="437" w:leftChars="-126" w:hanging="840" w:hangingChars="400"/>
        <w:rPr>
          <w:rFonts w:eastAsia="仿宋"/>
          <w:sz w:val="21"/>
          <w:szCs w:val="21"/>
        </w:rPr>
      </w:pPr>
      <w:r>
        <w:rPr>
          <w:rFonts w:hint="eastAsia" w:eastAsia="仿宋"/>
          <w:sz w:val="21"/>
          <w:szCs w:val="21"/>
        </w:rPr>
        <w:t>备注：</w:t>
      </w:r>
      <w:r>
        <w:rPr>
          <w:rFonts w:eastAsia="仿宋"/>
          <w:sz w:val="21"/>
          <w:szCs w:val="21"/>
        </w:rPr>
        <w:t>1.“</w:t>
      </w:r>
      <w:r>
        <w:rPr>
          <w:rFonts w:hint="eastAsia" w:eastAsia="仿宋"/>
          <w:sz w:val="21"/>
          <w:szCs w:val="21"/>
        </w:rPr>
        <w:t>单位类型</w:t>
      </w:r>
      <w:r>
        <w:rPr>
          <w:rFonts w:eastAsia="仿宋"/>
          <w:sz w:val="21"/>
          <w:szCs w:val="21"/>
        </w:rPr>
        <w:t>”</w:t>
      </w:r>
      <w:r>
        <w:rPr>
          <w:rFonts w:hint="eastAsia" w:eastAsia="仿宋"/>
          <w:sz w:val="21"/>
          <w:szCs w:val="21"/>
        </w:rPr>
        <w:t>栏按下列类别填写：商场市场、劳动密集型企业、公共娱乐场所、群租房、宾馆饭店、高层建筑、养老院、施工工地或其他；</w:t>
      </w:r>
    </w:p>
    <w:p>
      <w:pPr>
        <w:spacing w:line="200" w:lineRule="exact"/>
        <w:ind w:firstLine="420" w:firstLineChars="200"/>
        <w:rPr>
          <w:rFonts w:eastAsia="仿宋"/>
        </w:rPr>
      </w:pPr>
      <w:r>
        <w:rPr>
          <w:rFonts w:eastAsia="仿宋"/>
          <w:sz w:val="21"/>
          <w:szCs w:val="21"/>
        </w:rPr>
        <w:t>2.</w:t>
      </w:r>
      <w:r>
        <w:rPr>
          <w:rFonts w:hint="eastAsia" w:eastAsia="仿宋"/>
          <w:sz w:val="21"/>
          <w:szCs w:val="21"/>
        </w:rPr>
        <w:t>本表一式叁份，一份单位存档，一份报属地行业主管部门备案，一份报当地消防部门备案。无主管部门的报乡镇街道安办。</w:t>
      </w:r>
    </w:p>
    <w:p>
      <w:pPr>
        <w:spacing w:line="200" w:lineRule="exact"/>
        <w:jc w:val="left"/>
        <w:rPr>
          <w:rFonts w:eastAsia="仿宋"/>
        </w:rPr>
        <w:sectPr>
          <w:pgSz w:w="11906" w:h="16838"/>
          <w:pgMar w:top="1418" w:right="926" w:bottom="1418" w:left="1531" w:header="851" w:footer="992" w:gutter="0"/>
          <w:pgNumType w:fmt="numberInDash"/>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黑体" w:hAnsi="黑体" w:eastAsia="黑体"/>
        </w:rPr>
      </w:pPr>
      <w:r>
        <w:rPr>
          <w:rFonts w:hint="eastAsia" w:ascii="黑体" w:hAnsi="黑体" w:eastAsia="黑体"/>
        </w:rPr>
        <w:t>附件</w:t>
      </w:r>
      <w:r>
        <w:rPr>
          <w:rFonts w:ascii="黑体" w:hAnsi="黑体" w:eastAsia="黑体"/>
        </w:rPr>
        <w:t>2</w:t>
      </w: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eastAsia="方正仿宋_GBK"/>
        </w:rPr>
      </w:pPr>
      <w:r>
        <w:rPr>
          <w:rFonts w:hint="eastAsia" w:ascii="方正小标宋_GBK" w:eastAsia="方正小标宋_GBK"/>
          <w:sz w:val="44"/>
          <w:szCs w:val="44"/>
        </w:rPr>
        <w:t>消防安全突出风险整治要求</w:t>
      </w:r>
    </w:p>
    <w:p>
      <w:pPr>
        <w:keepNext w:val="0"/>
        <w:keepLines w:val="0"/>
        <w:pageBreakBefore w:val="0"/>
        <w:widowControl w:val="0"/>
        <w:kinsoku/>
        <w:wordWrap/>
        <w:overflowPunct/>
        <w:topLinePunct w:val="0"/>
        <w:autoSpaceDE/>
        <w:autoSpaceDN/>
        <w:bidi w:val="0"/>
        <w:adjustRightInd/>
        <w:snapToGrid w:val="0"/>
        <w:spacing w:line="360" w:lineRule="exact"/>
        <w:ind w:firstLine="576" w:firstLineChars="200"/>
        <w:textAlignment w:val="auto"/>
        <w:rPr>
          <w:rFonts w:hint="eastAsia" w:ascii="黑体" w:hAnsi="黑体" w:eastAsia="黑体"/>
          <w:w w:val="90"/>
        </w:rPr>
      </w:pP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黑体" w:hAnsi="黑体" w:eastAsia="黑体"/>
          <w:w w:val="95"/>
        </w:rPr>
      </w:pPr>
      <w:r>
        <w:rPr>
          <w:rFonts w:hint="eastAsia" w:ascii="黑体" w:hAnsi="黑体" w:eastAsia="黑体"/>
          <w:w w:val="95"/>
        </w:rPr>
        <w:t>一、违规使用易燃可燃材料装修装饰</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1. </w:t>
      </w:r>
      <w:r>
        <w:rPr>
          <w:rFonts w:hint="eastAsia" w:ascii="仿宋_GB2312" w:eastAsia="仿宋_GB2312"/>
          <w:w w:val="95"/>
        </w:rPr>
        <w:t>商场市场、宾馆饭店、公共娱乐场所等公众聚集场所采用易燃可燃材料装修装饰的，必须拆除或者更换。</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2. </w:t>
      </w:r>
      <w:r>
        <w:rPr>
          <w:rFonts w:hint="eastAsia" w:ascii="仿宋_GB2312" w:eastAsia="仿宋_GB2312"/>
          <w:w w:val="95"/>
        </w:rPr>
        <w:t>幼儿园、养老院、医院、员工宿舍等人员密集场所，施工工地办公、住宿等临时用房采用易燃可燃材料为芯材的彩钢板搭建的，必须拆除或者更换。</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3. </w:t>
      </w:r>
      <w:r>
        <w:rPr>
          <w:rFonts w:hint="eastAsia" w:ascii="仿宋_GB2312" w:eastAsia="仿宋_GB2312"/>
          <w:w w:val="95"/>
        </w:rPr>
        <w:t>现有高层建筑、商住楼等场所使用聚氨酯泡沫、聚苯乙烯等易燃可燃材料作外墙外保温系统的，严禁在周边安全距离内燃放烟花爆竹，违规动火作业；确需动火动焊施工的，必须严格落实现场监护和防范措施。</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4. </w:t>
      </w:r>
      <w:r>
        <w:rPr>
          <w:rFonts w:hint="eastAsia" w:ascii="仿宋_GB2312" w:eastAsia="仿宋_GB2312"/>
          <w:w w:val="95"/>
        </w:rPr>
        <w:t>电气线路穿越或者敷设在易燃可燃装修装饰材料中的，必须采取穿管保护等防火措施；开关、插座等电器配件周围必须采取不燃隔热材料进行防火隔离。</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5. </w:t>
      </w:r>
      <w:r>
        <w:rPr>
          <w:rFonts w:hint="eastAsia" w:ascii="仿宋_GB2312" w:eastAsia="仿宋_GB2312"/>
          <w:w w:val="95"/>
        </w:rPr>
        <w:t>大型活动现场布展使用大量易燃可燃装饰材料的，必须拆除或者更换。</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黑体" w:hAnsi="黑体" w:eastAsia="黑体"/>
          <w:w w:val="95"/>
        </w:rPr>
      </w:pPr>
      <w:r>
        <w:rPr>
          <w:rFonts w:hint="eastAsia" w:ascii="黑体" w:hAnsi="黑体" w:eastAsia="黑体"/>
          <w:w w:val="95"/>
        </w:rPr>
        <w:t>二、防火分隔不到位</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1. </w:t>
      </w:r>
      <w:r>
        <w:rPr>
          <w:rFonts w:hint="eastAsia" w:ascii="仿宋_GB2312" w:eastAsia="仿宋_GB2312"/>
          <w:w w:val="95"/>
        </w:rPr>
        <w:t>建筑地下与地上部分防火分隔设置不到位或者共用疏散楼梯间且未分隔的，必须用防火隔墙或者防火门将地下和地上部分完全分隔。</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2. </w:t>
      </w:r>
      <w:r>
        <w:rPr>
          <w:rFonts w:hint="eastAsia" w:ascii="仿宋_GB2312" w:eastAsia="仿宋_GB2312"/>
          <w:w w:val="95"/>
        </w:rPr>
        <w:t>建筑住宅与非住宅部分防火分隔设置不到位的，必须用防火隔墙或者防火门完全分隔。</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3. </w:t>
      </w:r>
      <w:r>
        <w:rPr>
          <w:rFonts w:hint="eastAsia" w:ascii="仿宋_GB2312" w:eastAsia="仿宋_GB2312"/>
          <w:w w:val="95"/>
        </w:rPr>
        <w:t>防火隔墙、防火卷帘、防火门、防火窗等防火分隔设施损坏的，必须及时修复或者更换。</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4. </w:t>
      </w:r>
      <w:r>
        <w:rPr>
          <w:rFonts w:hint="eastAsia" w:ascii="仿宋_GB2312" w:eastAsia="仿宋_GB2312"/>
          <w:w w:val="95"/>
        </w:rPr>
        <w:t>楼梯间、前室常闭式防火门常开的，必须立即关闭并保持常闭状态；防火门闭门器、顺序器损坏导致防火门不能自行关闭的，必须及时修复。</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5. </w:t>
      </w:r>
      <w:r>
        <w:rPr>
          <w:rFonts w:hint="eastAsia" w:ascii="仿宋_GB2312" w:eastAsia="仿宋_GB2312"/>
          <w:w w:val="95"/>
        </w:rPr>
        <w:t>管道穿越墙体处的孔洞、缝隙，竖向管道井与房间、吊顶相连通的孔洞，楼层楼板的缝隙防火分隔不严密的，必须用防火材料填充或者封堵。</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黑体" w:hAnsi="黑体" w:eastAsia="黑体"/>
          <w:w w:val="95"/>
        </w:rPr>
      </w:pPr>
      <w:r>
        <w:rPr>
          <w:rFonts w:hint="eastAsia" w:ascii="黑体" w:hAnsi="黑体" w:eastAsia="黑体"/>
          <w:w w:val="95"/>
        </w:rPr>
        <w:t>三、疏散通道不畅通</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1. </w:t>
      </w:r>
      <w:r>
        <w:rPr>
          <w:rFonts w:hint="eastAsia" w:ascii="仿宋_GB2312" w:eastAsia="仿宋_GB2312"/>
          <w:w w:val="95"/>
        </w:rPr>
        <w:t>疏散通道、安全出口被封闭、堵塞、占用的，必须立即打通、拆除、清理，恢复畅通。</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2. </w:t>
      </w:r>
      <w:r>
        <w:rPr>
          <w:rFonts w:hint="eastAsia" w:ascii="仿宋_GB2312" w:eastAsia="仿宋_GB2312"/>
          <w:w w:val="95"/>
        </w:rPr>
        <w:t>人员密集场所在门窗上设置广告牌等影响逃生和灭火救援障碍物的，必须拆除。</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3. </w:t>
      </w:r>
      <w:r>
        <w:rPr>
          <w:rFonts w:hint="eastAsia" w:ascii="仿宋_GB2312" w:eastAsia="仿宋_GB2312"/>
          <w:w w:val="95"/>
        </w:rPr>
        <w:t>违规搭建临时建筑，占用防火间距、疏散通道的，必须拆除，恢复原状。</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4. </w:t>
      </w:r>
      <w:r>
        <w:rPr>
          <w:rFonts w:hint="eastAsia" w:ascii="仿宋_GB2312" w:eastAsia="仿宋_GB2312"/>
          <w:w w:val="95"/>
        </w:rPr>
        <w:t>宾馆饭店、员工宿舍等有人员住宿的场所，安全出口必须</w:t>
      </w:r>
      <w:r>
        <w:rPr>
          <w:rFonts w:ascii="仿宋_GB2312" w:eastAsia="仿宋_GB2312"/>
          <w:w w:val="95"/>
        </w:rPr>
        <w:t>24</w:t>
      </w:r>
      <w:r>
        <w:rPr>
          <w:rFonts w:hint="eastAsia" w:ascii="仿宋_GB2312" w:eastAsia="仿宋_GB2312"/>
          <w:w w:val="95"/>
        </w:rPr>
        <w:t>小时保持畅通。公众聚集场所在营业期间，安全出口必须保持畅通。</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黑体" w:hAnsi="黑体" w:eastAsia="黑体"/>
          <w:w w:val="95"/>
        </w:rPr>
      </w:pPr>
      <w:r>
        <w:rPr>
          <w:rFonts w:hint="eastAsia" w:ascii="黑体" w:hAnsi="黑体" w:eastAsia="黑体"/>
          <w:w w:val="95"/>
        </w:rPr>
        <w:t>四、违规存放易燃易爆危险品</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1. </w:t>
      </w:r>
      <w:r>
        <w:rPr>
          <w:rFonts w:hint="eastAsia" w:ascii="仿宋_GB2312" w:eastAsia="仿宋_GB2312"/>
          <w:w w:val="95"/>
        </w:rPr>
        <w:t>人员密集场所、居住场所违规使用、储存易燃易爆危险品的，必须及时搬离。其他场所储存易燃易爆危险品的，必须在明显部位设置禁烟禁火等警示标志，并安排专业人员管理。</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2. </w:t>
      </w:r>
      <w:r>
        <w:rPr>
          <w:rFonts w:hint="eastAsia" w:ascii="仿宋_GB2312" w:eastAsia="仿宋_GB2312"/>
          <w:w w:val="95"/>
        </w:rPr>
        <w:t>商场市场、施工工地等场所违规堆放易燃可燃物品的，必须及时清理。</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3. </w:t>
      </w:r>
      <w:r>
        <w:rPr>
          <w:rFonts w:hint="eastAsia" w:ascii="仿宋_GB2312" w:eastAsia="仿宋_GB2312"/>
          <w:w w:val="95"/>
        </w:rPr>
        <w:t>劳动密集型企业生产车间等场所内超量存放易燃易爆原材料或者半成品的，必须及时搬离、清理。</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黑体" w:hAnsi="黑体" w:eastAsia="黑体"/>
          <w:w w:val="95"/>
        </w:rPr>
      </w:pPr>
      <w:r>
        <w:rPr>
          <w:rFonts w:hint="eastAsia" w:ascii="黑体" w:hAnsi="黑体" w:eastAsia="黑体"/>
          <w:w w:val="95"/>
        </w:rPr>
        <w:t>五、消防设施损坏停用</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1. </w:t>
      </w:r>
      <w:r>
        <w:rPr>
          <w:rFonts w:hint="eastAsia" w:ascii="仿宋_GB2312" w:eastAsia="仿宋_GB2312"/>
          <w:w w:val="95"/>
        </w:rPr>
        <w:t>火灾自动报警系统停用或者不能正常运行的，必须及时维修，恢复系统正常报警功能。</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2. </w:t>
      </w:r>
      <w:r>
        <w:rPr>
          <w:rFonts w:hint="eastAsia" w:ascii="仿宋_GB2312" w:eastAsia="仿宋_GB2312"/>
          <w:w w:val="95"/>
        </w:rPr>
        <w:t>消防水泵控制柜处于手动控制状态的，必须立即整改，将控制柜设置为自动控制状态，并张贴明显标志。</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3. </w:t>
      </w:r>
      <w:r>
        <w:rPr>
          <w:rFonts w:hint="eastAsia" w:ascii="仿宋_GB2312" w:eastAsia="仿宋_GB2312"/>
          <w:w w:val="95"/>
        </w:rPr>
        <w:t>自动喷水灭火系统、防火卷帘、机械防排烟等建筑消防设施不能正常联动的，必须及时维修，恢复系统正常联动功能。</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4. </w:t>
      </w:r>
      <w:r>
        <w:rPr>
          <w:rFonts w:hint="eastAsia" w:ascii="仿宋_GB2312" w:eastAsia="仿宋_GB2312"/>
          <w:w w:val="95"/>
        </w:rPr>
        <w:t>消火栓、自动喷水灭火系统不能正常供水的，必须及时维修，恢复系统正常供水功能。</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黑体" w:hAnsi="黑体" w:eastAsia="黑体"/>
          <w:w w:val="95"/>
        </w:rPr>
      </w:pPr>
      <w:r>
        <w:rPr>
          <w:rFonts w:hint="eastAsia" w:ascii="黑体" w:hAnsi="黑体" w:eastAsia="黑体"/>
          <w:w w:val="95"/>
        </w:rPr>
        <w:t>六、电动自行车违规停放充电</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1. </w:t>
      </w:r>
      <w:r>
        <w:rPr>
          <w:rFonts w:hint="eastAsia" w:ascii="仿宋_GB2312" w:eastAsia="仿宋_GB2312"/>
          <w:w w:val="95"/>
        </w:rPr>
        <w:t>电动自行车停放在建筑门厅、楼梯间、共用走道等室内公共区域的，必须及时搬离、清理，严禁进楼入户。</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2. </w:t>
      </w:r>
      <w:r>
        <w:rPr>
          <w:rFonts w:hint="eastAsia" w:ascii="仿宋_GB2312" w:eastAsia="仿宋_GB2312"/>
          <w:w w:val="95"/>
        </w:rPr>
        <w:t>居民住宅楼、员工宿舍等有人员居住的场所内停放电动自行车的，必须搬离，严禁“人车同屋”。</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3. </w:t>
      </w:r>
      <w:r>
        <w:rPr>
          <w:rFonts w:hint="eastAsia" w:ascii="仿宋_GB2312" w:eastAsia="仿宋_GB2312"/>
          <w:w w:val="95"/>
        </w:rPr>
        <w:t>电动自行车集中停放的部位与其他部位直接连通的，必须设置防火分隔设施。</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4. </w:t>
      </w:r>
      <w:r>
        <w:rPr>
          <w:rFonts w:hint="eastAsia" w:ascii="仿宋_GB2312" w:eastAsia="仿宋_GB2312"/>
          <w:w w:val="95"/>
        </w:rPr>
        <w:t>电动自行车采取“飞线”、入户等方式违规充电的，必须及时纠正，加强教育警示。</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5. </w:t>
      </w:r>
      <w:r>
        <w:rPr>
          <w:rFonts w:hint="eastAsia" w:ascii="仿宋_GB2312" w:eastAsia="仿宋_GB2312"/>
          <w:w w:val="95"/>
        </w:rPr>
        <w:t>电动自行车停放周围有易燃可燃物的，必须及时清理，确保安全距离。</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黑体" w:hAnsi="黑体" w:eastAsia="黑体"/>
          <w:w w:val="95"/>
        </w:rPr>
      </w:pPr>
      <w:r>
        <w:rPr>
          <w:rFonts w:hint="eastAsia" w:ascii="黑体" w:hAnsi="黑体" w:eastAsia="黑体"/>
          <w:w w:val="95"/>
        </w:rPr>
        <w:t>七、电气火灾隐患</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1.</w:t>
      </w:r>
      <w:r>
        <w:rPr>
          <w:rFonts w:hint="eastAsia" w:ascii="仿宋_GB2312" w:eastAsia="仿宋_GB2312"/>
          <w:w w:val="95"/>
        </w:rPr>
        <w:t>电气线路、电气设备未选用合格产品，配电箱（柜）、控制箱（柜）、线缆、母线、开关、插座、照明灯具等产品应更换有许可证编号或</w:t>
      </w:r>
      <w:r>
        <w:rPr>
          <w:rFonts w:ascii="仿宋_GB2312" w:eastAsia="仿宋_GB2312"/>
          <w:w w:val="95"/>
        </w:rPr>
        <w:t>CCC</w:t>
      </w:r>
      <w:r>
        <w:rPr>
          <w:rFonts w:hint="eastAsia" w:ascii="仿宋_GB2312" w:eastAsia="仿宋_GB2312"/>
          <w:w w:val="95"/>
        </w:rPr>
        <w:t>标志的产品。</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2.</w:t>
      </w:r>
      <w:r>
        <w:rPr>
          <w:rFonts w:hint="eastAsia" w:ascii="仿宋_GB2312" w:eastAsia="仿宋_GB2312"/>
          <w:w w:val="95"/>
        </w:rPr>
        <w:t>电气线路敷设方式不符合要求，应采取穿金属管、密封槽盒等防火保护措施，安装在可燃装修材料内的开关、插座等，必须采用防火封堵密封件或燃烧性能等级为</w:t>
      </w:r>
      <w:r>
        <w:rPr>
          <w:rFonts w:ascii="仿宋_GB2312" w:eastAsia="仿宋_GB2312"/>
          <w:w w:val="95"/>
        </w:rPr>
        <w:t>A</w:t>
      </w:r>
      <w:r>
        <w:rPr>
          <w:rFonts w:hint="eastAsia" w:ascii="仿宋_GB2312" w:eastAsia="仿宋_GB2312"/>
          <w:w w:val="95"/>
        </w:rPr>
        <w:t>级的材料（例如：石棉垫）隔绝。</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3.</w:t>
      </w:r>
      <w:r>
        <w:rPr>
          <w:rFonts w:hint="eastAsia" w:ascii="仿宋_GB2312" w:eastAsia="仿宋_GB2312"/>
          <w:w w:val="95"/>
        </w:rPr>
        <w:t>电气线路老化，无保护装置，应及时更换端部变色、老化的线路，电表箱、配电箱（柜）等电气设备安装短路、过负荷、漏电等保护装置。</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4.</w:t>
      </w:r>
      <w:r>
        <w:rPr>
          <w:rFonts w:hint="eastAsia" w:ascii="仿宋_GB2312" w:eastAsia="仿宋_GB2312"/>
          <w:w w:val="95"/>
        </w:rPr>
        <w:t>电气设备未与可燃物保持安全距离，开关、插座和照明灯具靠近可燃物时应采取隔热、散热等防火措施，大功率电器应与可燃物品保持</w:t>
      </w:r>
      <w:r>
        <w:rPr>
          <w:rFonts w:ascii="仿宋_GB2312" w:eastAsia="仿宋_GB2312"/>
          <w:w w:val="95"/>
        </w:rPr>
        <w:t>0.5m</w:t>
      </w:r>
      <w:r>
        <w:rPr>
          <w:rFonts w:hint="eastAsia" w:ascii="仿宋_GB2312" w:eastAsia="仿宋_GB2312"/>
          <w:w w:val="95"/>
        </w:rPr>
        <w:t>安全距离，不应被可燃物覆盖。</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5.</w:t>
      </w:r>
      <w:r>
        <w:rPr>
          <w:rFonts w:hint="eastAsia" w:ascii="仿宋_GB2312" w:eastAsia="仿宋_GB2312"/>
          <w:w w:val="95"/>
        </w:rPr>
        <w:t>私拉乱接电气线路，随意增加线路负荷，严禁超负荷用电，不应违规使用大功率电气设备，不应擅自拉接临时电线。</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黑体" w:hAnsi="黑体" w:eastAsia="黑体"/>
          <w:w w:val="95"/>
        </w:rPr>
      </w:pPr>
      <w:r>
        <w:rPr>
          <w:rFonts w:hint="eastAsia" w:ascii="黑体" w:hAnsi="黑体" w:eastAsia="黑体"/>
          <w:w w:val="95"/>
        </w:rPr>
        <w:t>八、重点岗位人员责任不落实</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1. </w:t>
      </w:r>
      <w:r>
        <w:rPr>
          <w:rFonts w:hint="eastAsia" w:ascii="仿宋_GB2312" w:eastAsia="仿宋_GB2312"/>
          <w:w w:val="95"/>
        </w:rPr>
        <w:t>单位未依法明确消防安全责任人、管理人及其职责的，必须及时明确并在醒目位置进行公示。</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2. </w:t>
      </w:r>
      <w:r>
        <w:rPr>
          <w:rFonts w:hint="eastAsia" w:ascii="仿宋_GB2312" w:eastAsia="仿宋_GB2312"/>
          <w:w w:val="95"/>
        </w:rPr>
        <w:t>消防控制室值班人员不会熟练操作设施设备的，必须组织参加培训，确保培训合格、持证上岗，在紧急情况下能熟练操作设施设备。</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3. </w:t>
      </w:r>
      <w:r>
        <w:rPr>
          <w:rFonts w:hint="eastAsia" w:ascii="仿宋_GB2312" w:eastAsia="仿宋_GB2312"/>
          <w:w w:val="95"/>
        </w:rPr>
        <w:t>微型消防站队员不能及时有效处置初起火灾的，必须定期组织开展针对性训练、实战化演练，确保达到“三知四会一联通”要求，能够及时有效处置初起火灾。</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4. </w:t>
      </w:r>
      <w:r>
        <w:rPr>
          <w:rFonts w:hint="eastAsia" w:ascii="仿宋_GB2312" w:eastAsia="仿宋_GB2312"/>
          <w:w w:val="95"/>
        </w:rPr>
        <w:t>单位未作出整改消除突出风险承诺的，必须在醒目位置向社会公开承诺本场所不存在突出风险或者已落实防范措施。</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黑体" w:hAnsi="黑体" w:eastAsia="黑体"/>
          <w:w w:val="95"/>
        </w:rPr>
      </w:pPr>
      <w:r>
        <w:rPr>
          <w:rFonts w:hint="eastAsia" w:ascii="黑体" w:hAnsi="黑体" w:eastAsia="黑体"/>
          <w:w w:val="95"/>
        </w:rPr>
        <w:t>九、日常管理机制不健全</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仿宋_GB2312" w:eastAsia="仿宋_GB2312"/>
          <w:w w:val="95"/>
        </w:rPr>
      </w:pPr>
      <w:r>
        <w:rPr>
          <w:rFonts w:ascii="仿宋_GB2312" w:eastAsia="仿宋_GB2312"/>
          <w:w w:val="95"/>
        </w:rPr>
        <w:t xml:space="preserve">1. </w:t>
      </w:r>
      <w:r>
        <w:rPr>
          <w:rFonts w:hint="eastAsia" w:ascii="仿宋_GB2312" w:eastAsia="仿宋_GB2312"/>
          <w:w w:val="95"/>
        </w:rPr>
        <w:t>单位未定期开展建筑消防设施检测和维护保养，并完整准确记录的，必须落实日常检查维修保养制度，每年至少进行一次全面检测，确保完好有效，并如实制作检测维保记录，存档备查。</w:t>
      </w:r>
    </w:p>
    <w:p>
      <w:pPr>
        <w:keepNext w:val="0"/>
        <w:keepLines w:val="0"/>
        <w:pageBreakBefore w:val="0"/>
        <w:widowControl w:val="0"/>
        <w:kinsoku/>
        <w:wordWrap/>
        <w:overflowPunct/>
        <w:topLinePunct w:val="0"/>
        <w:autoSpaceDE/>
        <w:autoSpaceDN/>
        <w:bidi w:val="0"/>
        <w:adjustRightInd/>
        <w:snapToGrid w:val="0"/>
        <w:spacing w:line="340" w:lineRule="exact"/>
        <w:ind w:firstLine="592" w:firstLineChars="200"/>
        <w:textAlignment w:val="auto"/>
        <w:rPr>
          <w:rFonts w:ascii="仿宋_GB2312" w:eastAsia="仿宋_GB2312"/>
          <w:spacing w:val="-4"/>
          <w:w w:val="95"/>
        </w:rPr>
      </w:pPr>
      <w:r>
        <w:rPr>
          <w:rFonts w:ascii="仿宋_GB2312" w:eastAsia="仿宋_GB2312"/>
          <w:spacing w:val="-4"/>
          <w:w w:val="95"/>
        </w:rPr>
        <w:t xml:space="preserve">2. </w:t>
      </w:r>
      <w:r>
        <w:rPr>
          <w:rFonts w:hint="eastAsia" w:ascii="仿宋_GB2312" w:eastAsia="仿宋_GB2312"/>
          <w:spacing w:val="-4"/>
          <w:w w:val="95"/>
        </w:rPr>
        <w:t>单位未定期开展检查巡查，并如实登记报告的，必须安排专人开展防火检查巡查，及时发现火灾隐患并妥善处置；消防安全重点单位必须每日开展防火巡查，公众聚集场所在营业期间必须每二小时开展一次防火巡查，医院、养老院、寄宿制学校、幼儿园必须加强夜间防火巡查。</w:t>
      </w:r>
    </w:p>
    <w:p>
      <w:pPr>
        <w:keepNext w:val="0"/>
        <w:keepLines w:val="0"/>
        <w:pageBreakBefore w:val="0"/>
        <w:widowControl w:val="0"/>
        <w:kinsoku/>
        <w:wordWrap/>
        <w:overflowPunct/>
        <w:topLinePunct w:val="0"/>
        <w:autoSpaceDE/>
        <w:autoSpaceDN/>
        <w:bidi w:val="0"/>
        <w:adjustRightInd/>
        <w:snapToGrid w:val="0"/>
        <w:spacing w:line="340" w:lineRule="exact"/>
        <w:ind w:firstLine="592" w:firstLineChars="200"/>
        <w:textAlignment w:val="auto"/>
        <w:rPr>
          <w:rFonts w:ascii="仿宋_GB2312" w:eastAsia="仿宋_GB2312"/>
          <w:spacing w:val="-4"/>
          <w:w w:val="95"/>
        </w:rPr>
      </w:pPr>
      <w:r>
        <w:rPr>
          <w:rFonts w:ascii="仿宋_GB2312" w:eastAsia="仿宋_GB2312"/>
          <w:spacing w:val="-4"/>
          <w:w w:val="95"/>
        </w:rPr>
        <w:t>3.</w:t>
      </w:r>
      <w:r>
        <w:rPr>
          <w:rFonts w:hint="eastAsia" w:ascii="仿宋_GB2312" w:eastAsia="仿宋_GB2312"/>
          <w:spacing w:val="-4"/>
          <w:w w:val="95"/>
        </w:rPr>
        <w:t>单位存在火灾隐患的，必须及时整改消除火灾隐患；在火灾隐患消除之前，必须落实安全防范措施，确保消防安全。</w:t>
      </w:r>
    </w:p>
    <w:p>
      <w:pPr>
        <w:keepNext w:val="0"/>
        <w:keepLines w:val="0"/>
        <w:pageBreakBefore w:val="0"/>
        <w:widowControl w:val="0"/>
        <w:kinsoku/>
        <w:wordWrap/>
        <w:overflowPunct/>
        <w:topLinePunct w:val="0"/>
        <w:autoSpaceDE/>
        <w:autoSpaceDN/>
        <w:bidi w:val="0"/>
        <w:adjustRightInd/>
        <w:snapToGrid w:val="0"/>
        <w:spacing w:line="340" w:lineRule="exact"/>
        <w:ind w:firstLine="608" w:firstLineChars="200"/>
        <w:textAlignment w:val="auto"/>
        <w:rPr>
          <w:rFonts w:ascii="黑体" w:hAnsi="黑体" w:eastAsia="黑体"/>
          <w:w w:val="95"/>
        </w:rPr>
      </w:pPr>
      <w:r>
        <w:rPr>
          <w:rFonts w:hint="eastAsia" w:ascii="黑体" w:hAnsi="黑体" w:eastAsia="黑体"/>
          <w:w w:val="95"/>
        </w:rPr>
        <w:t>十、宣传教育培训不深入</w:t>
      </w:r>
    </w:p>
    <w:p>
      <w:pPr>
        <w:keepNext w:val="0"/>
        <w:keepLines w:val="0"/>
        <w:pageBreakBefore w:val="0"/>
        <w:widowControl w:val="0"/>
        <w:kinsoku/>
        <w:wordWrap/>
        <w:overflowPunct/>
        <w:topLinePunct w:val="0"/>
        <w:autoSpaceDE/>
        <w:autoSpaceDN/>
        <w:bidi w:val="0"/>
        <w:adjustRightInd/>
        <w:snapToGrid w:val="0"/>
        <w:spacing w:line="340" w:lineRule="exact"/>
        <w:ind w:firstLine="592" w:firstLineChars="200"/>
        <w:textAlignment w:val="auto"/>
        <w:rPr>
          <w:rFonts w:ascii="仿宋_GB2312" w:eastAsia="仿宋_GB2312"/>
          <w:spacing w:val="-4"/>
          <w:w w:val="95"/>
        </w:rPr>
      </w:pPr>
      <w:r>
        <w:rPr>
          <w:rFonts w:ascii="仿宋_GB2312" w:eastAsia="仿宋_GB2312"/>
          <w:spacing w:val="-4"/>
          <w:w w:val="95"/>
        </w:rPr>
        <w:t>1.</w:t>
      </w:r>
      <w:r>
        <w:rPr>
          <w:rFonts w:hint="eastAsia" w:ascii="仿宋_GB2312" w:eastAsia="仿宋_GB2312"/>
          <w:spacing w:val="-4"/>
          <w:w w:val="95"/>
        </w:rPr>
        <w:t>重点单位检查整改隐患、扑救初起火灾、组织人员疏散、开展宣传培训能力不足的，必须加强消防安全培训工作，开展示范性检查，完善灭火和应急疏散预案并组织演练，确保突发情况下及时扑救初起火灾，疏散在场群众。</w:t>
      </w:r>
    </w:p>
    <w:p>
      <w:pPr>
        <w:keepNext w:val="0"/>
        <w:keepLines w:val="0"/>
        <w:pageBreakBefore w:val="0"/>
        <w:widowControl w:val="0"/>
        <w:kinsoku/>
        <w:wordWrap/>
        <w:overflowPunct/>
        <w:topLinePunct w:val="0"/>
        <w:autoSpaceDE/>
        <w:autoSpaceDN/>
        <w:bidi w:val="0"/>
        <w:adjustRightInd/>
        <w:snapToGrid w:val="0"/>
        <w:spacing w:line="340" w:lineRule="exact"/>
        <w:ind w:firstLine="592" w:firstLineChars="200"/>
        <w:textAlignment w:val="auto"/>
        <w:rPr>
          <w:rFonts w:ascii="仿宋_GB2312" w:eastAsia="仿宋_GB2312"/>
          <w:spacing w:val="-4"/>
          <w:w w:val="95"/>
        </w:rPr>
        <w:sectPr>
          <w:footerReference r:id="rId6" w:type="default"/>
          <w:footerReference r:id="rId7" w:type="even"/>
          <w:pgSz w:w="11906" w:h="16838"/>
          <w:pgMar w:top="1418" w:right="1418" w:bottom="1418" w:left="1418" w:header="851" w:footer="992" w:gutter="0"/>
          <w:pgNumType w:fmt="numberInDash"/>
          <w:cols w:space="720" w:num="1"/>
          <w:titlePg/>
          <w:docGrid w:type="lines" w:linePitch="312" w:charSpace="0"/>
        </w:sectPr>
      </w:pPr>
      <w:r>
        <w:rPr>
          <w:rFonts w:ascii="仿宋_GB2312" w:eastAsia="仿宋_GB2312"/>
          <w:spacing w:val="-4"/>
          <w:w w:val="95"/>
        </w:rPr>
        <w:t>2.</w:t>
      </w:r>
      <w:r>
        <w:rPr>
          <w:rFonts w:hint="eastAsia" w:ascii="仿宋_GB2312" w:eastAsia="仿宋_GB2312"/>
          <w:spacing w:val="-4"/>
          <w:w w:val="95"/>
        </w:rPr>
        <w:t>一般单位员工不了解本场所火灾危险性，不会报警、不会灭火、不会逃生的，必须定期组织员工进行消防安全培训，加强新入职员工岗前培训，使其了解本场所本岗位火灾危险性，掌握报火警、扑救初起火灾、自救逃生的知识和技能。人员密集场所现场工作人员，在火灾发生时必须组织、引导在场人员疏散。</w:t>
      </w:r>
    </w:p>
    <w:p>
      <w:pPr>
        <w:adjustRightInd w:val="0"/>
        <w:snapToGrid w:val="0"/>
        <w:spacing w:line="320" w:lineRule="exact"/>
      </w:pPr>
    </w:p>
    <w:p>
      <w:pPr>
        <w:snapToGrid w:val="0"/>
        <w:ind w:right="318"/>
        <w:jc w:val="center"/>
        <w:rPr>
          <w:rFonts w:hint="eastAsia" w:ascii="方正小标宋_GBK" w:eastAsia="方正小标宋_GBK"/>
          <w:sz w:val="44"/>
          <w:szCs w:val="44"/>
        </w:rPr>
      </w:pPr>
      <w:r>
        <w:rPr>
          <w:rFonts w:hint="eastAsia" w:ascii="方正小标宋_GBK" w:eastAsia="方正小标宋_GBK"/>
          <w:sz w:val="44"/>
          <w:szCs w:val="44"/>
        </w:rPr>
        <w:t>消防安全风险排查方法、标准及措施</w:t>
      </w:r>
    </w:p>
    <w:p>
      <w:pPr>
        <w:keepNext w:val="0"/>
        <w:keepLines w:val="0"/>
        <w:pageBreakBefore w:val="0"/>
        <w:widowControl w:val="0"/>
        <w:kinsoku/>
        <w:wordWrap/>
        <w:overflowPunct/>
        <w:topLinePunct w:val="0"/>
        <w:autoSpaceDE/>
        <w:autoSpaceDN/>
        <w:bidi w:val="0"/>
        <w:adjustRightInd/>
        <w:snapToGrid w:val="0"/>
        <w:ind w:right="317" w:firstLine="640" w:firstLineChars="200"/>
        <w:jc w:val="both"/>
        <w:textAlignment w:val="auto"/>
        <w:rPr>
          <w:rFonts w:ascii="黑体" w:hAnsi="黑体" w:eastAsia="黑体"/>
        </w:rPr>
      </w:pPr>
      <w:r>
        <w:rPr>
          <w:rFonts w:hint="eastAsia" w:ascii="黑体" w:hAnsi="黑体" w:eastAsia="黑体"/>
        </w:rPr>
        <w:t>（一）违规使用易燃可燃材料装修装饰排查方法、标准及措施</w:t>
      </w:r>
    </w:p>
    <w:tbl>
      <w:tblPr>
        <w:tblStyle w:val="6"/>
        <w:tblW w:w="1460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7938"/>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3403" w:type="dxa"/>
            <w:vAlign w:val="center"/>
          </w:tcPr>
          <w:p>
            <w:pPr>
              <w:snapToGrid w:val="0"/>
              <w:jc w:val="center"/>
              <w:rPr>
                <w:rFonts w:eastAsia="仿宋"/>
                <w:b/>
                <w:sz w:val="28"/>
                <w:szCs w:val="28"/>
              </w:rPr>
            </w:pPr>
            <w:r>
              <w:rPr>
                <w:rFonts w:hint="eastAsia" w:eastAsia="仿宋"/>
                <w:b/>
                <w:sz w:val="28"/>
                <w:szCs w:val="28"/>
              </w:rPr>
              <w:t>整治要求</w:t>
            </w:r>
          </w:p>
        </w:tc>
        <w:tc>
          <w:tcPr>
            <w:tcW w:w="7938" w:type="dxa"/>
            <w:vAlign w:val="center"/>
          </w:tcPr>
          <w:p>
            <w:pPr>
              <w:snapToGrid w:val="0"/>
              <w:jc w:val="center"/>
              <w:rPr>
                <w:rFonts w:eastAsia="仿宋"/>
                <w:b/>
                <w:sz w:val="28"/>
                <w:szCs w:val="28"/>
              </w:rPr>
            </w:pPr>
            <w:r>
              <w:rPr>
                <w:rFonts w:hint="eastAsia" w:eastAsia="仿宋"/>
                <w:b/>
                <w:sz w:val="28"/>
                <w:szCs w:val="28"/>
              </w:rPr>
              <w:t>检查标准</w:t>
            </w:r>
          </w:p>
        </w:tc>
        <w:tc>
          <w:tcPr>
            <w:tcW w:w="3260" w:type="dxa"/>
            <w:vAlign w:val="center"/>
          </w:tcPr>
          <w:p>
            <w:pPr>
              <w:snapToGrid w:val="0"/>
              <w:jc w:val="center"/>
              <w:rPr>
                <w:rFonts w:eastAsia="仿宋"/>
                <w:b/>
                <w:sz w:val="28"/>
                <w:szCs w:val="28"/>
              </w:rPr>
            </w:pPr>
            <w:r>
              <w:rPr>
                <w:rFonts w:hint="eastAsia" w:eastAsia="仿宋"/>
                <w:b/>
                <w:sz w:val="28"/>
                <w:szCs w:val="28"/>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9" w:hRule="atLeast"/>
        </w:trPr>
        <w:tc>
          <w:tcPr>
            <w:tcW w:w="3403" w:type="dxa"/>
            <w:vAlign w:val="center"/>
          </w:tcPr>
          <w:p>
            <w:pPr>
              <w:spacing w:line="360" w:lineRule="exact"/>
              <w:rPr>
                <w:rFonts w:eastAsia="仿宋"/>
                <w:sz w:val="24"/>
              </w:rPr>
            </w:pPr>
            <w:r>
              <w:rPr>
                <w:rFonts w:eastAsia="仿宋"/>
                <w:sz w:val="24"/>
              </w:rPr>
              <w:t>1.</w:t>
            </w:r>
            <w:r>
              <w:rPr>
                <w:rFonts w:hint="eastAsia" w:eastAsia="仿宋"/>
                <w:sz w:val="24"/>
              </w:rPr>
              <w:t>商场市场、宾馆饭店、公共娱乐场所等公众聚集场所采用易燃可燃材料装修装饰的，必须拆除或者更换。</w:t>
            </w:r>
          </w:p>
        </w:tc>
        <w:tc>
          <w:tcPr>
            <w:tcW w:w="7938" w:type="dxa"/>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eastAsia="仿宋"/>
                <w:sz w:val="24"/>
              </w:rPr>
              <w:t>1.</w:t>
            </w:r>
            <w:r>
              <w:rPr>
                <w:rFonts w:hint="eastAsia" w:eastAsia="仿宋"/>
                <w:sz w:val="24"/>
              </w:rPr>
              <w:t>商场市场：</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hint="eastAsia" w:eastAsia="仿宋"/>
                <w:sz w:val="24"/>
              </w:rPr>
              <w:t>（</w:t>
            </w:r>
            <w:r>
              <w:rPr>
                <w:rFonts w:eastAsia="仿宋"/>
                <w:sz w:val="24"/>
              </w:rPr>
              <w:t>1</w:t>
            </w:r>
            <w:r>
              <w:rPr>
                <w:rFonts w:hint="eastAsia" w:eastAsia="仿宋"/>
                <w:sz w:val="24"/>
              </w:rPr>
              <w:t>）高层：顶棚应为燃烧性能为</w:t>
            </w:r>
            <w:r>
              <w:rPr>
                <w:rFonts w:eastAsia="仿宋"/>
                <w:sz w:val="24"/>
              </w:rPr>
              <w:t>A</w:t>
            </w:r>
            <w:r>
              <w:rPr>
                <w:rFonts w:hint="eastAsia" w:eastAsia="仿宋"/>
                <w:sz w:val="24"/>
              </w:rPr>
              <w:t>级（不燃）的装修材料，墙面、地面均应为不低于</w:t>
            </w:r>
            <w:r>
              <w:rPr>
                <w:rFonts w:eastAsia="仿宋"/>
                <w:sz w:val="24"/>
              </w:rPr>
              <w:t>B1</w:t>
            </w:r>
            <w:r>
              <w:rPr>
                <w:rFonts w:hint="eastAsia" w:eastAsia="仿宋"/>
                <w:sz w:val="24"/>
              </w:rPr>
              <w:t>级（难燃）的装修材料。同时设有自动灭火系统和火灾自动报警装置时，除顶棚外，其内部装修材料的燃烧性能等级可降低一级。</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hint="eastAsia" w:eastAsia="仿宋"/>
                <w:sz w:val="24"/>
              </w:rPr>
              <w:t>（</w:t>
            </w:r>
            <w:r>
              <w:rPr>
                <w:rFonts w:eastAsia="仿宋"/>
                <w:sz w:val="24"/>
              </w:rPr>
              <w:t>2</w:t>
            </w:r>
            <w:r>
              <w:rPr>
                <w:rFonts w:hint="eastAsia" w:eastAsia="仿宋"/>
                <w:sz w:val="24"/>
              </w:rPr>
              <w:t>）多层：顶棚应为燃烧性能为</w:t>
            </w:r>
            <w:r>
              <w:rPr>
                <w:rFonts w:eastAsia="仿宋"/>
                <w:sz w:val="24"/>
              </w:rPr>
              <w:t>A</w:t>
            </w:r>
            <w:r>
              <w:rPr>
                <w:rFonts w:hint="eastAsia" w:eastAsia="仿宋"/>
                <w:sz w:val="24"/>
              </w:rPr>
              <w:t>级的装修材料，墙面、地面均应为不低于</w:t>
            </w:r>
            <w:r>
              <w:rPr>
                <w:rFonts w:eastAsia="仿宋"/>
                <w:sz w:val="24"/>
              </w:rPr>
              <w:t>B1</w:t>
            </w:r>
            <w:r>
              <w:rPr>
                <w:rFonts w:hint="eastAsia" w:eastAsia="仿宋"/>
                <w:sz w:val="24"/>
              </w:rPr>
              <w:t>级的装修材料；设有自动灭火系统时，除顶棚外，其内部装修材料的燃烧性能等级可降低一级；同时设有自动灭火系统和火灾自动报警装置时，其内部装修材料的燃烧性能等级可降低一级。</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hint="eastAsia" w:eastAsia="仿宋"/>
                <w:sz w:val="24"/>
              </w:rPr>
              <w:t>（</w:t>
            </w:r>
            <w:r>
              <w:rPr>
                <w:rFonts w:eastAsia="仿宋"/>
                <w:sz w:val="24"/>
              </w:rPr>
              <w:t>3</w:t>
            </w:r>
            <w:r>
              <w:rPr>
                <w:rFonts w:hint="eastAsia" w:eastAsia="仿宋"/>
                <w:sz w:val="24"/>
              </w:rPr>
              <w:t>）地下：顶棚、墙面、地面均应为</w:t>
            </w:r>
            <w:r>
              <w:rPr>
                <w:rFonts w:eastAsia="仿宋"/>
                <w:sz w:val="24"/>
              </w:rPr>
              <w:t>A</w:t>
            </w:r>
            <w:r>
              <w:rPr>
                <w:rFonts w:hint="eastAsia" w:eastAsia="仿宋"/>
                <w:sz w:val="24"/>
              </w:rPr>
              <w:t>级的装修材料。</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eastAsia="仿宋"/>
                <w:sz w:val="24"/>
              </w:rPr>
              <w:t>2.</w:t>
            </w:r>
            <w:r>
              <w:rPr>
                <w:rFonts w:hint="eastAsia" w:eastAsia="仿宋"/>
                <w:sz w:val="24"/>
              </w:rPr>
              <w:t>宾馆饭店：</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hint="eastAsia" w:eastAsia="仿宋"/>
                <w:sz w:val="24"/>
              </w:rPr>
              <w:t>（</w:t>
            </w:r>
            <w:r>
              <w:rPr>
                <w:rFonts w:eastAsia="仿宋"/>
                <w:sz w:val="24"/>
              </w:rPr>
              <w:t>1</w:t>
            </w:r>
            <w:r>
              <w:rPr>
                <w:rFonts w:hint="eastAsia" w:eastAsia="仿宋"/>
                <w:sz w:val="24"/>
              </w:rPr>
              <w:t>）高层：顶棚应为燃烧性能为</w:t>
            </w:r>
            <w:r>
              <w:rPr>
                <w:rFonts w:eastAsia="仿宋"/>
                <w:sz w:val="24"/>
              </w:rPr>
              <w:t>A</w:t>
            </w:r>
            <w:r>
              <w:rPr>
                <w:rFonts w:hint="eastAsia" w:eastAsia="仿宋"/>
                <w:sz w:val="24"/>
              </w:rPr>
              <w:t>级的装修材料，墙面、地面均应为</w:t>
            </w:r>
            <w:r>
              <w:rPr>
                <w:rFonts w:hint="eastAsia" w:eastAsia="仿宋"/>
                <w:sz w:val="24"/>
                <w:szCs w:val="24"/>
              </w:rPr>
              <w:t>不低于</w:t>
            </w:r>
            <w:r>
              <w:rPr>
                <w:rFonts w:eastAsia="仿宋"/>
                <w:sz w:val="24"/>
                <w:szCs w:val="24"/>
              </w:rPr>
              <w:t>B1</w:t>
            </w:r>
            <w:r>
              <w:rPr>
                <w:rFonts w:hint="eastAsia" w:eastAsia="仿宋"/>
                <w:sz w:val="24"/>
                <w:szCs w:val="24"/>
              </w:rPr>
              <w:t>级</w:t>
            </w:r>
            <w:r>
              <w:rPr>
                <w:rFonts w:hint="eastAsia" w:eastAsia="仿宋"/>
                <w:sz w:val="24"/>
              </w:rPr>
              <w:t>的装修材料；同时设有自动灭火系统和火灾自动报警装置时，除顶棚外，其内部装修材料的燃烧性能等级可降低一级。</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hint="eastAsia" w:eastAsia="仿宋"/>
                <w:sz w:val="24"/>
              </w:rPr>
              <w:t>（</w:t>
            </w:r>
            <w:r>
              <w:rPr>
                <w:rFonts w:eastAsia="仿宋"/>
                <w:sz w:val="24"/>
              </w:rPr>
              <w:t>2</w:t>
            </w:r>
            <w:r>
              <w:rPr>
                <w:rFonts w:hint="eastAsia" w:eastAsia="仿宋"/>
                <w:sz w:val="24"/>
              </w:rPr>
              <w:t>）多层：墙面、顶棚均应为不低于</w:t>
            </w:r>
            <w:r>
              <w:rPr>
                <w:rFonts w:eastAsia="仿宋"/>
                <w:sz w:val="24"/>
              </w:rPr>
              <w:t>B1</w:t>
            </w:r>
            <w:r>
              <w:rPr>
                <w:rFonts w:hint="eastAsia" w:eastAsia="仿宋"/>
                <w:sz w:val="24"/>
              </w:rPr>
              <w:t>级的装修材料，地面可为</w:t>
            </w:r>
            <w:r>
              <w:rPr>
                <w:rFonts w:eastAsia="仿宋"/>
                <w:sz w:val="24"/>
              </w:rPr>
              <w:t>B2</w:t>
            </w:r>
            <w:r>
              <w:rPr>
                <w:rFonts w:hint="eastAsia" w:eastAsia="仿宋"/>
                <w:sz w:val="24"/>
              </w:rPr>
              <w:t>级（可燃）的装修材料；设置送回风道（管）的集中空气调节系统时，顶棚应为燃烧性能为</w:t>
            </w:r>
            <w:r>
              <w:rPr>
                <w:rFonts w:eastAsia="仿宋"/>
                <w:sz w:val="24"/>
              </w:rPr>
              <w:t>A</w:t>
            </w:r>
            <w:r>
              <w:rPr>
                <w:rFonts w:hint="eastAsia" w:eastAsia="仿宋"/>
                <w:sz w:val="24"/>
              </w:rPr>
              <w:t>级的装修材料，墙面、地面均应为不低于</w:t>
            </w:r>
            <w:r>
              <w:rPr>
                <w:rFonts w:eastAsia="仿宋"/>
                <w:sz w:val="24"/>
              </w:rPr>
              <w:t>B1</w:t>
            </w:r>
            <w:r>
              <w:rPr>
                <w:rFonts w:hint="eastAsia" w:eastAsia="仿宋"/>
                <w:sz w:val="24"/>
              </w:rPr>
              <w:t>级的装修材料；设有自动灭火系统时，除顶棚外，其内部装修材料的燃烧性能等级可降低一级；同时设有自动灭火系统和火灾自动报警装置时，其内部装修材料的燃烧性能等级可降低一级。</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hint="eastAsia" w:eastAsia="仿宋"/>
                <w:sz w:val="24"/>
              </w:rPr>
              <w:t>（</w:t>
            </w:r>
            <w:r>
              <w:rPr>
                <w:rFonts w:eastAsia="仿宋"/>
                <w:sz w:val="24"/>
              </w:rPr>
              <w:t>3</w:t>
            </w:r>
            <w:r>
              <w:rPr>
                <w:rFonts w:hint="eastAsia" w:eastAsia="仿宋"/>
                <w:sz w:val="24"/>
              </w:rPr>
              <w:t>）地下：顶棚应为燃烧性能为</w:t>
            </w:r>
            <w:r>
              <w:rPr>
                <w:rFonts w:eastAsia="仿宋"/>
                <w:sz w:val="24"/>
              </w:rPr>
              <w:t>A</w:t>
            </w:r>
            <w:r>
              <w:rPr>
                <w:rFonts w:hint="eastAsia" w:eastAsia="仿宋"/>
                <w:sz w:val="24"/>
              </w:rPr>
              <w:t>级的装修材料，墙面、地面均应为不低于</w:t>
            </w:r>
            <w:r>
              <w:rPr>
                <w:rFonts w:eastAsia="仿宋"/>
                <w:sz w:val="24"/>
              </w:rPr>
              <w:t>B1</w:t>
            </w:r>
            <w:r>
              <w:rPr>
                <w:rFonts w:hint="eastAsia" w:eastAsia="仿宋"/>
                <w:sz w:val="24"/>
              </w:rPr>
              <w:t>级的装修材料。</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eastAsia="仿宋"/>
                <w:sz w:val="24"/>
              </w:rPr>
              <w:t>3.</w:t>
            </w:r>
            <w:r>
              <w:rPr>
                <w:rFonts w:hint="eastAsia" w:eastAsia="仿宋"/>
                <w:sz w:val="24"/>
              </w:rPr>
              <w:t>公共娱乐场所：</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hint="eastAsia" w:eastAsia="仿宋"/>
                <w:sz w:val="24"/>
              </w:rPr>
              <w:t>（</w:t>
            </w:r>
            <w:r>
              <w:rPr>
                <w:rFonts w:eastAsia="仿宋"/>
                <w:sz w:val="24"/>
              </w:rPr>
              <w:t>1</w:t>
            </w:r>
            <w:r>
              <w:rPr>
                <w:rFonts w:hint="eastAsia" w:eastAsia="仿宋"/>
                <w:sz w:val="24"/>
              </w:rPr>
              <w:t>）高层：顶棚应为燃烧性能为</w:t>
            </w:r>
            <w:r>
              <w:rPr>
                <w:rFonts w:eastAsia="仿宋"/>
                <w:sz w:val="24"/>
              </w:rPr>
              <w:t>A</w:t>
            </w:r>
            <w:r>
              <w:rPr>
                <w:rFonts w:hint="eastAsia" w:eastAsia="仿宋"/>
                <w:sz w:val="24"/>
              </w:rPr>
              <w:t>级的装修材料，墙面、地面均应为不低于</w:t>
            </w:r>
            <w:r>
              <w:rPr>
                <w:rFonts w:eastAsia="仿宋"/>
                <w:sz w:val="24"/>
              </w:rPr>
              <w:t>B1</w:t>
            </w:r>
            <w:r>
              <w:rPr>
                <w:rFonts w:hint="eastAsia" w:eastAsia="仿宋"/>
                <w:sz w:val="24"/>
              </w:rPr>
              <w:t>级的装修材料。</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hint="eastAsia" w:eastAsia="仿宋"/>
                <w:sz w:val="24"/>
              </w:rPr>
              <w:t>（</w:t>
            </w:r>
            <w:r>
              <w:rPr>
                <w:rFonts w:eastAsia="仿宋"/>
                <w:sz w:val="24"/>
              </w:rPr>
              <w:t>2</w:t>
            </w:r>
            <w:r>
              <w:rPr>
                <w:rFonts w:hint="eastAsia" w:eastAsia="仿宋"/>
                <w:sz w:val="24"/>
              </w:rPr>
              <w:t>）多层：顶棚应为燃烧性能为</w:t>
            </w:r>
            <w:r>
              <w:rPr>
                <w:rFonts w:eastAsia="仿宋"/>
                <w:sz w:val="24"/>
              </w:rPr>
              <w:t>A</w:t>
            </w:r>
            <w:r>
              <w:rPr>
                <w:rFonts w:hint="eastAsia" w:eastAsia="仿宋"/>
                <w:sz w:val="24"/>
              </w:rPr>
              <w:t>级的装修材料，墙面、地面均应为不低于</w:t>
            </w:r>
            <w:r>
              <w:rPr>
                <w:rFonts w:eastAsia="仿宋"/>
                <w:sz w:val="24"/>
              </w:rPr>
              <w:t>B1</w:t>
            </w:r>
            <w:r>
              <w:rPr>
                <w:rFonts w:hint="eastAsia" w:eastAsia="仿宋"/>
                <w:sz w:val="24"/>
              </w:rPr>
              <w:t>级的装修材料。</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hint="eastAsia" w:eastAsia="仿宋"/>
                <w:sz w:val="24"/>
              </w:rPr>
              <w:t>（</w:t>
            </w:r>
            <w:r>
              <w:rPr>
                <w:rFonts w:eastAsia="仿宋"/>
                <w:sz w:val="24"/>
              </w:rPr>
              <w:t>3</w:t>
            </w:r>
            <w:r>
              <w:rPr>
                <w:rFonts w:hint="eastAsia" w:eastAsia="仿宋"/>
                <w:sz w:val="24"/>
              </w:rPr>
              <w:t>）地下：顶棚、墙面应为燃烧性能为</w:t>
            </w:r>
            <w:r>
              <w:rPr>
                <w:rFonts w:eastAsia="仿宋"/>
                <w:sz w:val="24"/>
              </w:rPr>
              <w:t>A</w:t>
            </w:r>
            <w:r>
              <w:rPr>
                <w:rFonts w:hint="eastAsia" w:eastAsia="仿宋"/>
                <w:sz w:val="24"/>
              </w:rPr>
              <w:t>级的装修材料，地面均应为不低于</w:t>
            </w:r>
            <w:r>
              <w:rPr>
                <w:rFonts w:eastAsia="仿宋"/>
                <w:sz w:val="24"/>
              </w:rPr>
              <w:t>B1</w:t>
            </w:r>
            <w:r>
              <w:rPr>
                <w:rFonts w:hint="eastAsia" w:eastAsia="仿宋"/>
                <w:sz w:val="24"/>
              </w:rPr>
              <w:t>级的装修材料。</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eastAsia="仿宋"/>
                <w:sz w:val="24"/>
              </w:rPr>
              <w:t>4.</w:t>
            </w:r>
            <w:r>
              <w:rPr>
                <w:rFonts w:hint="eastAsia" w:eastAsia="仿宋"/>
                <w:sz w:val="24"/>
              </w:rPr>
              <w:t>疏散楼梯间和前室、消防水泵房、配电室、通风和空调机房的顶棚、墙面和地面均应采用不燃材料装修。</w:t>
            </w:r>
          </w:p>
        </w:tc>
        <w:tc>
          <w:tcPr>
            <w:tcW w:w="3260"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eastAsia="仿宋"/>
                <w:sz w:val="24"/>
              </w:rPr>
            </w:pPr>
            <w:r>
              <w:rPr>
                <w:rFonts w:eastAsia="仿宋"/>
                <w:sz w:val="24"/>
              </w:rPr>
              <w:t>1.</w:t>
            </w:r>
            <w:r>
              <w:rPr>
                <w:rFonts w:hint="eastAsia" w:eastAsia="仿宋"/>
                <w:sz w:val="24"/>
              </w:rPr>
              <w:t>查阅装修工程档案。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eastAsia="仿宋"/>
                <w:sz w:val="24"/>
              </w:rPr>
            </w:pPr>
            <w:r>
              <w:rPr>
                <w:rFonts w:eastAsia="仿宋"/>
                <w:sz w:val="24"/>
              </w:rPr>
              <w:t>2.</w:t>
            </w:r>
            <w:r>
              <w:rPr>
                <w:rFonts w:hint="eastAsia" w:eastAsia="仿宋"/>
                <w:sz w:val="24"/>
              </w:rPr>
              <w:t>现场查看时，可取样使用打火机燃烧测试（点火斜向</w:t>
            </w:r>
            <w:r>
              <w:rPr>
                <w:rFonts w:eastAsia="仿宋"/>
                <w:sz w:val="24"/>
              </w:rPr>
              <w:t>45</w:t>
            </w:r>
            <w:r>
              <w:rPr>
                <w:rFonts w:hint="eastAsia" w:eastAsia="仿宋"/>
                <w:sz w:val="24"/>
              </w:rPr>
              <w:t>度，火焰高度不超过</w:t>
            </w:r>
            <w:r>
              <w:rPr>
                <w:rFonts w:eastAsia="仿宋"/>
                <w:sz w:val="24"/>
              </w:rPr>
              <w:t>2cm</w:t>
            </w:r>
            <w:r>
              <w:rPr>
                <w:rFonts w:hint="eastAsia" w:eastAsia="仿宋"/>
                <w:sz w:val="24"/>
              </w:rPr>
              <w:t>，底边点火</w:t>
            </w:r>
            <w:r>
              <w:rPr>
                <w:rFonts w:eastAsia="仿宋"/>
                <w:sz w:val="24"/>
              </w:rPr>
              <w:t>15-30</w:t>
            </w:r>
            <w:r>
              <w:rPr>
                <w:rFonts w:hint="eastAsia" w:eastAsia="仿宋"/>
                <w:sz w:val="24"/>
              </w:rPr>
              <w:t>秒），如打火机火焰离开</w:t>
            </w:r>
            <w:r>
              <w:rPr>
                <w:rFonts w:hint="eastAsia" w:eastAsia="仿宋"/>
                <w:sz w:val="24"/>
                <w:szCs w:val="24"/>
              </w:rPr>
              <w:t>燃烧物</w:t>
            </w:r>
            <w:r>
              <w:rPr>
                <w:rFonts w:hint="eastAsia" w:eastAsia="仿宋"/>
                <w:sz w:val="24"/>
              </w:rPr>
              <w:t>，该</w:t>
            </w:r>
            <w:r>
              <w:rPr>
                <w:rFonts w:hint="eastAsia" w:eastAsia="仿宋"/>
                <w:sz w:val="24"/>
                <w:szCs w:val="24"/>
              </w:rPr>
              <w:t>燃烧物</w:t>
            </w:r>
            <w:r>
              <w:rPr>
                <w:rFonts w:hint="eastAsia" w:eastAsia="仿宋"/>
                <w:sz w:val="24"/>
              </w:rPr>
              <w:t>可持续燃烧，可初步判断为易燃可燃材料。</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eastAsia="仿宋"/>
                <w:sz w:val="24"/>
              </w:rPr>
            </w:pPr>
            <w:r>
              <w:rPr>
                <w:rFonts w:eastAsia="仿宋"/>
                <w:sz w:val="24"/>
              </w:rPr>
              <w:t>3.</w:t>
            </w:r>
            <w:r>
              <w:rPr>
                <w:rFonts w:hint="eastAsia" w:eastAsia="仿宋"/>
                <w:sz w:val="24"/>
              </w:rPr>
              <w:t>无法确定外保温材料燃烧性能时，可取样送至专门机构检测。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trPr>
        <w:tc>
          <w:tcPr>
            <w:tcW w:w="340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2.</w:t>
            </w:r>
            <w:r>
              <w:rPr>
                <w:rFonts w:hint="eastAsia" w:eastAsia="仿宋"/>
                <w:sz w:val="24"/>
              </w:rPr>
              <w:t>幼儿园、养老院、医院、员工宿舍等人员密集场所，施工工地办公、住宿等临时用房采用易燃可燃材料为芯材的彩钢板搭建的，必须拆除或者更换。</w:t>
            </w:r>
          </w:p>
        </w:tc>
        <w:tc>
          <w:tcPr>
            <w:tcW w:w="7938" w:type="dxa"/>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eastAsia="仿宋"/>
                <w:sz w:val="24"/>
              </w:rPr>
              <w:t>1.</w:t>
            </w:r>
            <w:r>
              <w:rPr>
                <w:rFonts w:hint="eastAsia" w:eastAsia="仿宋"/>
                <w:sz w:val="24"/>
              </w:rPr>
              <w:t>人员密集场所严禁使用芯材为可燃材料的彩钢板搭建功能用房。</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eastAsia="仿宋"/>
                <w:sz w:val="24"/>
              </w:rPr>
              <w:t>2.</w:t>
            </w:r>
            <w:r>
              <w:rPr>
                <w:rFonts w:hint="eastAsia" w:eastAsia="仿宋"/>
                <w:sz w:val="24"/>
              </w:rPr>
              <w:t>功能用房内的隔断材料严禁使用芯材为可燃材料的彩钢板。</w:t>
            </w:r>
          </w:p>
        </w:tc>
        <w:tc>
          <w:tcPr>
            <w:tcW w:w="3260"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eastAsia="仿宋"/>
                <w:sz w:val="24"/>
              </w:rPr>
            </w:pPr>
            <w:r>
              <w:rPr>
                <w:rFonts w:eastAsia="仿宋"/>
                <w:sz w:val="24"/>
              </w:rPr>
              <w:t>1.</w:t>
            </w:r>
            <w:r>
              <w:rPr>
                <w:rFonts w:hint="eastAsia" w:eastAsia="仿宋"/>
                <w:sz w:val="24"/>
              </w:rPr>
              <w:t>查阅内装修工程档案。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eastAsia="仿宋"/>
                <w:sz w:val="24"/>
              </w:rPr>
            </w:pPr>
            <w:r>
              <w:rPr>
                <w:rFonts w:eastAsia="仿宋"/>
                <w:sz w:val="24"/>
              </w:rPr>
              <w:t>2.</w:t>
            </w:r>
            <w:r>
              <w:rPr>
                <w:rFonts w:hint="eastAsia" w:eastAsia="仿宋"/>
                <w:sz w:val="24"/>
              </w:rPr>
              <w:t>可采用现场取样燃烧的方法初步测试装修材料的燃烧性能。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9" w:hRule="atLeast"/>
        </w:trPr>
        <w:tc>
          <w:tcPr>
            <w:tcW w:w="3403"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eastAsia="仿宋"/>
                <w:sz w:val="24"/>
              </w:rPr>
            </w:pPr>
            <w:r>
              <w:rPr>
                <w:rFonts w:eastAsia="仿宋"/>
                <w:sz w:val="24"/>
              </w:rPr>
              <w:t>3.</w:t>
            </w:r>
            <w:r>
              <w:rPr>
                <w:rFonts w:hint="eastAsia" w:eastAsia="仿宋"/>
                <w:sz w:val="24"/>
              </w:rPr>
              <w:t>现有高层建筑、商住楼等场所使用聚氨酯泡沫、聚苯乙烯等易燃可燃材料作外墙外保温系统的，严禁在周边安全距离内燃放烟花爆竹，违规动火作业；确需动火动焊施工的，必须严格落实现场监护和防范措施。</w:t>
            </w:r>
          </w:p>
        </w:tc>
        <w:tc>
          <w:tcPr>
            <w:tcW w:w="7938" w:type="dxa"/>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eastAsia="仿宋"/>
                <w:sz w:val="24"/>
              </w:rPr>
              <w:t>1.</w:t>
            </w:r>
            <w:r>
              <w:rPr>
                <w:rFonts w:hint="eastAsia" w:eastAsia="仿宋"/>
                <w:sz w:val="24"/>
              </w:rPr>
              <w:t>建筑外墙应悬挂警示提示标志牌，标志牌应包含保温材料性质、周边严禁燃放烟花爆竹、外墙材质和形式（如：水泥、铝板）等内容。</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eastAsia="仿宋"/>
                <w:sz w:val="24"/>
              </w:rPr>
              <w:t>2.</w:t>
            </w:r>
            <w:r>
              <w:rPr>
                <w:rFonts w:hint="eastAsia" w:eastAsia="仿宋"/>
                <w:sz w:val="24"/>
              </w:rPr>
              <w:t>建筑外墙不应有脱落、空隙等现象，保温材料不应裸露。</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eastAsia="仿宋"/>
                <w:sz w:val="24"/>
              </w:rPr>
              <w:t>3.</w:t>
            </w:r>
            <w:r>
              <w:rPr>
                <w:rFonts w:hint="eastAsia" w:eastAsia="仿宋"/>
                <w:sz w:val="24"/>
              </w:rPr>
              <w:t>涉及外墙动火作业的，应开具动火证，明确动火的时间和范围，动火时配备动火监护人、灭火器材。确需在裸露保温层上直接进行电气焊接或其他明火作业的，应在电焊部位周围采用覆盖灭火毯等防火保护措施。</w:t>
            </w:r>
          </w:p>
        </w:tc>
        <w:tc>
          <w:tcPr>
            <w:tcW w:w="3260"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eastAsia="仿宋"/>
                <w:sz w:val="24"/>
              </w:rPr>
            </w:pPr>
            <w:r>
              <w:rPr>
                <w:rFonts w:eastAsia="仿宋"/>
                <w:sz w:val="24"/>
              </w:rPr>
              <w:t>1.</w:t>
            </w:r>
            <w:r>
              <w:rPr>
                <w:rFonts w:hint="eastAsia" w:eastAsia="仿宋"/>
                <w:sz w:val="24"/>
              </w:rPr>
              <w:t>查阅建筑施工档案，确定施工时所使用的外保温材料的材质和形式。</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eastAsia="仿宋"/>
                <w:sz w:val="24"/>
              </w:rPr>
            </w:pPr>
            <w:r>
              <w:rPr>
                <w:rFonts w:eastAsia="仿宋"/>
                <w:sz w:val="24"/>
              </w:rPr>
              <w:t>2.</w:t>
            </w:r>
            <w:r>
              <w:rPr>
                <w:rFonts w:hint="eastAsia" w:eastAsia="仿宋"/>
                <w:sz w:val="24"/>
              </w:rPr>
              <w:t>无法确定外保温材料燃烧性能时，可取样送至专门机构检测。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trPr>
        <w:tc>
          <w:tcPr>
            <w:tcW w:w="340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4.</w:t>
            </w:r>
            <w:r>
              <w:rPr>
                <w:rFonts w:hint="eastAsia" w:eastAsia="仿宋"/>
                <w:sz w:val="24"/>
              </w:rPr>
              <w:t>电气线路穿越或者敷设在易燃可燃装修装饰材料中的，必须采取穿管保护等防火措施；开关、插座等电器配件周围必须采取不燃隔热材料进行防火隔离。</w:t>
            </w:r>
          </w:p>
        </w:tc>
        <w:tc>
          <w:tcPr>
            <w:tcW w:w="7938" w:type="dxa"/>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eastAsia="仿宋"/>
                <w:sz w:val="24"/>
              </w:rPr>
              <w:t>1.</w:t>
            </w:r>
            <w:r>
              <w:rPr>
                <w:rFonts w:hint="eastAsia" w:eastAsia="仿宋"/>
                <w:sz w:val="24"/>
              </w:rPr>
              <w:t>建筑内部的配电箱、插座等不应直接安装在易燃可燃的装修材料上。</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eastAsia="仿宋"/>
                <w:sz w:val="24"/>
              </w:rPr>
              <w:t>2.</w:t>
            </w:r>
            <w:r>
              <w:rPr>
                <w:rFonts w:hint="eastAsia" w:eastAsia="仿宋"/>
                <w:sz w:val="24"/>
              </w:rPr>
              <w:t>电气线路敷设在有可燃物的闷顶、吊顶内时，应采取穿金属导管或采用封闭式金属槽盒等防火保护措施。</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eastAsia="仿宋"/>
                <w:sz w:val="24"/>
              </w:rPr>
              <w:t>3.</w:t>
            </w:r>
            <w:r>
              <w:rPr>
                <w:rFonts w:hint="eastAsia" w:eastAsia="仿宋"/>
                <w:sz w:val="24"/>
              </w:rPr>
              <w:t>电气线路穿越具有聚氨酯材料的保温层时，应采取穿金属导管等防火保护措施。</w:t>
            </w:r>
          </w:p>
        </w:tc>
        <w:tc>
          <w:tcPr>
            <w:tcW w:w="326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查阅装修档案，确定配电箱、控制面板、接线盒、开关、插座等部位的装修材料性能。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2.</w:t>
            </w:r>
            <w:r>
              <w:rPr>
                <w:rFonts w:hint="eastAsia" w:eastAsia="仿宋"/>
                <w:sz w:val="24"/>
              </w:rPr>
              <w:t>通过设备检修口查看吊顶内的电气线路是否按规定穿管保护。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3" w:type="dxa"/>
            <w:vAlign w:val="center"/>
          </w:tcPr>
          <w:p>
            <w:pPr>
              <w:spacing w:line="360" w:lineRule="exact"/>
              <w:rPr>
                <w:rFonts w:eastAsia="仿宋"/>
                <w:sz w:val="24"/>
              </w:rPr>
            </w:pPr>
            <w:r>
              <w:rPr>
                <w:rFonts w:eastAsia="仿宋"/>
                <w:sz w:val="24"/>
              </w:rPr>
              <w:t>5.</w:t>
            </w:r>
            <w:r>
              <w:rPr>
                <w:rFonts w:hint="eastAsia" w:eastAsia="仿宋"/>
                <w:sz w:val="24"/>
              </w:rPr>
              <w:t>大型活动现场布展使用大量易燃可燃装饰材料的，必须拆除或者更换。</w:t>
            </w:r>
          </w:p>
        </w:tc>
        <w:tc>
          <w:tcPr>
            <w:tcW w:w="7938" w:type="dxa"/>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eastAsia="仿宋"/>
                <w:sz w:val="24"/>
              </w:rPr>
              <w:t>1.</w:t>
            </w:r>
            <w:r>
              <w:rPr>
                <w:rFonts w:hint="eastAsia" w:eastAsia="仿宋"/>
                <w:sz w:val="24"/>
              </w:rPr>
              <w:t>展台材料、地面应采用不低于</w:t>
            </w:r>
            <w:r>
              <w:rPr>
                <w:rFonts w:eastAsia="仿宋"/>
                <w:sz w:val="24"/>
              </w:rPr>
              <w:t>B1</w:t>
            </w:r>
            <w:r>
              <w:rPr>
                <w:rFonts w:hint="eastAsia" w:eastAsia="仿宋"/>
                <w:sz w:val="24"/>
              </w:rPr>
              <w:t>级的装修材料。</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eastAsia="仿宋"/>
                <w:sz w:val="24"/>
              </w:rPr>
              <w:t>2.</w:t>
            </w:r>
            <w:r>
              <w:rPr>
                <w:rFonts w:hint="eastAsia" w:eastAsia="仿宋"/>
                <w:sz w:val="24"/>
              </w:rPr>
              <w:t>展台与卤钨灯等高温照明灯具贴邻部位的材料应采用</w:t>
            </w:r>
            <w:r>
              <w:rPr>
                <w:rFonts w:eastAsia="仿宋"/>
                <w:sz w:val="24"/>
              </w:rPr>
              <w:t>A</w:t>
            </w:r>
            <w:r>
              <w:rPr>
                <w:rFonts w:hint="eastAsia" w:eastAsia="仿宋"/>
                <w:sz w:val="24"/>
              </w:rPr>
              <w:t>级装修材料。</w:t>
            </w: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eastAsia="仿宋"/>
                <w:sz w:val="24"/>
              </w:rPr>
            </w:pPr>
            <w:r>
              <w:rPr>
                <w:rFonts w:eastAsia="仿宋"/>
                <w:sz w:val="24"/>
              </w:rPr>
              <w:t>3.</w:t>
            </w:r>
            <w:r>
              <w:rPr>
                <w:rFonts w:hint="eastAsia" w:eastAsia="仿宋"/>
                <w:sz w:val="24"/>
              </w:rPr>
              <w:t>在展厅设置电加热设备的餐饮操作区内，与电加热设备贴邻的墙面、操作台均应采用不燃装修材料。</w:t>
            </w:r>
          </w:p>
        </w:tc>
        <w:tc>
          <w:tcPr>
            <w:tcW w:w="326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查阅装修工程档案。</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2.</w:t>
            </w:r>
            <w:r>
              <w:rPr>
                <w:rFonts w:hint="eastAsia" w:eastAsia="仿宋"/>
                <w:sz w:val="24"/>
              </w:rPr>
              <w:t>可采用现场取样燃烧的方法初步测试装修材料的燃烧性能。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3.</w:t>
            </w:r>
            <w:r>
              <w:rPr>
                <w:rFonts w:hint="eastAsia" w:eastAsia="仿宋"/>
                <w:sz w:val="24"/>
              </w:rPr>
              <w:t>现场检查均无法判断是否为难燃材料时，可取样送至专门机构检测。</w:t>
            </w:r>
          </w:p>
        </w:tc>
      </w:tr>
    </w:tbl>
    <w:p>
      <w:pPr>
        <w:adjustRightInd w:val="0"/>
        <w:spacing w:line="560" w:lineRule="exact"/>
        <w:ind w:firstLine="560" w:firstLineChars="200"/>
        <w:jc w:val="left"/>
        <w:rPr>
          <w:rFonts w:ascii="黑体" w:hAnsi="黑体" w:eastAsia="黑体"/>
        </w:rPr>
      </w:pPr>
      <w:r>
        <w:rPr>
          <w:rFonts w:eastAsia="仿宋"/>
          <w:sz w:val="28"/>
          <w:szCs w:val="28"/>
        </w:rPr>
        <w:br w:type="page"/>
      </w:r>
      <w:r>
        <w:rPr>
          <w:rFonts w:hint="eastAsia" w:ascii="黑体" w:hAnsi="黑体" w:eastAsia="黑体"/>
        </w:rPr>
        <w:t>（二）防火分隔不到位排查方法、标准及措施</w:t>
      </w:r>
    </w:p>
    <w:tbl>
      <w:tblPr>
        <w:tblStyle w:val="6"/>
        <w:tblW w:w="1460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9"/>
        <w:gridCol w:w="8407"/>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3429" w:type="dxa"/>
            <w:vAlign w:val="center"/>
          </w:tcPr>
          <w:p>
            <w:pPr>
              <w:snapToGrid w:val="0"/>
              <w:jc w:val="center"/>
              <w:rPr>
                <w:rFonts w:eastAsia="仿宋"/>
                <w:b/>
                <w:sz w:val="28"/>
                <w:szCs w:val="28"/>
              </w:rPr>
            </w:pPr>
            <w:r>
              <w:rPr>
                <w:rFonts w:hint="eastAsia" w:eastAsia="仿宋"/>
                <w:b/>
                <w:sz w:val="28"/>
                <w:szCs w:val="28"/>
              </w:rPr>
              <w:t>整治要求</w:t>
            </w:r>
          </w:p>
        </w:tc>
        <w:tc>
          <w:tcPr>
            <w:tcW w:w="8407" w:type="dxa"/>
            <w:vAlign w:val="center"/>
          </w:tcPr>
          <w:p>
            <w:pPr>
              <w:snapToGrid w:val="0"/>
              <w:jc w:val="center"/>
              <w:rPr>
                <w:rFonts w:eastAsia="仿宋"/>
                <w:b/>
                <w:sz w:val="28"/>
                <w:szCs w:val="28"/>
              </w:rPr>
            </w:pPr>
            <w:r>
              <w:rPr>
                <w:rFonts w:hint="eastAsia" w:eastAsia="仿宋"/>
                <w:b/>
                <w:sz w:val="28"/>
                <w:szCs w:val="28"/>
              </w:rPr>
              <w:t>检查标准</w:t>
            </w:r>
          </w:p>
        </w:tc>
        <w:tc>
          <w:tcPr>
            <w:tcW w:w="2764" w:type="dxa"/>
            <w:vAlign w:val="center"/>
          </w:tcPr>
          <w:p>
            <w:pPr>
              <w:snapToGrid w:val="0"/>
              <w:jc w:val="center"/>
              <w:rPr>
                <w:rFonts w:eastAsia="仿宋"/>
                <w:b/>
                <w:sz w:val="28"/>
                <w:szCs w:val="28"/>
              </w:rPr>
            </w:pPr>
            <w:r>
              <w:rPr>
                <w:rFonts w:hint="eastAsia" w:eastAsia="仿宋"/>
                <w:b/>
                <w:sz w:val="28"/>
                <w:szCs w:val="28"/>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trPr>
        <w:tc>
          <w:tcPr>
            <w:tcW w:w="342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建筑地下与地上部分防火分隔设置不到位或者共用疏散楼梯间且未分隔的，必须用防火隔墙或者防火门将地下和地上部分完全分隔。</w:t>
            </w:r>
          </w:p>
        </w:tc>
        <w:tc>
          <w:tcPr>
            <w:tcW w:w="840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建筑的地下或半地下部分与地上部分应在首层采用实体墙和乙级防火门将地下室或半地下部分与地上部分的连通部位完全分隔，并设置明显的标志。</w:t>
            </w:r>
          </w:p>
        </w:tc>
        <w:tc>
          <w:tcPr>
            <w:tcW w:w="276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现场检查楼梯间在地下层与地上层连接处是否进行有效防火分隔，防火隔墙是否分隔到位，门是否为乙级防火门且保持完好有效。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9" w:hRule="atLeast"/>
        </w:trPr>
        <w:tc>
          <w:tcPr>
            <w:tcW w:w="342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2.</w:t>
            </w:r>
            <w:r>
              <w:rPr>
                <w:rFonts w:hint="eastAsia" w:eastAsia="仿宋"/>
                <w:sz w:val="24"/>
              </w:rPr>
              <w:t>建筑住宅与非住宅部分防火分隔设置不到位的，必须用防火隔墙或者防火门完全分隔。</w:t>
            </w:r>
          </w:p>
        </w:tc>
        <w:tc>
          <w:tcPr>
            <w:tcW w:w="840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底层为商业性质的住宅建筑、商住建筑，商铺与住宅建筑消防安全疏散应分开独立设置。</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2.</w:t>
            </w:r>
            <w:r>
              <w:rPr>
                <w:rFonts w:hint="eastAsia" w:eastAsia="仿宋"/>
                <w:sz w:val="24"/>
              </w:rPr>
              <w:t>裙房为商业性质的住宅建筑、商住建筑，裙房与住宅主楼消防安全疏散应分开独立设置。</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3.</w:t>
            </w:r>
            <w:r>
              <w:rPr>
                <w:rFonts w:hint="eastAsia" w:eastAsia="仿宋"/>
                <w:sz w:val="24"/>
              </w:rPr>
              <w:t>汽车库、非机动车库与住宅建筑、商住建筑应采用防火墙和防火门分隔。</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4.</w:t>
            </w:r>
            <w:r>
              <w:rPr>
                <w:rFonts w:hint="eastAsia" w:eastAsia="仿宋"/>
                <w:sz w:val="24"/>
              </w:rPr>
              <w:t>对于</w:t>
            </w:r>
            <w:r>
              <w:rPr>
                <w:rFonts w:eastAsia="仿宋"/>
                <w:sz w:val="24"/>
              </w:rPr>
              <w:t>“</w:t>
            </w:r>
            <w:r>
              <w:rPr>
                <w:rFonts w:hint="eastAsia" w:eastAsia="仿宋"/>
                <w:sz w:val="24"/>
              </w:rPr>
              <w:t>三合一</w:t>
            </w:r>
            <w:r>
              <w:rPr>
                <w:rFonts w:eastAsia="仿宋"/>
                <w:sz w:val="24"/>
              </w:rPr>
              <w:t>”</w:t>
            </w:r>
            <w:r>
              <w:rPr>
                <w:rFonts w:hint="eastAsia" w:eastAsia="仿宋"/>
                <w:sz w:val="24"/>
              </w:rPr>
              <w:t>场所，应立即清退住宿人员。</w:t>
            </w:r>
          </w:p>
        </w:tc>
        <w:tc>
          <w:tcPr>
            <w:tcW w:w="276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现场查看分隔情况，防火隔墙是否存在门、窗、洞口，是否分隔完全。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8" w:hRule="atLeast"/>
        </w:trPr>
        <w:tc>
          <w:tcPr>
            <w:tcW w:w="342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3.</w:t>
            </w:r>
            <w:r>
              <w:rPr>
                <w:rFonts w:hint="eastAsia" w:eastAsia="仿宋"/>
                <w:sz w:val="24"/>
              </w:rPr>
              <w:t>防火隔墙、防火卷帘、防火门、防火窗等防火分隔设施损坏的，必须及时修复或者更换。</w:t>
            </w:r>
          </w:p>
        </w:tc>
        <w:tc>
          <w:tcPr>
            <w:tcW w:w="840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防火隔墙：防火隔墙上不得随意开设洞口，有管道穿越的区域应封堵到位，不应有孔洞、缝隙。</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2.</w:t>
            </w:r>
            <w:r>
              <w:rPr>
                <w:rFonts w:hint="eastAsia" w:eastAsia="仿宋"/>
                <w:sz w:val="24"/>
              </w:rPr>
              <w:t>疏散走道两侧隔墙应从楼地面基层隔断至梁、楼板或屋面板的底面基层。</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3.</w:t>
            </w:r>
            <w:r>
              <w:rPr>
                <w:rFonts w:hint="eastAsia" w:eastAsia="仿宋"/>
                <w:sz w:val="24"/>
              </w:rPr>
              <w:t>防火卷帘：应通过手动、自动的方式测试防火卷帘是否按原设计的逻辑关系动作。</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4.</w:t>
            </w:r>
            <w:r>
              <w:rPr>
                <w:rFonts w:hint="eastAsia" w:eastAsia="仿宋"/>
                <w:sz w:val="24"/>
              </w:rPr>
              <w:t>防火门：常闭式防火门不应处于开启状态；常开式防火门不应用插销将门扇固定在开启位置。防火门的闭门器、顺序器等组件应齐全完好。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5.</w:t>
            </w:r>
            <w:r>
              <w:rPr>
                <w:rFonts w:hint="eastAsia" w:eastAsia="仿宋"/>
                <w:sz w:val="24"/>
              </w:rPr>
              <w:t>防火窗：其外观应完好无损、安装牢固；手动启动活动式防火窗的窗扇启闭控制装置，窗扇应能灵活开启，并完全关闭；有密封要求的防火窗窗框密封槽内镶嵌的防火密封件应牢固、完好。</w:t>
            </w:r>
          </w:p>
        </w:tc>
        <w:tc>
          <w:tcPr>
            <w:tcW w:w="276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对建筑内防火隔墙、防火卷帘、防火门、防火窗进行逐个排查，对照标准查看损坏情况。可通过吊顶检修口查看防火隔墙分隔情况。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2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4.</w:t>
            </w:r>
            <w:r>
              <w:rPr>
                <w:rFonts w:hint="eastAsia" w:eastAsia="仿宋"/>
                <w:sz w:val="24"/>
              </w:rPr>
              <w:t>楼梯间、前室常闭式防火门敞开的，必须立即关闭并保持常闭状态；防火门闭门器、顺序器损坏导致防火门不能自行关闭的，必须及时修复。</w:t>
            </w:r>
          </w:p>
        </w:tc>
        <w:tc>
          <w:tcPr>
            <w:tcW w:w="840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防火门应具有自行关闭功能，双扇防火门用具有顺序自行关闭的功能。防火门关闭后应具有防烟性能。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2.</w:t>
            </w:r>
            <w:r>
              <w:rPr>
                <w:rFonts w:hint="eastAsia" w:eastAsia="仿宋"/>
                <w:sz w:val="24"/>
              </w:rPr>
              <w:t>防火门标识应醒目，开启方向上无影响开启的障碍物；常闭式防火门使用插销、门吸等物件不应处于开启状态；常开式防火门不应用插销将门扇固定在开启位置。防火门的闭门器、顺序器等组件应齐全完好。</w:t>
            </w:r>
          </w:p>
        </w:tc>
        <w:tc>
          <w:tcPr>
            <w:tcW w:w="276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逐个检查楼梯间、前室的防火门，对照标准查看防火门情况。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5.</w:t>
            </w:r>
            <w:r>
              <w:rPr>
                <w:rFonts w:hint="eastAsia" w:eastAsia="仿宋"/>
                <w:sz w:val="24"/>
              </w:rPr>
              <w:t>管道穿越墙体处的孔洞、缝隙，竖向管道井与房间、吊顶相连通的孔洞，楼层楼板的缝隙防火分隔不严密的，必须用防火材料填充或者封堵。</w:t>
            </w:r>
          </w:p>
        </w:tc>
        <w:tc>
          <w:tcPr>
            <w:tcW w:w="8407"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建筑内的电缆井、管道井应在每层楼板处采用不低于楼板耐火极限的不燃材料或防火封堵材料封堵。</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2.</w:t>
            </w:r>
            <w:r>
              <w:rPr>
                <w:rFonts w:hint="eastAsia" w:eastAsia="仿宋"/>
                <w:sz w:val="24"/>
              </w:rPr>
              <w:t>建筑内的电缆井、管道井与房间、走道等相连通的孔隙应采用防火封堵材料封堵。</w:t>
            </w:r>
          </w:p>
        </w:tc>
        <w:tc>
          <w:tcPr>
            <w:tcW w:w="276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现场检查电缆井、管道井封堵是否到位，如存在间隙则封堵不严密。</w:t>
            </w:r>
          </w:p>
        </w:tc>
      </w:tr>
    </w:tbl>
    <w:p>
      <w:pPr>
        <w:adjustRightInd w:val="0"/>
        <w:spacing w:line="560" w:lineRule="exact"/>
        <w:ind w:firstLine="640" w:firstLineChars="200"/>
        <w:jc w:val="left"/>
        <w:rPr>
          <w:rFonts w:ascii="黑体" w:hAnsi="黑体" w:eastAsia="黑体"/>
        </w:rPr>
      </w:pPr>
      <w:r>
        <w:rPr>
          <w:rFonts w:eastAsia="仿宋"/>
        </w:rPr>
        <w:br w:type="page"/>
      </w:r>
      <w:r>
        <w:rPr>
          <w:rFonts w:hint="eastAsia" w:ascii="黑体" w:hAnsi="黑体" w:eastAsia="黑体"/>
        </w:rPr>
        <w:t>（三）疏散通道不畅通整治要求、检查标准和方法</w:t>
      </w:r>
    </w:p>
    <w:tbl>
      <w:tblPr>
        <w:tblStyle w:val="6"/>
        <w:tblW w:w="14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9"/>
        <w:gridCol w:w="5706"/>
        <w:gridCol w:w="4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9" w:type="dxa"/>
            <w:vAlign w:val="center"/>
          </w:tcPr>
          <w:p>
            <w:pPr>
              <w:snapToGrid w:val="0"/>
              <w:jc w:val="center"/>
              <w:rPr>
                <w:rFonts w:eastAsia="仿宋"/>
                <w:b/>
                <w:sz w:val="28"/>
                <w:szCs w:val="28"/>
              </w:rPr>
            </w:pPr>
            <w:r>
              <w:rPr>
                <w:rFonts w:hint="eastAsia" w:eastAsia="仿宋"/>
                <w:b/>
                <w:sz w:val="28"/>
                <w:szCs w:val="28"/>
              </w:rPr>
              <w:t>整治要求</w:t>
            </w:r>
          </w:p>
        </w:tc>
        <w:tc>
          <w:tcPr>
            <w:tcW w:w="5706" w:type="dxa"/>
            <w:vAlign w:val="center"/>
          </w:tcPr>
          <w:p>
            <w:pPr>
              <w:snapToGrid w:val="0"/>
              <w:jc w:val="center"/>
              <w:rPr>
                <w:rFonts w:eastAsia="仿宋"/>
                <w:b/>
                <w:sz w:val="28"/>
                <w:szCs w:val="28"/>
              </w:rPr>
            </w:pPr>
            <w:r>
              <w:rPr>
                <w:rFonts w:hint="eastAsia" w:eastAsia="仿宋"/>
                <w:b/>
                <w:sz w:val="28"/>
                <w:szCs w:val="28"/>
              </w:rPr>
              <w:t>检查标准</w:t>
            </w:r>
          </w:p>
        </w:tc>
        <w:tc>
          <w:tcPr>
            <w:tcW w:w="4835" w:type="dxa"/>
            <w:vAlign w:val="center"/>
          </w:tcPr>
          <w:p>
            <w:pPr>
              <w:snapToGrid w:val="0"/>
              <w:jc w:val="center"/>
              <w:rPr>
                <w:rFonts w:eastAsia="仿宋"/>
                <w:b/>
                <w:sz w:val="28"/>
                <w:szCs w:val="28"/>
              </w:rPr>
            </w:pPr>
            <w:r>
              <w:rPr>
                <w:rFonts w:hint="eastAsia" w:eastAsia="仿宋"/>
                <w:b/>
                <w:sz w:val="28"/>
                <w:szCs w:val="28"/>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9" w:type="dxa"/>
            <w:vAlign w:val="center"/>
          </w:tcPr>
          <w:p>
            <w:pPr>
              <w:spacing w:line="360" w:lineRule="exact"/>
              <w:rPr>
                <w:rFonts w:eastAsia="仿宋"/>
                <w:sz w:val="24"/>
              </w:rPr>
            </w:pPr>
            <w:r>
              <w:rPr>
                <w:rFonts w:eastAsia="仿宋"/>
                <w:sz w:val="24"/>
              </w:rPr>
              <w:t>1.</w:t>
            </w:r>
            <w:r>
              <w:rPr>
                <w:rFonts w:hint="eastAsia" w:eastAsia="仿宋"/>
                <w:sz w:val="24"/>
              </w:rPr>
              <w:t>疏散通道、安全出口被封闭、堵塞、占用的，必须立即打通、拆除、清理，恢复畅通。</w:t>
            </w:r>
          </w:p>
        </w:tc>
        <w:tc>
          <w:tcPr>
            <w:tcW w:w="5706" w:type="dxa"/>
            <w:vAlign w:val="center"/>
          </w:tcPr>
          <w:p>
            <w:pPr>
              <w:spacing w:line="360" w:lineRule="exact"/>
              <w:rPr>
                <w:rFonts w:eastAsia="仿宋"/>
                <w:sz w:val="24"/>
              </w:rPr>
            </w:pPr>
            <w:r>
              <w:rPr>
                <w:rFonts w:eastAsia="仿宋"/>
                <w:sz w:val="24"/>
              </w:rPr>
              <w:t>1.</w:t>
            </w:r>
            <w:r>
              <w:rPr>
                <w:rFonts w:hint="eastAsia" w:eastAsia="仿宋"/>
                <w:sz w:val="24"/>
              </w:rPr>
              <w:t>建筑疏散走道、安全出口的数量、位置、净宽等应与原设计一致。</w:t>
            </w:r>
          </w:p>
          <w:p>
            <w:pPr>
              <w:spacing w:line="360" w:lineRule="exact"/>
              <w:rPr>
                <w:rFonts w:eastAsia="仿宋"/>
                <w:sz w:val="24"/>
              </w:rPr>
            </w:pPr>
            <w:r>
              <w:rPr>
                <w:rFonts w:eastAsia="仿宋"/>
                <w:sz w:val="24"/>
              </w:rPr>
              <w:t>2.</w:t>
            </w:r>
            <w:r>
              <w:rPr>
                <w:rFonts w:hint="eastAsia" w:eastAsia="仿宋"/>
                <w:sz w:val="24"/>
              </w:rPr>
              <w:t>建筑疏散走道、疏散楼梯间及其前室内严禁被封闭、堵塞和占用。</w:t>
            </w:r>
          </w:p>
          <w:p>
            <w:pPr>
              <w:spacing w:line="360" w:lineRule="exact"/>
              <w:rPr>
                <w:rFonts w:eastAsia="仿宋"/>
                <w:sz w:val="24"/>
              </w:rPr>
            </w:pPr>
            <w:r>
              <w:rPr>
                <w:rFonts w:eastAsia="仿宋"/>
                <w:sz w:val="24"/>
              </w:rPr>
              <w:t>3.</w:t>
            </w:r>
            <w:r>
              <w:rPr>
                <w:rFonts w:hint="eastAsia" w:eastAsia="仿宋"/>
                <w:sz w:val="24"/>
              </w:rPr>
              <w:t>疏散楼梯间及其前室门，安全出口严禁上锁。</w:t>
            </w:r>
          </w:p>
        </w:tc>
        <w:tc>
          <w:tcPr>
            <w:tcW w:w="4835" w:type="dxa"/>
            <w:vAlign w:val="center"/>
          </w:tcPr>
          <w:p>
            <w:pPr>
              <w:spacing w:line="360" w:lineRule="exact"/>
              <w:rPr>
                <w:rFonts w:eastAsia="仿宋"/>
                <w:sz w:val="24"/>
              </w:rPr>
            </w:pPr>
            <w:r>
              <w:rPr>
                <w:rFonts w:eastAsia="仿宋"/>
                <w:sz w:val="24"/>
              </w:rPr>
              <w:t>1.</w:t>
            </w:r>
            <w:r>
              <w:rPr>
                <w:rFonts w:hint="eastAsia" w:eastAsia="仿宋"/>
                <w:sz w:val="24"/>
              </w:rPr>
              <w:t>查看建筑各层平面图中疏散走道、安全出口的数量、位置及净宽。</w:t>
            </w:r>
          </w:p>
          <w:p>
            <w:pPr>
              <w:spacing w:line="360" w:lineRule="exact"/>
              <w:rPr>
                <w:rFonts w:eastAsia="仿宋"/>
                <w:sz w:val="24"/>
              </w:rPr>
            </w:pPr>
            <w:r>
              <w:rPr>
                <w:rFonts w:eastAsia="仿宋"/>
                <w:sz w:val="24"/>
              </w:rPr>
              <w:t>2.</w:t>
            </w:r>
            <w:r>
              <w:rPr>
                <w:rFonts w:hint="eastAsia" w:eastAsia="仿宋"/>
                <w:sz w:val="24"/>
              </w:rPr>
              <w:t>实地查看疏散走道、疏散楼梯间及其前室、安全出口的现状。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9" w:type="dxa"/>
            <w:vAlign w:val="center"/>
          </w:tcPr>
          <w:p>
            <w:pPr>
              <w:spacing w:line="360" w:lineRule="exact"/>
              <w:rPr>
                <w:rFonts w:eastAsia="仿宋"/>
                <w:sz w:val="24"/>
              </w:rPr>
            </w:pPr>
            <w:r>
              <w:rPr>
                <w:rFonts w:eastAsia="仿宋"/>
                <w:sz w:val="24"/>
              </w:rPr>
              <w:t>2.</w:t>
            </w:r>
            <w:r>
              <w:rPr>
                <w:rFonts w:hint="eastAsia" w:eastAsia="仿宋"/>
                <w:sz w:val="24"/>
              </w:rPr>
              <w:t>人员密集场所在门窗上设置广告牌等影响逃生和灭火救援障碍物的，必须拆除。</w:t>
            </w:r>
          </w:p>
        </w:tc>
        <w:tc>
          <w:tcPr>
            <w:tcW w:w="5706" w:type="dxa"/>
            <w:vAlign w:val="center"/>
          </w:tcPr>
          <w:p>
            <w:pPr>
              <w:spacing w:line="360" w:lineRule="exact"/>
              <w:rPr>
                <w:rFonts w:eastAsia="仿宋"/>
                <w:sz w:val="24"/>
              </w:rPr>
            </w:pPr>
            <w:r>
              <w:rPr>
                <w:rFonts w:hint="eastAsia" w:eastAsia="仿宋"/>
                <w:sz w:val="24"/>
              </w:rPr>
              <w:t>商场市场、公共娱乐场所、宾馆饭店、养老院、</w:t>
            </w:r>
            <w:r>
              <w:fldChar w:fldCharType="begin"/>
            </w:r>
            <w:r>
              <w:instrText xml:space="preserve"> HYPERLINK "https://baike.baidu.com/item/%E5%8A%B3%E5%8A%A8%E5%AF%86%E9%9B%86%E5%9E%8B%E4%BC%81%E4%B8%9A" \t "_blank" </w:instrText>
            </w:r>
            <w:r>
              <w:fldChar w:fldCharType="separate"/>
            </w:r>
            <w:r>
              <w:rPr>
                <w:rFonts w:hint="eastAsia" w:eastAsia="仿宋"/>
                <w:sz w:val="24"/>
              </w:rPr>
              <w:t>劳动密集型企业</w:t>
            </w:r>
            <w:r>
              <w:rPr>
                <w:rFonts w:hint="eastAsia" w:eastAsia="仿宋"/>
                <w:sz w:val="24"/>
              </w:rPr>
              <w:fldChar w:fldCharType="end"/>
            </w:r>
            <w:r>
              <w:rPr>
                <w:rFonts w:hint="eastAsia" w:eastAsia="仿宋"/>
                <w:sz w:val="24"/>
              </w:rPr>
              <w:t>的生产加工车间和员工集体宿舍等人员密集场所严禁在门窗上设置广告牌、铁栅栏等影响逃生和灭火救援障碍物。</w:t>
            </w:r>
          </w:p>
        </w:tc>
        <w:tc>
          <w:tcPr>
            <w:tcW w:w="4835" w:type="dxa"/>
            <w:vAlign w:val="center"/>
          </w:tcPr>
          <w:p>
            <w:pPr>
              <w:spacing w:line="360" w:lineRule="exact"/>
              <w:rPr>
                <w:rFonts w:eastAsia="仿宋"/>
                <w:sz w:val="24"/>
              </w:rPr>
            </w:pPr>
            <w:r>
              <w:rPr>
                <w:rFonts w:hint="eastAsia" w:eastAsia="仿宋"/>
                <w:sz w:val="24"/>
              </w:rPr>
              <w:t>实地查看场所门窗现状。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9" w:type="dxa"/>
            <w:vAlign w:val="center"/>
          </w:tcPr>
          <w:p>
            <w:pPr>
              <w:spacing w:line="360" w:lineRule="exact"/>
              <w:rPr>
                <w:rFonts w:eastAsia="仿宋"/>
                <w:sz w:val="24"/>
              </w:rPr>
            </w:pPr>
            <w:r>
              <w:rPr>
                <w:rFonts w:eastAsia="仿宋"/>
                <w:sz w:val="24"/>
              </w:rPr>
              <w:t xml:space="preserve">3. </w:t>
            </w:r>
            <w:r>
              <w:rPr>
                <w:rFonts w:hint="eastAsia" w:eastAsia="仿宋"/>
                <w:sz w:val="24"/>
              </w:rPr>
              <w:t>建筑之间严禁违规搭建临时建筑，占用防火间距、疏散通道的，必须拆除，恢复原状。</w:t>
            </w:r>
          </w:p>
        </w:tc>
        <w:tc>
          <w:tcPr>
            <w:tcW w:w="5706" w:type="dxa"/>
            <w:vAlign w:val="center"/>
          </w:tcPr>
          <w:p>
            <w:pPr>
              <w:spacing w:line="360" w:lineRule="exact"/>
              <w:rPr>
                <w:rFonts w:eastAsia="仿宋"/>
                <w:sz w:val="24"/>
              </w:rPr>
            </w:pPr>
            <w:r>
              <w:rPr>
                <w:rFonts w:eastAsia="仿宋"/>
                <w:sz w:val="24"/>
              </w:rPr>
              <w:t>1.</w:t>
            </w:r>
            <w:r>
              <w:rPr>
                <w:rFonts w:hint="eastAsia" w:eastAsia="仿宋"/>
                <w:sz w:val="24"/>
              </w:rPr>
              <w:t>建筑防火间距、消防车道、消防车登高操作场地等应与原设计保持一致。</w:t>
            </w:r>
          </w:p>
          <w:p>
            <w:pPr>
              <w:spacing w:line="360" w:lineRule="exact"/>
              <w:rPr>
                <w:rFonts w:eastAsia="仿宋"/>
                <w:sz w:val="24"/>
              </w:rPr>
            </w:pPr>
            <w:r>
              <w:rPr>
                <w:rFonts w:eastAsia="仿宋"/>
                <w:sz w:val="24"/>
              </w:rPr>
              <w:t>2.</w:t>
            </w:r>
            <w:r>
              <w:rPr>
                <w:rFonts w:hint="eastAsia" w:eastAsia="仿宋"/>
                <w:sz w:val="24"/>
              </w:rPr>
              <w:t>建筑之间严禁违规搭建遮雨棚、临时建筑物或堆物占用建筑防火间距。</w:t>
            </w:r>
          </w:p>
          <w:p>
            <w:pPr>
              <w:spacing w:line="360" w:lineRule="exact"/>
              <w:rPr>
                <w:rFonts w:eastAsia="仿宋"/>
                <w:sz w:val="24"/>
              </w:rPr>
            </w:pPr>
            <w:r>
              <w:rPr>
                <w:rFonts w:eastAsia="仿宋"/>
                <w:sz w:val="24"/>
              </w:rPr>
              <w:t>3.</w:t>
            </w:r>
            <w:r>
              <w:rPr>
                <w:rFonts w:hint="eastAsia" w:eastAsia="仿宋"/>
                <w:sz w:val="24"/>
              </w:rPr>
              <w:t>消防车道、消防车登高操作场地上严禁违规设置隔离桩、栅栏墙、绿化、临时建筑等。</w:t>
            </w:r>
          </w:p>
        </w:tc>
        <w:tc>
          <w:tcPr>
            <w:tcW w:w="4835" w:type="dxa"/>
            <w:vAlign w:val="center"/>
          </w:tcPr>
          <w:p>
            <w:pPr>
              <w:spacing w:line="360" w:lineRule="exact"/>
              <w:rPr>
                <w:rFonts w:eastAsia="仿宋"/>
                <w:sz w:val="24"/>
              </w:rPr>
            </w:pPr>
            <w:r>
              <w:rPr>
                <w:rFonts w:eastAsia="仿宋"/>
                <w:sz w:val="24"/>
              </w:rPr>
              <w:t>1.</w:t>
            </w:r>
            <w:r>
              <w:rPr>
                <w:rFonts w:hint="eastAsia" w:eastAsia="仿宋"/>
                <w:sz w:val="24"/>
              </w:rPr>
              <w:t>查看总平面图中建筑防火间距、消防车道、消防车登高操作场地的设置。</w:t>
            </w:r>
          </w:p>
          <w:p>
            <w:pPr>
              <w:spacing w:line="360" w:lineRule="exact"/>
              <w:rPr>
                <w:rFonts w:eastAsia="仿宋"/>
                <w:sz w:val="24"/>
              </w:rPr>
            </w:pPr>
            <w:r>
              <w:rPr>
                <w:rFonts w:eastAsia="仿宋"/>
                <w:sz w:val="24"/>
              </w:rPr>
              <w:t>2.</w:t>
            </w:r>
            <w:r>
              <w:rPr>
                <w:rFonts w:hint="eastAsia" w:eastAsia="仿宋"/>
                <w:sz w:val="24"/>
              </w:rPr>
              <w:t>实地查看建筑防火间距、消防车道、消防车登高操作场地现状。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59" w:type="dxa"/>
            <w:vAlign w:val="center"/>
          </w:tcPr>
          <w:p>
            <w:pPr>
              <w:spacing w:line="360" w:lineRule="exact"/>
              <w:rPr>
                <w:rFonts w:eastAsia="仿宋"/>
                <w:sz w:val="24"/>
              </w:rPr>
            </w:pPr>
            <w:r>
              <w:rPr>
                <w:rFonts w:eastAsia="仿宋"/>
                <w:sz w:val="24"/>
              </w:rPr>
              <w:t xml:space="preserve">4. </w:t>
            </w:r>
            <w:r>
              <w:rPr>
                <w:rFonts w:hint="eastAsia" w:eastAsia="仿宋"/>
                <w:sz w:val="24"/>
              </w:rPr>
              <w:t>宾馆饭店、员工宿舍等有人员住宿的场所，安全出口必须</w:t>
            </w:r>
            <w:r>
              <w:rPr>
                <w:rFonts w:eastAsia="仿宋"/>
                <w:sz w:val="24"/>
              </w:rPr>
              <w:t>24</w:t>
            </w:r>
            <w:r>
              <w:rPr>
                <w:rFonts w:hint="eastAsia" w:eastAsia="仿宋"/>
                <w:sz w:val="24"/>
              </w:rPr>
              <w:t>小时保持畅通。公众聚集场所在营业期间，安全出口必须保持畅通。</w:t>
            </w:r>
          </w:p>
        </w:tc>
        <w:tc>
          <w:tcPr>
            <w:tcW w:w="5706" w:type="dxa"/>
            <w:vAlign w:val="center"/>
          </w:tcPr>
          <w:p>
            <w:pPr>
              <w:spacing w:line="360" w:lineRule="exact"/>
              <w:rPr>
                <w:rFonts w:eastAsia="仿宋"/>
                <w:sz w:val="24"/>
              </w:rPr>
            </w:pPr>
            <w:r>
              <w:rPr>
                <w:rFonts w:eastAsia="仿宋"/>
                <w:sz w:val="24"/>
              </w:rPr>
              <w:t>1.</w:t>
            </w:r>
            <w:r>
              <w:rPr>
                <w:rFonts w:hint="eastAsia" w:eastAsia="仿宋"/>
                <w:sz w:val="24"/>
              </w:rPr>
              <w:t>宾馆饭店、员工宿舍等有人员住宿的场所疏散楼梯间及其前室门，安全出口必须</w:t>
            </w:r>
            <w:r>
              <w:rPr>
                <w:rFonts w:eastAsia="仿宋"/>
                <w:sz w:val="24"/>
              </w:rPr>
              <w:t>24</w:t>
            </w:r>
            <w:r>
              <w:rPr>
                <w:rFonts w:hint="eastAsia" w:eastAsia="仿宋"/>
                <w:sz w:val="24"/>
              </w:rPr>
              <w:t>小时保持畅通。</w:t>
            </w:r>
          </w:p>
          <w:p>
            <w:pPr>
              <w:spacing w:line="360" w:lineRule="exact"/>
              <w:rPr>
                <w:rFonts w:eastAsia="仿宋"/>
                <w:sz w:val="24"/>
              </w:rPr>
            </w:pPr>
            <w:r>
              <w:rPr>
                <w:rFonts w:eastAsia="仿宋"/>
                <w:sz w:val="24"/>
              </w:rPr>
              <w:t>2.</w:t>
            </w:r>
            <w:r>
              <w:rPr>
                <w:rFonts w:hint="eastAsia" w:eastAsia="仿宋"/>
                <w:sz w:val="24"/>
              </w:rPr>
              <w:t>商场市场、公共娱乐场所等场所营业期间，疏散楼梯间及其前室门，安全出口必须保持畅通。</w:t>
            </w:r>
          </w:p>
        </w:tc>
        <w:tc>
          <w:tcPr>
            <w:tcW w:w="4835" w:type="dxa"/>
            <w:vAlign w:val="center"/>
          </w:tcPr>
          <w:p>
            <w:pPr>
              <w:spacing w:line="360" w:lineRule="exact"/>
              <w:rPr>
                <w:rFonts w:eastAsia="仿宋"/>
                <w:sz w:val="24"/>
              </w:rPr>
            </w:pPr>
            <w:r>
              <w:rPr>
                <w:rFonts w:eastAsia="仿宋"/>
                <w:sz w:val="24"/>
              </w:rPr>
              <w:t>1.</w:t>
            </w:r>
            <w:r>
              <w:rPr>
                <w:rFonts w:hint="eastAsia" w:eastAsia="仿宋"/>
                <w:sz w:val="24"/>
              </w:rPr>
              <w:t>实地查看场所各层疏散楼梯间及其前室门，首层疏散门、疏散外门现状。</w:t>
            </w:r>
          </w:p>
          <w:p>
            <w:pPr>
              <w:spacing w:line="360" w:lineRule="exact"/>
              <w:rPr>
                <w:rFonts w:eastAsia="仿宋"/>
                <w:sz w:val="24"/>
              </w:rPr>
            </w:pPr>
            <w:r>
              <w:rPr>
                <w:rFonts w:eastAsia="仿宋"/>
                <w:sz w:val="24"/>
              </w:rPr>
              <w:t>2.</w:t>
            </w:r>
            <w:r>
              <w:rPr>
                <w:rFonts w:hint="eastAsia" w:eastAsia="仿宋"/>
                <w:sz w:val="24"/>
              </w:rPr>
              <w:t>当混合使用疏散体系时，要确保其他场所停业关闭期间疏散畅通。</w:t>
            </w:r>
          </w:p>
        </w:tc>
      </w:tr>
    </w:tbl>
    <w:p>
      <w:pPr>
        <w:adjustRightInd w:val="0"/>
        <w:spacing w:line="560" w:lineRule="exact"/>
        <w:ind w:firstLine="640" w:firstLineChars="200"/>
        <w:jc w:val="left"/>
        <w:rPr>
          <w:rFonts w:ascii="黑体" w:hAnsi="黑体" w:eastAsia="黑体"/>
        </w:rPr>
      </w:pPr>
      <w:r>
        <w:rPr>
          <w:rFonts w:eastAsia="仿宋"/>
          <w:szCs w:val="21"/>
        </w:rPr>
        <w:br w:type="page"/>
      </w:r>
      <w:r>
        <w:rPr>
          <w:rFonts w:hint="eastAsia" w:ascii="黑体" w:hAnsi="黑体" w:eastAsia="黑体"/>
        </w:rPr>
        <w:t>（四）违规存放易燃易爆危险品整治要求、检查标准和方法</w:t>
      </w:r>
    </w:p>
    <w:tbl>
      <w:tblPr>
        <w:tblStyle w:val="6"/>
        <w:tblW w:w="14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6"/>
        <w:gridCol w:w="7428"/>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46" w:type="dxa"/>
            <w:vAlign w:val="center"/>
          </w:tcPr>
          <w:p>
            <w:pPr>
              <w:snapToGrid w:val="0"/>
              <w:jc w:val="center"/>
              <w:rPr>
                <w:rFonts w:eastAsia="仿宋"/>
                <w:b/>
                <w:sz w:val="28"/>
                <w:szCs w:val="28"/>
              </w:rPr>
            </w:pPr>
            <w:r>
              <w:rPr>
                <w:rFonts w:hint="eastAsia" w:eastAsia="仿宋"/>
                <w:b/>
                <w:sz w:val="28"/>
                <w:szCs w:val="28"/>
              </w:rPr>
              <w:t>整治要求</w:t>
            </w:r>
          </w:p>
        </w:tc>
        <w:tc>
          <w:tcPr>
            <w:tcW w:w="7428" w:type="dxa"/>
            <w:vAlign w:val="center"/>
          </w:tcPr>
          <w:p>
            <w:pPr>
              <w:snapToGrid w:val="0"/>
              <w:jc w:val="center"/>
              <w:rPr>
                <w:rFonts w:eastAsia="仿宋"/>
                <w:b/>
                <w:sz w:val="28"/>
                <w:szCs w:val="28"/>
              </w:rPr>
            </w:pPr>
            <w:r>
              <w:rPr>
                <w:rFonts w:hint="eastAsia" w:eastAsia="仿宋"/>
                <w:b/>
                <w:sz w:val="28"/>
                <w:szCs w:val="28"/>
              </w:rPr>
              <w:t>检查标准</w:t>
            </w:r>
          </w:p>
        </w:tc>
        <w:tc>
          <w:tcPr>
            <w:tcW w:w="2826" w:type="dxa"/>
            <w:vAlign w:val="center"/>
          </w:tcPr>
          <w:p>
            <w:pPr>
              <w:snapToGrid w:val="0"/>
              <w:jc w:val="center"/>
              <w:rPr>
                <w:rFonts w:eastAsia="仿宋"/>
                <w:b/>
                <w:sz w:val="28"/>
                <w:szCs w:val="28"/>
              </w:rPr>
            </w:pPr>
            <w:r>
              <w:rPr>
                <w:rFonts w:hint="eastAsia" w:eastAsia="仿宋"/>
                <w:b/>
                <w:sz w:val="28"/>
                <w:szCs w:val="28"/>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4" w:hRule="atLeast"/>
        </w:trPr>
        <w:tc>
          <w:tcPr>
            <w:tcW w:w="4346" w:type="dxa"/>
            <w:vAlign w:val="center"/>
          </w:tcPr>
          <w:p>
            <w:pPr>
              <w:spacing w:line="360" w:lineRule="exact"/>
              <w:rPr>
                <w:rFonts w:eastAsia="仿宋"/>
                <w:sz w:val="24"/>
              </w:rPr>
            </w:pPr>
            <w:r>
              <w:rPr>
                <w:rFonts w:eastAsia="仿宋"/>
                <w:sz w:val="24"/>
              </w:rPr>
              <w:t xml:space="preserve">1. </w:t>
            </w:r>
            <w:r>
              <w:rPr>
                <w:rFonts w:hint="eastAsia" w:eastAsia="仿宋"/>
                <w:sz w:val="24"/>
              </w:rPr>
              <w:t>人员密集场所、居住场所违规使用、储存易燃易爆危险品的，必须及时搬离。其他场所储存易燃易爆危险品的，必须在明显部位设置禁烟禁火等警示标志，并安排专业人员管理。</w:t>
            </w:r>
          </w:p>
        </w:tc>
        <w:tc>
          <w:tcPr>
            <w:tcW w:w="7428" w:type="dxa"/>
            <w:vAlign w:val="center"/>
          </w:tcPr>
          <w:p>
            <w:pPr>
              <w:spacing w:line="360" w:lineRule="exact"/>
              <w:rPr>
                <w:rFonts w:eastAsia="仿宋"/>
                <w:sz w:val="24"/>
              </w:rPr>
            </w:pPr>
            <w:r>
              <w:rPr>
                <w:rFonts w:eastAsia="仿宋"/>
                <w:sz w:val="24"/>
              </w:rPr>
              <w:t>1.</w:t>
            </w:r>
            <w:r>
              <w:rPr>
                <w:rFonts w:hint="eastAsia" w:eastAsia="仿宋"/>
                <w:sz w:val="24"/>
              </w:rPr>
              <w:t>商场市场、公共娱乐场所、宾馆饭店、养老院、</w:t>
            </w:r>
            <w:r>
              <w:fldChar w:fldCharType="begin"/>
            </w:r>
            <w:r>
              <w:instrText xml:space="preserve"> HYPERLINK "https://baike.baidu.com/item/%E5%8A%B3%E5%8A%A8%E5%AF%86%E9%9B%86%E5%9E%8B%E4%BC%81%E4%B8%9A" \t "_blank" </w:instrText>
            </w:r>
            <w:r>
              <w:fldChar w:fldCharType="separate"/>
            </w:r>
            <w:r>
              <w:rPr>
                <w:rFonts w:hint="eastAsia" w:eastAsia="仿宋"/>
                <w:sz w:val="24"/>
              </w:rPr>
              <w:t>劳动密集型企业</w:t>
            </w:r>
            <w:r>
              <w:rPr>
                <w:rFonts w:hint="eastAsia" w:eastAsia="仿宋"/>
                <w:sz w:val="24"/>
              </w:rPr>
              <w:fldChar w:fldCharType="end"/>
            </w:r>
            <w:r>
              <w:rPr>
                <w:rFonts w:hint="eastAsia" w:eastAsia="仿宋"/>
                <w:sz w:val="24"/>
              </w:rPr>
              <w:t>的生产加工车间和员工集体宿舍等人员密集场所、居住场所、农村自建房内严禁违规使用、储存易燃易爆危险品。</w:t>
            </w:r>
          </w:p>
          <w:p>
            <w:pPr>
              <w:spacing w:line="360" w:lineRule="exact"/>
              <w:rPr>
                <w:rFonts w:eastAsia="仿宋"/>
                <w:sz w:val="24"/>
              </w:rPr>
            </w:pPr>
            <w:r>
              <w:rPr>
                <w:rFonts w:eastAsia="仿宋"/>
                <w:sz w:val="24"/>
              </w:rPr>
              <w:t>2.</w:t>
            </w:r>
            <w:r>
              <w:rPr>
                <w:rFonts w:hint="eastAsia" w:eastAsia="仿宋"/>
                <w:sz w:val="24"/>
              </w:rPr>
              <w:t>厂房、仓库、施工工地等场所储存易燃易爆危险品的，必须在明显部位设置禁烟禁火等警示标志，并安排专业人员管理。</w:t>
            </w:r>
          </w:p>
        </w:tc>
        <w:tc>
          <w:tcPr>
            <w:tcW w:w="2826" w:type="dxa"/>
            <w:vAlign w:val="center"/>
          </w:tcPr>
          <w:p>
            <w:pPr>
              <w:spacing w:line="360" w:lineRule="exact"/>
              <w:rPr>
                <w:rFonts w:eastAsia="仿宋"/>
                <w:sz w:val="24"/>
              </w:rPr>
            </w:pPr>
            <w:r>
              <w:rPr>
                <w:rFonts w:hint="eastAsia" w:eastAsia="仿宋"/>
                <w:sz w:val="24"/>
              </w:rPr>
              <w:t>实地查看场所使用、储存易燃易爆危险品现状。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0" w:hRule="atLeast"/>
        </w:trPr>
        <w:tc>
          <w:tcPr>
            <w:tcW w:w="4346" w:type="dxa"/>
            <w:vAlign w:val="center"/>
          </w:tcPr>
          <w:p>
            <w:pPr>
              <w:spacing w:line="360" w:lineRule="exact"/>
              <w:rPr>
                <w:rFonts w:eastAsia="仿宋"/>
                <w:sz w:val="24"/>
              </w:rPr>
            </w:pPr>
            <w:r>
              <w:rPr>
                <w:rFonts w:eastAsia="仿宋"/>
                <w:sz w:val="24"/>
              </w:rPr>
              <w:t xml:space="preserve">2. </w:t>
            </w:r>
            <w:r>
              <w:rPr>
                <w:rFonts w:hint="eastAsia" w:eastAsia="仿宋"/>
                <w:sz w:val="24"/>
              </w:rPr>
              <w:t>商场市场、施工工地等场所违规堆放易燃可燃物品，可能引发火灾造成人员伤亡的，必须及时清理。</w:t>
            </w:r>
          </w:p>
        </w:tc>
        <w:tc>
          <w:tcPr>
            <w:tcW w:w="7428" w:type="dxa"/>
            <w:vAlign w:val="center"/>
          </w:tcPr>
          <w:p>
            <w:pPr>
              <w:spacing w:line="360" w:lineRule="exact"/>
              <w:rPr>
                <w:rFonts w:eastAsia="仿宋"/>
                <w:sz w:val="24"/>
              </w:rPr>
            </w:pPr>
            <w:r>
              <w:rPr>
                <w:rFonts w:eastAsia="仿宋"/>
                <w:sz w:val="24"/>
              </w:rPr>
              <w:t>1.</w:t>
            </w:r>
            <w:r>
              <w:rPr>
                <w:rFonts w:hint="eastAsia" w:eastAsia="仿宋"/>
                <w:sz w:val="24"/>
              </w:rPr>
              <w:t>商场市场、施工工地等场所的附属仓库应与设计时一致，并应确保该附属库房内的建筑消防设施完整好用。不得擅自将非设计时的附属库房作为库房使用，违规大量堆放物品。</w:t>
            </w:r>
          </w:p>
          <w:p>
            <w:pPr>
              <w:spacing w:line="360" w:lineRule="exact"/>
              <w:rPr>
                <w:rFonts w:eastAsia="仿宋"/>
                <w:sz w:val="24"/>
              </w:rPr>
            </w:pPr>
            <w:r>
              <w:rPr>
                <w:rFonts w:eastAsia="仿宋"/>
                <w:sz w:val="24"/>
              </w:rPr>
              <w:t>2.</w:t>
            </w:r>
            <w:r>
              <w:rPr>
                <w:rFonts w:hint="eastAsia" w:eastAsia="仿宋"/>
                <w:sz w:val="24"/>
              </w:rPr>
              <w:t>施工工地易燃易爆危险品库建筑构件的燃烧性能等级应为</w:t>
            </w:r>
            <w:r>
              <w:rPr>
                <w:rFonts w:eastAsia="仿宋"/>
                <w:sz w:val="24"/>
              </w:rPr>
              <w:t>A</w:t>
            </w:r>
            <w:r>
              <w:rPr>
                <w:rFonts w:hint="eastAsia" w:eastAsia="仿宋"/>
                <w:sz w:val="24"/>
              </w:rPr>
              <w:t>级，层数应为</w:t>
            </w:r>
            <w:r>
              <w:rPr>
                <w:rFonts w:eastAsia="仿宋"/>
                <w:sz w:val="24"/>
              </w:rPr>
              <w:t>1</w:t>
            </w:r>
            <w:r>
              <w:rPr>
                <w:rFonts w:hint="eastAsia" w:eastAsia="仿宋"/>
                <w:sz w:val="24"/>
              </w:rPr>
              <w:t>层，易燃易爆危险品库房单个房间的建筑面积不应超过</w:t>
            </w:r>
            <w:r>
              <w:rPr>
                <w:rFonts w:eastAsia="仿宋"/>
                <w:sz w:val="24"/>
              </w:rPr>
              <w:t>20</w:t>
            </w:r>
            <w:r>
              <w:rPr>
                <w:rFonts w:hint="eastAsia" w:eastAsia="仿宋"/>
                <w:sz w:val="24"/>
              </w:rPr>
              <w:t>㎡。</w:t>
            </w:r>
          </w:p>
        </w:tc>
        <w:tc>
          <w:tcPr>
            <w:tcW w:w="2826" w:type="dxa"/>
            <w:vAlign w:val="center"/>
          </w:tcPr>
          <w:p>
            <w:pPr>
              <w:spacing w:line="360" w:lineRule="exact"/>
              <w:rPr>
                <w:rFonts w:eastAsia="仿宋"/>
                <w:sz w:val="24"/>
              </w:rPr>
            </w:pPr>
            <w:r>
              <w:rPr>
                <w:rFonts w:eastAsia="仿宋"/>
                <w:sz w:val="24"/>
              </w:rPr>
              <w:t>1.</w:t>
            </w:r>
            <w:r>
              <w:rPr>
                <w:rFonts w:hint="eastAsia" w:eastAsia="仿宋"/>
                <w:sz w:val="24"/>
              </w:rPr>
              <w:t>实地查看场所使用、储存易燃易爆危险品现状。</w:t>
            </w:r>
          </w:p>
          <w:p>
            <w:pPr>
              <w:spacing w:line="360" w:lineRule="exact"/>
              <w:rPr>
                <w:rFonts w:eastAsia="仿宋"/>
                <w:sz w:val="24"/>
              </w:rPr>
            </w:pPr>
            <w:r>
              <w:rPr>
                <w:rFonts w:eastAsia="仿宋"/>
                <w:sz w:val="24"/>
              </w:rPr>
              <w:t>2.</w:t>
            </w:r>
            <w:r>
              <w:rPr>
                <w:rFonts w:hint="eastAsia" w:eastAsia="仿宋"/>
                <w:sz w:val="24"/>
              </w:rPr>
              <w:t>检查易燃易爆危险品库建筑构件的燃烧性能。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trPr>
        <w:tc>
          <w:tcPr>
            <w:tcW w:w="4346" w:type="dxa"/>
            <w:vAlign w:val="center"/>
          </w:tcPr>
          <w:p>
            <w:pPr>
              <w:spacing w:line="360" w:lineRule="exact"/>
              <w:rPr>
                <w:rFonts w:eastAsia="仿宋"/>
                <w:sz w:val="24"/>
              </w:rPr>
            </w:pPr>
            <w:r>
              <w:rPr>
                <w:rFonts w:eastAsia="仿宋"/>
                <w:sz w:val="24"/>
              </w:rPr>
              <w:t xml:space="preserve">3. </w:t>
            </w:r>
            <w:r>
              <w:rPr>
                <w:rFonts w:hint="eastAsia" w:eastAsia="仿宋"/>
                <w:sz w:val="24"/>
              </w:rPr>
              <w:t>劳动密集型企业生产车间内超量存放易燃易爆原材料或者半成品的，必须及时搬离、清理。</w:t>
            </w:r>
          </w:p>
        </w:tc>
        <w:tc>
          <w:tcPr>
            <w:tcW w:w="7428" w:type="dxa"/>
            <w:vAlign w:val="center"/>
          </w:tcPr>
          <w:p>
            <w:pPr>
              <w:spacing w:line="360" w:lineRule="exact"/>
              <w:rPr>
                <w:rFonts w:eastAsia="仿宋"/>
                <w:sz w:val="24"/>
              </w:rPr>
            </w:pPr>
            <w:r>
              <w:rPr>
                <w:rFonts w:hint="eastAsia" w:eastAsia="仿宋"/>
                <w:sz w:val="24"/>
              </w:rPr>
              <w:t>厂房内设置易燃易爆危险物品中间仓库时，</w:t>
            </w:r>
            <w:r>
              <w:rPr>
                <w:rFonts w:eastAsia="仿宋"/>
                <w:sz w:val="24"/>
              </w:rPr>
              <w:t xml:space="preserve"> </w:t>
            </w:r>
            <w:r>
              <w:rPr>
                <w:rFonts w:hint="eastAsia" w:eastAsia="仿宋"/>
                <w:sz w:val="24"/>
              </w:rPr>
              <w:t>易燃易爆危险物品中间仓库应靠外墙布置，易燃易爆原材料或者半成品的储量不宜超过</w:t>
            </w:r>
            <w:r>
              <w:rPr>
                <w:rFonts w:eastAsia="仿宋"/>
                <w:sz w:val="24"/>
              </w:rPr>
              <w:t>1</w:t>
            </w:r>
            <w:r>
              <w:rPr>
                <w:rFonts w:hint="eastAsia" w:eastAsia="仿宋"/>
                <w:sz w:val="24"/>
              </w:rPr>
              <w:t>昼夜的需要量。</w:t>
            </w:r>
          </w:p>
        </w:tc>
        <w:tc>
          <w:tcPr>
            <w:tcW w:w="2826" w:type="dxa"/>
            <w:vAlign w:val="center"/>
          </w:tcPr>
          <w:p>
            <w:pPr>
              <w:spacing w:line="360" w:lineRule="exact"/>
              <w:rPr>
                <w:rFonts w:eastAsia="仿宋"/>
                <w:sz w:val="24"/>
              </w:rPr>
            </w:pPr>
            <w:r>
              <w:rPr>
                <w:rFonts w:hint="eastAsia" w:eastAsia="仿宋"/>
                <w:sz w:val="24"/>
              </w:rPr>
              <w:t>核对生产所需易燃易爆原料、半成品</w:t>
            </w:r>
            <w:r>
              <w:rPr>
                <w:rFonts w:eastAsia="仿宋"/>
                <w:sz w:val="24"/>
              </w:rPr>
              <w:t>1</w:t>
            </w:r>
            <w:r>
              <w:rPr>
                <w:rFonts w:hint="eastAsia" w:eastAsia="仿宋"/>
                <w:sz w:val="24"/>
              </w:rPr>
              <w:t>昼夜需求量，实地查看中间仓库内易燃易爆原材料或者半成品的储量。</w:t>
            </w:r>
          </w:p>
        </w:tc>
      </w:tr>
    </w:tbl>
    <w:p>
      <w:pPr>
        <w:adjustRightInd w:val="0"/>
        <w:spacing w:line="560" w:lineRule="exact"/>
        <w:ind w:firstLine="640" w:firstLineChars="200"/>
        <w:jc w:val="left"/>
        <w:rPr>
          <w:rFonts w:ascii="黑体" w:hAnsi="黑体" w:eastAsia="黑体"/>
        </w:rPr>
      </w:pPr>
      <w:r>
        <w:rPr>
          <w:rFonts w:eastAsia="仿宋"/>
        </w:rPr>
        <w:br w:type="page"/>
      </w:r>
      <w:r>
        <w:rPr>
          <w:rFonts w:hint="eastAsia" w:ascii="黑体" w:hAnsi="黑体" w:eastAsia="黑体"/>
        </w:rPr>
        <w:t>（五）消防设施损坏停用整治要求、检查标准和方法</w:t>
      </w:r>
    </w:p>
    <w:tbl>
      <w:tblPr>
        <w:tblStyle w:val="6"/>
        <w:tblW w:w="14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2"/>
        <w:gridCol w:w="1405"/>
        <w:gridCol w:w="3740"/>
        <w:gridCol w:w="5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952" w:type="dxa"/>
            <w:vAlign w:val="center"/>
          </w:tcPr>
          <w:p>
            <w:pPr>
              <w:snapToGrid w:val="0"/>
              <w:jc w:val="center"/>
              <w:rPr>
                <w:rFonts w:eastAsia="仿宋"/>
                <w:b/>
                <w:sz w:val="28"/>
                <w:szCs w:val="28"/>
              </w:rPr>
            </w:pPr>
            <w:r>
              <w:rPr>
                <w:rFonts w:hint="eastAsia" w:eastAsia="仿宋"/>
                <w:b/>
                <w:sz w:val="28"/>
                <w:szCs w:val="28"/>
              </w:rPr>
              <w:t>整治要求</w:t>
            </w:r>
          </w:p>
        </w:tc>
        <w:tc>
          <w:tcPr>
            <w:tcW w:w="5145" w:type="dxa"/>
            <w:gridSpan w:val="2"/>
            <w:vAlign w:val="center"/>
          </w:tcPr>
          <w:p>
            <w:pPr>
              <w:snapToGrid w:val="0"/>
              <w:jc w:val="center"/>
              <w:rPr>
                <w:rFonts w:eastAsia="仿宋"/>
                <w:b/>
                <w:sz w:val="28"/>
                <w:szCs w:val="28"/>
              </w:rPr>
            </w:pPr>
            <w:r>
              <w:rPr>
                <w:rFonts w:hint="eastAsia" w:eastAsia="仿宋"/>
                <w:b/>
                <w:sz w:val="28"/>
                <w:szCs w:val="28"/>
              </w:rPr>
              <w:t>检查标准</w:t>
            </w:r>
          </w:p>
        </w:tc>
        <w:tc>
          <w:tcPr>
            <w:tcW w:w="5503" w:type="dxa"/>
            <w:vAlign w:val="center"/>
          </w:tcPr>
          <w:p>
            <w:pPr>
              <w:snapToGrid w:val="0"/>
              <w:jc w:val="center"/>
              <w:rPr>
                <w:rFonts w:eastAsia="仿宋"/>
                <w:b/>
                <w:sz w:val="28"/>
                <w:szCs w:val="28"/>
              </w:rPr>
            </w:pPr>
            <w:r>
              <w:rPr>
                <w:rFonts w:hint="eastAsia" w:eastAsia="仿宋"/>
                <w:b/>
                <w:sz w:val="28"/>
                <w:szCs w:val="28"/>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395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火灾自动报警系统停用或者不能正常运行的，必须及时维修，恢复系统正常报警功能。</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火灾探测器</w:t>
            </w:r>
          </w:p>
        </w:tc>
        <w:tc>
          <w:tcPr>
            <w:tcW w:w="37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火灾探测器探测到烟气后，向火灾报警控制器发出火警信号。</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将火灾报警控制器置于</w:t>
            </w:r>
            <w:r>
              <w:rPr>
                <w:rFonts w:eastAsia="仿宋"/>
                <w:sz w:val="24"/>
              </w:rPr>
              <w:t>“</w:t>
            </w:r>
            <w:r>
              <w:rPr>
                <w:rFonts w:hint="eastAsia" w:eastAsia="仿宋"/>
                <w:sz w:val="24"/>
              </w:rPr>
              <w:t>手动</w:t>
            </w:r>
            <w:r>
              <w:rPr>
                <w:rFonts w:eastAsia="仿宋"/>
                <w:sz w:val="24"/>
              </w:rPr>
              <w:t>”</w:t>
            </w:r>
            <w:r>
              <w:rPr>
                <w:rFonts w:hint="eastAsia" w:eastAsia="仿宋"/>
                <w:sz w:val="24"/>
              </w:rPr>
              <w:t>状态，采用发烟装置（可采用烟枪、蚊香或香烟来模拟烟雾）向感烟探测器施放烟气，查看探测器报警确认灯和火灾报警控制器的火警信号显示。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39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手动火灾报警按钮</w:t>
            </w:r>
          </w:p>
        </w:tc>
        <w:tc>
          <w:tcPr>
            <w:tcW w:w="37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按下手动火灾报警按钮后，向火灾报警控制器发出火警信号。</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将火灾报警控制器置于</w:t>
            </w:r>
            <w:r>
              <w:rPr>
                <w:rFonts w:eastAsia="仿宋"/>
                <w:sz w:val="24"/>
              </w:rPr>
              <w:t>“</w:t>
            </w:r>
            <w:r>
              <w:rPr>
                <w:rFonts w:hint="eastAsia" w:eastAsia="仿宋"/>
                <w:sz w:val="24"/>
              </w:rPr>
              <w:t>手动</w:t>
            </w:r>
            <w:r>
              <w:rPr>
                <w:rFonts w:eastAsia="仿宋"/>
                <w:sz w:val="24"/>
              </w:rPr>
              <w:t>”</w:t>
            </w:r>
            <w:r>
              <w:rPr>
                <w:rFonts w:hint="eastAsia" w:eastAsia="仿宋"/>
                <w:sz w:val="24"/>
              </w:rPr>
              <w:t>状态，按下手动火灾报警按钮，查看手动火灾报警按钮报警确认灯和火灾报警控制器的火警信号显示。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trPr>
        <w:tc>
          <w:tcPr>
            <w:tcW w:w="39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火灾报警控制器</w:t>
            </w:r>
          </w:p>
        </w:tc>
        <w:tc>
          <w:tcPr>
            <w:tcW w:w="37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火灾报警控制器各元件应能正常显示，无故障、屏蔽显示，主备电源应能自动切换。</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检查声、光、显示器元件和时钟是否显示正常，打印机是否处于开启状态；关闭火灾报警控制器主电源，观察备用电源能否启动供电；检查是否存在屏蔽、故障、监管、反馈等信号，反馈和监管信号要逐一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95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2.</w:t>
            </w:r>
            <w:r>
              <w:rPr>
                <w:rFonts w:hint="eastAsia" w:eastAsia="仿宋"/>
                <w:sz w:val="24"/>
              </w:rPr>
              <w:t>消防水泵控制柜处于手动控制状态的，必须立即整改，将控制柜设置为自动控制状态，并张贴明显标志。</w:t>
            </w:r>
          </w:p>
        </w:tc>
        <w:tc>
          <w:tcPr>
            <w:tcW w:w="514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消防水泵控制柜上的水泵控制按钮应设置在</w:t>
            </w:r>
            <w:r>
              <w:rPr>
                <w:rFonts w:eastAsia="仿宋"/>
                <w:sz w:val="24"/>
              </w:rPr>
              <w:t>“</w:t>
            </w:r>
            <w:r>
              <w:rPr>
                <w:rFonts w:hint="eastAsia" w:eastAsia="仿宋"/>
                <w:sz w:val="24"/>
              </w:rPr>
              <w:t>自动</w:t>
            </w:r>
            <w:r>
              <w:rPr>
                <w:rFonts w:eastAsia="仿宋"/>
                <w:sz w:val="24"/>
              </w:rPr>
              <w:t>”</w:t>
            </w:r>
            <w:r>
              <w:rPr>
                <w:rFonts w:hint="eastAsia" w:eastAsia="仿宋"/>
                <w:sz w:val="24"/>
              </w:rPr>
              <w:t>档。</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日常巡查，检查消防水泵控制柜上的水泵控制按钮设置状态，如不在</w:t>
            </w:r>
            <w:r>
              <w:rPr>
                <w:rFonts w:eastAsia="仿宋"/>
                <w:sz w:val="24"/>
              </w:rPr>
              <w:t>“</w:t>
            </w:r>
            <w:r>
              <w:rPr>
                <w:rFonts w:hint="eastAsia" w:eastAsia="仿宋"/>
                <w:sz w:val="24"/>
              </w:rPr>
              <w:t>自动</w:t>
            </w:r>
            <w:r>
              <w:rPr>
                <w:rFonts w:eastAsia="仿宋"/>
                <w:sz w:val="24"/>
              </w:rPr>
              <w:t>”</w:t>
            </w:r>
            <w:r>
              <w:rPr>
                <w:rFonts w:hint="eastAsia" w:eastAsia="仿宋"/>
                <w:sz w:val="24"/>
              </w:rPr>
              <w:t>档，应立即旋至</w:t>
            </w:r>
            <w:r>
              <w:rPr>
                <w:rFonts w:eastAsia="仿宋"/>
                <w:sz w:val="24"/>
              </w:rPr>
              <w:t>“</w:t>
            </w:r>
            <w:r>
              <w:rPr>
                <w:rFonts w:hint="eastAsia" w:eastAsia="仿宋"/>
                <w:sz w:val="24"/>
              </w:rPr>
              <w:t>自动</w:t>
            </w:r>
            <w:r>
              <w:rPr>
                <w:rFonts w:eastAsia="仿宋"/>
                <w:sz w:val="24"/>
              </w:rPr>
              <w:t>”</w:t>
            </w:r>
            <w:r>
              <w:rPr>
                <w:rFonts w:hint="eastAsia" w:eastAsia="仿宋"/>
                <w:sz w:val="24"/>
              </w:rPr>
              <w:t>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395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3.</w:t>
            </w:r>
            <w:r>
              <w:rPr>
                <w:rFonts w:hint="eastAsia" w:eastAsia="仿宋"/>
                <w:sz w:val="24"/>
              </w:rPr>
              <w:t>自动喷水灭火系统、防火卷帘、机械防排烟等建筑消防设施不能正常联动的，必须及时维修，恢复系统正常联动功能。</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自动喷水灭火系统</w:t>
            </w:r>
          </w:p>
        </w:tc>
        <w:tc>
          <w:tcPr>
            <w:tcW w:w="37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消防水泵接到火警确认信号应立即启泵并正常工作。</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打开湿式报警阀试水阀门，消防水泵应能自动启动。</w:t>
            </w:r>
            <w:r>
              <w:rPr>
                <w:rFonts w:eastAsia="仿宋"/>
                <w:sz w:val="24"/>
              </w:rPr>
              <w:t>2.</w:t>
            </w:r>
            <w:r>
              <w:rPr>
                <w:rFonts w:hint="eastAsia" w:eastAsia="仿宋"/>
                <w:sz w:val="24"/>
              </w:rPr>
              <w:t>消防控制室内的消防联动控制器的手动控制盘应能直接启、停消防泵。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39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防火卷帘</w:t>
            </w:r>
          </w:p>
        </w:tc>
        <w:tc>
          <w:tcPr>
            <w:tcW w:w="374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防火卷帘应完好，接到下降信号后，应能正常启动降落；电动故障时，应能手动下降。</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检查导轨内是否有妨碍卷帘下降的障碍物；手动机构是否有效；无机纤维复合防火卷帘特别注意其折叠部位是否存在开线等不完整情形。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39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机械防烟系统</w:t>
            </w:r>
          </w:p>
        </w:tc>
        <w:tc>
          <w:tcPr>
            <w:tcW w:w="374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接到火灾确认信号能正常启动。</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同一防火分区内的火灾探测器或手动火灾报警按钮等累计两个报警信号触发送风口和送风机启动。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9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机械排烟系统</w:t>
            </w:r>
          </w:p>
        </w:tc>
        <w:tc>
          <w:tcPr>
            <w:tcW w:w="374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同一防烟分区内的两只独立的火灾探测器的报警信号，触发排烟口、排烟窗和排烟阀开启，同时停止该防烟分区的空气调节系统。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trPr>
        <w:tc>
          <w:tcPr>
            <w:tcW w:w="395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4.</w:t>
            </w:r>
            <w:r>
              <w:rPr>
                <w:rFonts w:hint="eastAsia" w:eastAsia="仿宋"/>
                <w:sz w:val="24"/>
              </w:rPr>
              <w:t>消火栓、自动喷水灭火系统不能正常供水的，必须及时维修，恢复系统正常供水功能。</w:t>
            </w:r>
          </w:p>
        </w:tc>
        <w:tc>
          <w:tcPr>
            <w:tcW w:w="514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消火栓系统、自动喷水灭火系统的主要阀门应悬挂</w:t>
            </w:r>
            <w:r>
              <w:rPr>
                <w:rFonts w:eastAsia="仿宋"/>
                <w:sz w:val="24"/>
              </w:rPr>
              <w:t>“</w:t>
            </w:r>
            <w:r>
              <w:rPr>
                <w:rFonts w:hint="eastAsia" w:eastAsia="仿宋"/>
                <w:sz w:val="24"/>
              </w:rPr>
              <w:t>常开</w:t>
            </w:r>
            <w:r>
              <w:rPr>
                <w:rFonts w:eastAsia="仿宋"/>
                <w:sz w:val="24"/>
              </w:rPr>
              <w:t>”“</w:t>
            </w:r>
            <w:r>
              <w:rPr>
                <w:rFonts w:hint="eastAsia" w:eastAsia="仿宋"/>
                <w:sz w:val="24"/>
              </w:rPr>
              <w:t>常关</w:t>
            </w:r>
            <w:r>
              <w:rPr>
                <w:rFonts w:eastAsia="仿宋"/>
                <w:sz w:val="24"/>
              </w:rPr>
              <w:t>”</w:t>
            </w:r>
            <w:r>
              <w:rPr>
                <w:rFonts w:hint="eastAsia" w:eastAsia="仿宋"/>
                <w:sz w:val="24"/>
              </w:rPr>
              <w:t>等标识标牌，并按悬挂要求将阀门置于</w:t>
            </w:r>
            <w:r>
              <w:rPr>
                <w:rFonts w:eastAsia="仿宋"/>
                <w:sz w:val="24"/>
              </w:rPr>
              <w:t>“</w:t>
            </w:r>
            <w:r>
              <w:rPr>
                <w:rFonts w:hint="eastAsia" w:eastAsia="仿宋"/>
                <w:sz w:val="24"/>
              </w:rPr>
              <w:t>常开</w:t>
            </w:r>
            <w:r>
              <w:rPr>
                <w:rFonts w:eastAsia="仿宋"/>
                <w:sz w:val="24"/>
              </w:rPr>
              <w:t>”“</w:t>
            </w:r>
            <w:r>
              <w:rPr>
                <w:rFonts w:hint="eastAsia" w:eastAsia="仿宋"/>
                <w:sz w:val="24"/>
              </w:rPr>
              <w:t>常关</w:t>
            </w:r>
            <w:r>
              <w:rPr>
                <w:rFonts w:eastAsia="仿宋"/>
                <w:sz w:val="24"/>
              </w:rPr>
              <w:t>”</w:t>
            </w:r>
            <w:r>
              <w:rPr>
                <w:rFonts w:hint="eastAsia" w:eastAsia="仿宋"/>
                <w:sz w:val="24"/>
              </w:rPr>
              <w:t>状态。</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日常巡查，检查消火栓系统、自动喷水灭火系统上各阀门的开闭状态，确保按照设计要求，阀门应处于其设计状态。</w:t>
            </w:r>
            <w:r>
              <w:rPr>
                <w:rFonts w:eastAsia="仿宋"/>
                <w:sz w:val="24"/>
              </w:rPr>
              <w:t>2.</w:t>
            </w:r>
            <w:r>
              <w:rPr>
                <w:rFonts w:hint="eastAsia" w:eastAsia="仿宋"/>
                <w:sz w:val="24"/>
              </w:rPr>
              <w:t>打开自动喷水灭火系统末端试水装置，系统应能自动启动。</w:t>
            </w:r>
            <w:r>
              <w:rPr>
                <w:rFonts w:eastAsia="仿宋"/>
                <w:sz w:val="24"/>
              </w:rPr>
              <w:t>3.</w:t>
            </w:r>
            <w:r>
              <w:rPr>
                <w:rFonts w:hint="eastAsia" w:eastAsia="仿宋"/>
                <w:sz w:val="24"/>
              </w:rPr>
              <w:t>连接消火栓出水口、水带和水枪，打开消火栓出水口阀门，应能正常动作且出水压力符合要求。</w:t>
            </w:r>
          </w:p>
        </w:tc>
      </w:tr>
    </w:tbl>
    <w:p>
      <w:pPr>
        <w:adjustRightInd w:val="0"/>
        <w:spacing w:line="560" w:lineRule="exact"/>
        <w:ind w:firstLine="640" w:firstLineChars="200"/>
        <w:jc w:val="left"/>
        <w:rPr>
          <w:rFonts w:ascii="黑体" w:hAnsi="黑体" w:eastAsia="黑体"/>
        </w:rPr>
      </w:pPr>
      <w:r>
        <w:rPr>
          <w:rFonts w:eastAsia="仿宋"/>
        </w:rPr>
        <w:br w:type="page"/>
      </w:r>
      <w:r>
        <w:rPr>
          <w:rFonts w:hint="eastAsia" w:ascii="黑体" w:hAnsi="黑体" w:eastAsia="黑体"/>
        </w:rPr>
        <w:t>（六）电动自行车违规停放充电整治要求、检查标准和方法</w:t>
      </w:r>
    </w:p>
    <w:tbl>
      <w:tblPr>
        <w:tblStyle w:val="6"/>
        <w:tblW w:w="14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6"/>
        <w:gridCol w:w="6174"/>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46" w:type="dxa"/>
            <w:vAlign w:val="center"/>
          </w:tcPr>
          <w:p>
            <w:pPr>
              <w:snapToGrid w:val="0"/>
              <w:jc w:val="center"/>
              <w:rPr>
                <w:rFonts w:eastAsia="仿宋"/>
                <w:b/>
                <w:sz w:val="28"/>
                <w:szCs w:val="28"/>
              </w:rPr>
            </w:pPr>
            <w:r>
              <w:rPr>
                <w:rFonts w:hint="eastAsia" w:eastAsia="仿宋"/>
                <w:b/>
                <w:sz w:val="28"/>
                <w:szCs w:val="28"/>
              </w:rPr>
              <w:t>整治要求</w:t>
            </w:r>
          </w:p>
        </w:tc>
        <w:tc>
          <w:tcPr>
            <w:tcW w:w="6174" w:type="dxa"/>
            <w:vAlign w:val="center"/>
          </w:tcPr>
          <w:p>
            <w:pPr>
              <w:snapToGrid w:val="0"/>
              <w:jc w:val="center"/>
              <w:rPr>
                <w:rFonts w:eastAsia="仿宋"/>
                <w:b/>
                <w:sz w:val="28"/>
                <w:szCs w:val="28"/>
              </w:rPr>
            </w:pPr>
            <w:r>
              <w:rPr>
                <w:rFonts w:hint="eastAsia" w:eastAsia="仿宋"/>
                <w:b/>
                <w:sz w:val="28"/>
                <w:szCs w:val="28"/>
              </w:rPr>
              <w:t>检查标准</w:t>
            </w:r>
          </w:p>
        </w:tc>
        <w:tc>
          <w:tcPr>
            <w:tcW w:w="4080" w:type="dxa"/>
            <w:vAlign w:val="center"/>
          </w:tcPr>
          <w:p>
            <w:pPr>
              <w:snapToGrid w:val="0"/>
              <w:jc w:val="center"/>
              <w:rPr>
                <w:rFonts w:eastAsia="仿宋"/>
                <w:b/>
                <w:sz w:val="28"/>
                <w:szCs w:val="28"/>
              </w:rPr>
            </w:pPr>
            <w:r>
              <w:rPr>
                <w:rFonts w:hint="eastAsia" w:eastAsia="仿宋"/>
                <w:b/>
                <w:sz w:val="28"/>
                <w:szCs w:val="28"/>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trPr>
        <w:tc>
          <w:tcPr>
            <w:tcW w:w="4346" w:type="dxa"/>
            <w:vAlign w:val="center"/>
          </w:tcPr>
          <w:p>
            <w:pPr>
              <w:spacing w:line="360" w:lineRule="exact"/>
              <w:rPr>
                <w:rFonts w:eastAsia="仿宋"/>
                <w:sz w:val="24"/>
              </w:rPr>
            </w:pPr>
            <w:r>
              <w:rPr>
                <w:rFonts w:eastAsia="仿宋"/>
                <w:sz w:val="24"/>
              </w:rPr>
              <w:t>1.</w:t>
            </w:r>
            <w:r>
              <w:rPr>
                <w:rFonts w:hint="eastAsia" w:eastAsia="仿宋"/>
                <w:sz w:val="24"/>
              </w:rPr>
              <w:t>电动自行车停放在建筑门厅、楼梯间、共用走道等室内公共区域的，必须及时搬离、清理，严禁进楼入户。</w:t>
            </w:r>
          </w:p>
        </w:tc>
        <w:tc>
          <w:tcPr>
            <w:tcW w:w="6174" w:type="dxa"/>
            <w:vMerge w:val="restart"/>
            <w:vAlign w:val="center"/>
          </w:tcPr>
          <w:p>
            <w:pPr>
              <w:spacing w:line="360" w:lineRule="exact"/>
              <w:rPr>
                <w:rFonts w:eastAsia="仿宋"/>
                <w:sz w:val="24"/>
              </w:rPr>
            </w:pPr>
            <w:r>
              <w:rPr>
                <w:rFonts w:hint="eastAsia" w:eastAsia="仿宋"/>
                <w:sz w:val="24"/>
              </w:rPr>
              <w:t>建筑门厅、楼梯间、共用走道等室内公共区域和居民住宅楼、员工宿舍等人员居住场所无电动自行车存放及充电。电动自行车应至专用充电区域充电，不应在户内充电及将拆卸后的电池带入户内充电，也不应从户内飞线向电动自行车充电。</w:t>
            </w:r>
          </w:p>
        </w:tc>
        <w:tc>
          <w:tcPr>
            <w:tcW w:w="4080" w:type="dxa"/>
            <w:vMerge w:val="restart"/>
            <w:vAlign w:val="center"/>
          </w:tcPr>
          <w:p>
            <w:pPr>
              <w:spacing w:line="360" w:lineRule="exact"/>
              <w:rPr>
                <w:rFonts w:eastAsia="仿宋"/>
                <w:sz w:val="24"/>
              </w:rPr>
            </w:pPr>
            <w:r>
              <w:rPr>
                <w:rFonts w:eastAsia="仿宋"/>
                <w:sz w:val="24"/>
              </w:rPr>
              <w:t>1.</w:t>
            </w:r>
            <w:r>
              <w:rPr>
                <w:rFonts w:hint="eastAsia" w:eastAsia="仿宋"/>
                <w:sz w:val="24"/>
              </w:rPr>
              <w:t>加强日常巡查，物业服务企业、村民委员会、居民委员会应落实网格化巡查工作，对发现将电动车停放公共区域和拆卸电池带入户内充电的行为进行劝阻，对不听劝阻的及时报告有关主管部门。</w:t>
            </w:r>
          </w:p>
          <w:p>
            <w:pPr>
              <w:spacing w:line="360" w:lineRule="exact"/>
              <w:rPr>
                <w:rFonts w:eastAsia="仿宋"/>
                <w:sz w:val="24"/>
              </w:rPr>
            </w:pPr>
            <w:r>
              <w:rPr>
                <w:rFonts w:eastAsia="仿宋"/>
                <w:sz w:val="24"/>
              </w:rPr>
              <w:t>2.</w:t>
            </w:r>
            <w:r>
              <w:rPr>
                <w:rFonts w:hint="eastAsia" w:eastAsia="仿宋"/>
                <w:sz w:val="24"/>
              </w:rPr>
              <w:t>物业服务企业、村民委员会、居民委员会应开展防范常识宣传和典型火灾案例警示教育，与居民、员工签订电动自行车不入户充电协议。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trPr>
        <w:tc>
          <w:tcPr>
            <w:tcW w:w="4346" w:type="dxa"/>
            <w:vAlign w:val="center"/>
          </w:tcPr>
          <w:p>
            <w:pPr>
              <w:spacing w:line="360" w:lineRule="exact"/>
              <w:rPr>
                <w:rFonts w:eastAsia="仿宋"/>
                <w:sz w:val="24"/>
              </w:rPr>
            </w:pPr>
            <w:r>
              <w:rPr>
                <w:rFonts w:eastAsia="仿宋"/>
                <w:sz w:val="24"/>
              </w:rPr>
              <w:t>2.</w:t>
            </w:r>
            <w:r>
              <w:rPr>
                <w:rFonts w:hint="eastAsia" w:eastAsia="仿宋"/>
                <w:sz w:val="24"/>
              </w:rPr>
              <w:t>居民住宅楼、员工宿舍等有人员居住的场所内停放电动自行车的，必须搬离，严禁</w:t>
            </w:r>
            <w:r>
              <w:rPr>
                <w:rFonts w:eastAsia="仿宋"/>
                <w:sz w:val="24"/>
              </w:rPr>
              <w:t>“</w:t>
            </w:r>
            <w:r>
              <w:rPr>
                <w:rFonts w:hint="eastAsia" w:eastAsia="仿宋"/>
                <w:sz w:val="24"/>
              </w:rPr>
              <w:t>人车同屋</w:t>
            </w:r>
            <w:r>
              <w:rPr>
                <w:rFonts w:eastAsia="仿宋"/>
                <w:sz w:val="24"/>
              </w:rPr>
              <w:t>”</w:t>
            </w:r>
            <w:r>
              <w:rPr>
                <w:rFonts w:hint="eastAsia" w:eastAsia="仿宋"/>
                <w:sz w:val="24"/>
              </w:rPr>
              <w:t>。</w:t>
            </w:r>
          </w:p>
        </w:tc>
        <w:tc>
          <w:tcPr>
            <w:tcW w:w="6174" w:type="dxa"/>
            <w:vMerge w:val="continue"/>
            <w:vAlign w:val="center"/>
          </w:tcPr>
          <w:p>
            <w:pPr>
              <w:spacing w:line="360" w:lineRule="exact"/>
              <w:rPr>
                <w:rFonts w:eastAsia="仿宋"/>
                <w:sz w:val="24"/>
              </w:rPr>
            </w:pPr>
          </w:p>
        </w:tc>
        <w:tc>
          <w:tcPr>
            <w:tcW w:w="4080" w:type="dxa"/>
            <w:vMerge w:val="continue"/>
            <w:vAlign w:val="center"/>
          </w:tcPr>
          <w:p>
            <w:pPr>
              <w:spacing w:line="360" w:lineRule="exac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46" w:type="dxa"/>
            <w:vAlign w:val="center"/>
          </w:tcPr>
          <w:p>
            <w:pPr>
              <w:spacing w:line="360" w:lineRule="exact"/>
              <w:rPr>
                <w:rFonts w:eastAsia="仿宋"/>
                <w:sz w:val="24"/>
              </w:rPr>
            </w:pPr>
            <w:r>
              <w:rPr>
                <w:rFonts w:eastAsia="仿宋"/>
                <w:sz w:val="24"/>
              </w:rPr>
              <w:t>3.</w:t>
            </w:r>
            <w:r>
              <w:rPr>
                <w:rFonts w:hint="eastAsia" w:eastAsia="仿宋"/>
                <w:sz w:val="24"/>
              </w:rPr>
              <w:t>电动自行车采取</w:t>
            </w:r>
            <w:r>
              <w:rPr>
                <w:rFonts w:eastAsia="仿宋"/>
                <w:sz w:val="24"/>
              </w:rPr>
              <w:t>“</w:t>
            </w:r>
            <w:r>
              <w:rPr>
                <w:rFonts w:hint="eastAsia" w:eastAsia="仿宋"/>
                <w:sz w:val="24"/>
              </w:rPr>
              <w:t>飞线</w:t>
            </w:r>
            <w:r>
              <w:rPr>
                <w:rFonts w:eastAsia="仿宋"/>
                <w:sz w:val="24"/>
              </w:rPr>
              <w:t>”</w:t>
            </w:r>
            <w:r>
              <w:rPr>
                <w:rFonts w:hint="eastAsia" w:eastAsia="仿宋"/>
                <w:sz w:val="24"/>
              </w:rPr>
              <w:t>、入户等方式违规充电的，必须及时纠正，加强教育警示。</w:t>
            </w:r>
          </w:p>
        </w:tc>
        <w:tc>
          <w:tcPr>
            <w:tcW w:w="6174" w:type="dxa"/>
            <w:vMerge w:val="continue"/>
            <w:vAlign w:val="center"/>
          </w:tcPr>
          <w:p>
            <w:pPr>
              <w:spacing w:line="360" w:lineRule="exact"/>
              <w:rPr>
                <w:rFonts w:eastAsia="仿宋"/>
                <w:sz w:val="24"/>
              </w:rPr>
            </w:pPr>
          </w:p>
        </w:tc>
        <w:tc>
          <w:tcPr>
            <w:tcW w:w="4080" w:type="dxa"/>
            <w:vMerge w:val="continue"/>
            <w:vAlign w:val="center"/>
          </w:tcPr>
          <w:p>
            <w:pPr>
              <w:spacing w:line="360" w:lineRule="exac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4346" w:type="dxa"/>
            <w:vAlign w:val="center"/>
          </w:tcPr>
          <w:p>
            <w:pPr>
              <w:spacing w:line="360" w:lineRule="exact"/>
              <w:rPr>
                <w:rFonts w:eastAsia="仿宋"/>
                <w:sz w:val="24"/>
              </w:rPr>
            </w:pPr>
            <w:r>
              <w:rPr>
                <w:rFonts w:eastAsia="仿宋"/>
                <w:sz w:val="24"/>
              </w:rPr>
              <w:t>4.</w:t>
            </w:r>
            <w:r>
              <w:rPr>
                <w:rFonts w:hint="eastAsia" w:eastAsia="仿宋"/>
                <w:sz w:val="24"/>
              </w:rPr>
              <w:t>电动自行车集中停放的部位与其他部位直接连通的，必须设置防火分隔设施。</w:t>
            </w:r>
          </w:p>
        </w:tc>
        <w:tc>
          <w:tcPr>
            <w:tcW w:w="6174" w:type="dxa"/>
            <w:vMerge w:val="restart"/>
            <w:vAlign w:val="center"/>
          </w:tcPr>
          <w:p>
            <w:pPr>
              <w:spacing w:line="360" w:lineRule="exact"/>
              <w:rPr>
                <w:rFonts w:eastAsia="仿宋"/>
                <w:sz w:val="24"/>
              </w:rPr>
            </w:pPr>
            <w:r>
              <w:rPr>
                <w:rFonts w:hint="eastAsia" w:eastAsia="仿宋"/>
                <w:sz w:val="24"/>
              </w:rPr>
              <w:t>电动自行车集中停放场所与建筑其他功能部位应设置实体墙分隔，分隔墙上确需开门时，应为防火门。</w:t>
            </w:r>
          </w:p>
          <w:p>
            <w:pPr>
              <w:spacing w:line="360" w:lineRule="exact"/>
              <w:rPr>
                <w:rFonts w:eastAsia="仿宋"/>
                <w:sz w:val="24"/>
              </w:rPr>
            </w:pPr>
            <w:r>
              <w:rPr>
                <w:rFonts w:hint="eastAsia" w:eastAsia="仿宋"/>
                <w:sz w:val="24"/>
              </w:rPr>
              <w:t>集中停放充电区域应明确管理单位和管理人员，电动自行车停放充电场所不应存放易燃、可燃物品。</w:t>
            </w:r>
          </w:p>
        </w:tc>
        <w:tc>
          <w:tcPr>
            <w:tcW w:w="4080" w:type="dxa"/>
            <w:vMerge w:val="restart"/>
            <w:vAlign w:val="center"/>
          </w:tcPr>
          <w:p>
            <w:pPr>
              <w:spacing w:line="360" w:lineRule="exact"/>
              <w:rPr>
                <w:rFonts w:eastAsia="仿宋"/>
                <w:sz w:val="24"/>
              </w:rPr>
            </w:pPr>
            <w:r>
              <w:rPr>
                <w:rFonts w:eastAsia="仿宋"/>
                <w:sz w:val="24"/>
              </w:rPr>
              <w:t>1.</w:t>
            </w:r>
            <w:r>
              <w:rPr>
                <w:rFonts w:hint="eastAsia" w:eastAsia="仿宋"/>
                <w:sz w:val="24"/>
              </w:rPr>
              <w:t>检查墙体是否为不燃材料，是否完整牢固。</w:t>
            </w:r>
          </w:p>
          <w:p>
            <w:pPr>
              <w:spacing w:line="360" w:lineRule="exact"/>
              <w:rPr>
                <w:rFonts w:eastAsia="仿宋"/>
                <w:sz w:val="24"/>
              </w:rPr>
            </w:pPr>
            <w:r>
              <w:rPr>
                <w:rFonts w:eastAsia="仿宋"/>
                <w:sz w:val="24"/>
              </w:rPr>
              <w:t>2.</w:t>
            </w:r>
            <w:r>
              <w:rPr>
                <w:rFonts w:hint="eastAsia" w:eastAsia="仿宋"/>
                <w:sz w:val="24"/>
              </w:rPr>
              <w:t>检查防火门上粘贴的标牌，是否为防火门。</w:t>
            </w:r>
          </w:p>
          <w:p>
            <w:pPr>
              <w:spacing w:line="360" w:lineRule="exact"/>
              <w:rPr>
                <w:rFonts w:eastAsia="仿宋"/>
                <w:sz w:val="24"/>
              </w:rPr>
            </w:pPr>
            <w:r>
              <w:rPr>
                <w:rFonts w:eastAsia="仿宋"/>
                <w:sz w:val="24"/>
              </w:rPr>
              <w:t>3.</w:t>
            </w:r>
            <w:r>
              <w:rPr>
                <w:rFonts w:hint="eastAsia" w:eastAsia="仿宋"/>
                <w:sz w:val="24"/>
              </w:rPr>
              <w:t>现场检查电动自行车停放充电场所，除用作电动自行车停放和充电外，不应用作其他用途。如用作储藏间等。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4346" w:type="dxa"/>
            <w:vAlign w:val="center"/>
          </w:tcPr>
          <w:p>
            <w:pPr>
              <w:snapToGrid w:val="0"/>
              <w:rPr>
                <w:rFonts w:eastAsia="仿宋"/>
                <w:sz w:val="24"/>
              </w:rPr>
            </w:pPr>
            <w:r>
              <w:rPr>
                <w:rFonts w:eastAsia="仿宋"/>
                <w:sz w:val="24"/>
              </w:rPr>
              <w:t>5.</w:t>
            </w:r>
            <w:r>
              <w:rPr>
                <w:rFonts w:hint="eastAsia" w:eastAsia="仿宋"/>
                <w:sz w:val="24"/>
              </w:rPr>
              <w:t>电动自行车停放周围有易燃可燃物的，必须及时清理，确保安全距离。</w:t>
            </w:r>
          </w:p>
        </w:tc>
        <w:tc>
          <w:tcPr>
            <w:tcW w:w="6174" w:type="dxa"/>
            <w:vMerge w:val="continue"/>
            <w:vAlign w:val="center"/>
          </w:tcPr>
          <w:p>
            <w:pPr>
              <w:snapToGrid w:val="0"/>
              <w:ind w:firstLine="480" w:firstLineChars="200"/>
              <w:rPr>
                <w:rFonts w:eastAsia="仿宋"/>
                <w:sz w:val="24"/>
              </w:rPr>
            </w:pPr>
          </w:p>
        </w:tc>
        <w:tc>
          <w:tcPr>
            <w:tcW w:w="4080" w:type="dxa"/>
            <w:vMerge w:val="continue"/>
            <w:vAlign w:val="center"/>
          </w:tcPr>
          <w:p>
            <w:pPr>
              <w:snapToGrid w:val="0"/>
              <w:rPr>
                <w:rFonts w:eastAsia="仿宋"/>
                <w:sz w:val="24"/>
              </w:rPr>
            </w:pPr>
          </w:p>
        </w:tc>
      </w:tr>
    </w:tbl>
    <w:p>
      <w:pPr>
        <w:adjustRightInd w:val="0"/>
        <w:spacing w:line="560" w:lineRule="exact"/>
        <w:ind w:firstLine="640" w:firstLineChars="200"/>
        <w:jc w:val="left"/>
        <w:rPr>
          <w:rFonts w:ascii="黑体" w:hAnsi="黑体" w:eastAsia="黑体"/>
        </w:rPr>
      </w:pPr>
      <w:r>
        <w:rPr>
          <w:rFonts w:eastAsia="仿宋"/>
        </w:rPr>
        <w:br w:type="page"/>
      </w:r>
      <w:r>
        <w:rPr>
          <w:rFonts w:hint="eastAsia" w:ascii="黑体" w:hAnsi="黑体" w:eastAsia="黑体"/>
        </w:rPr>
        <w:t>（七）电气火灾隐患整治要求、检查标准和方法</w:t>
      </w:r>
    </w:p>
    <w:tbl>
      <w:tblPr>
        <w:tblStyle w:val="6"/>
        <w:tblW w:w="14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6"/>
        <w:gridCol w:w="10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46" w:type="dxa"/>
            <w:vAlign w:val="center"/>
          </w:tcPr>
          <w:p>
            <w:pPr>
              <w:snapToGrid w:val="0"/>
              <w:jc w:val="center"/>
              <w:rPr>
                <w:rFonts w:eastAsia="仿宋"/>
                <w:b/>
                <w:sz w:val="28"/>
                <w:szCs w:val="28"/>
              </w:rPr>
            </w:pPr>
            <w:r>
              <w:rPr>
                <w:rFonts w:hint="eastAsia" w:eastAsia="仿宋"/>
                <w:b/>
                <w:sz w:val="28"/>
                <w:szCs w:val="28"/>
              </w:rPr>
              <w:t>整治要求</w:t>
            </w:r>
          </w:p>
        </w:tc>
        <w:tc>
          <w:tcPr>
            <w:tcW w:w="10254" w:type="dxa"/>
            <w:vAlign w:val="center"/>
          </w:tcPr>
          <w:p>
            <w:pPr>
              <w:snapToGrid w:val="0"/>
              <w:jc w:val="center"/>
              <w:rPr>
                <w:rFonts w:eastAsia="仿宋"/>
                <w:b/>
                <w:sz w:val="28"/>
                <w:szCs w:val="28"/>
              </w:rPr>
            </w:pPr>
            <w:r>
              <w:rPr>
                <w:rFonts w:hint="eastAsia" w:eastAsia="仿宋"/>
                <w:b/>
                <w:sz w:val="28"/>
                <w:szCs w:val="28"/>
              </w:rPr>
              <w:t>检查标准及方法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46" w:type="dxa"/>
            <w:vAlign w:val="center"/>
          </w:tcPr>
          <w:p>
            <w:pPr>
              <w:spacing w:line="360" w:lineRule="exact"/>
              <w:rPr>
                <w:rFonts w:eastAsia="仿宋"/>
                <w:sz w:val="24"/>
              </w:rPr>
            </w:pPr>
            <w:r>
              <w:rPr>
                <w:rFonts w:hint="eastAsia" w:eastAsia="仿宋"/>
                <w:sz w:val="24"/>
              </w:rPr>
              <w:t>电气线路、电气设备未选用合格产品，应更换有许可证编号或</w:t>
            </w:r>
            <w:r>
              <w:rPr>
                <w:rFonts w:eastAsia="仿宋"/>
                <w:sz w:val="24"/>
              </w:rPr>
              <w:t>CCC</w:t>
            </w:r>
            <w:r>
              <w:rPr>
                <w:rFonts w:hint="eastAsia" w:eastAsia="仿宋"/>
                <w:sz w:val="24"/>
              </w:rPr>
              <w:t>标志的产品</w:t>
            </w:r>
          </w:p>
        </w:tc>
        <w:tc>
          <w:tcPr>
            <w:tcW w:w="10254" w:type="dxa"/>
            <w:vAlign w:val="center"/>
          </w:tcPr>
          <w:p>
            <w:pPr>
              <w:spacing w:line="360" w:lineRule="exact"/>
              <w:rPr>
                <w:rFonts w:eastAsia="仿宋"/>
                <w:sz w:val="24"/>
              </w:rPr>
            </w:pPr>
            <w:r>
              <w:rPr>
                <w:rFonts w:hint="eastAsia" w:eastAsia="仿宋"/>
                <w:sz w:val="24"/>
              </w:rPr>
              <w:t>电气线路、电气设备</w:t>
            </w:r>
            <w:r>
              <w:rPr>
                <w:rFonts w:hint="eastAsia" w:eastAsia="仿宋"/>
                <w:sz w:val="24"/>
                <w:lang w:val="zh-CN"/>
              </w:rPr>
              <w:t>应有许可证编号或</w:t>
            </w:r>
            <w:r>
              <w:rPr>
                <w:rFonts w:eastAsia="仿宋"/>
                <w:sz w:val="24"/>
                <w:lang w:val="zh-CN"/>
              </w:rPr>
              <w:t>CCC</w:t>
            </w:r>
            <w:r>
              <w:rPr>
                <w:rFonts w:hint="eastAsia" w:eastAsia="仿宋"/>
                <w:sz w:val="24"/>
                <w:lang w:val="zh-CN"/>
              </w:rPr>
              <w:t>标志，重点检查低压配电柜、配电箱、控制箱（柜）、线缆、母线、开关、插座、照明灯具等产品的</w:t>
            </w:r>
            <w:r>
              <w:rPr>
                <w:rFonts w:eastAsia="仿宋"/>
                <w:sz w:val="24"/>
                <w:lang w:val="zh-CN"/>
              </w:rPr>
              <w:t>CCC</w:t>
            </w:r>
            <w:r>
              <w:rPr>
                <w:rFonts w:hint="eastAsia" w:eastAsia="仿宋"/>
                <w:sz w:val="24"/>
                <w:lang w:val="zh-CN"/>
              </w:rPr>
              <w:t>标志和产品出厂合格证。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trPr>
        <w:tc>
          <w:tcPr>
            <w:tcW w:w="4346" w:type="dxa"/>
            <w:vAlign w:val="center"/>
          </w:tcPr>
          <w:p>
            <w:pPr>
              <w:spacing w:line="360" w:lineRule="exact"/>
              <w:rPr>
                <w:rFonts w:eastAsia="仿宋"/>
                <w:sz w:val="24"/>
              </w:rPr>
            </w:pPr>
            <w:r>
              <w:rPr>
                <w:rFonts w:hint="eastAsia" w:eastAsia="仿宋"/>
                <w:sz w:val="24"/>
              </w:rPr>
              <w:t>电气线路敷设方式不符合要求，应采取防火保护措施。</w:t>
            </w:r>
          </w:p>
        </w:tc>
        <w:tc>
          <w:tcPr>
            <w:tcW w:w="10254" w:type="dxa"/>
            <w:vAlign w:val="center"/>
          </w:tcPr>
          <w:p>
            <w:pPr>
              <w:spacing w:line="360" w:lineRule="exact"/>
              <w:rPr>
                <w:rFonts w:eastAsia="仿宋"/>
                <w:sz w:val="24"/>
              </w:rPr>
            </w:pPr>
            <w:r>
              <w:rPr>
                <w:rFonts w:eastAsia="仿宋"/>
                <w:sz w:val="24"/>
              </w:rPr>
              <w:t>1.</w:t>
            </w:r>
            <w:r>
              <w:rPr>
                <w:rFonts w:hint="eastAsia" w:eastAsia="仿宋"/>
                <w:sz w:val="24"/>
              </w:rPr>
              <w:t>电气线路的敷设方式应规范、保护措施完好，导线绝缘层无破损、腐蚀、老化现象。</w:t>
            </w:r>
            <w:r>
              <w:rPr>
                <w:rFonts w:eastAsia="仿宋"/>
                <w:sz w:val="24"/>
              </w:rPr>
              <w:t>2.</w:t>
            </w:r>
            <w:r>
              <w:rPr>
                <w:rFonts w:hint="eastAsia" w:eastAsia="仿宋"/>
                <w:sz w:val="24"/>
              </w:rPr>
              <w:t>敷设在可燃物上方或有可燃物的闷顶、吊顶内的电气线路，应采取穿金属管、密封槽盒等防火保护措施。</w:t>
            </w:r>
            <w:r>
              <w:rPr>
                <w:rFonts w:eastAsia="仿宋"/>
                <w:sz w:val="24"/>
              </w:rPr>
              <w:t>3.</w:t>
            </w:r>
            <w:r>
              <w:rPr>
                <w:rFonts w:hint="eastAsia" w:eastAsia="仿宋"/>
                <w:sz w:val="24"/>
              </w:rPr>
              <w:t>电气线路不能与可燃液体、气体管道和热力管道敷设在同一管沟内。</w:t>
            </w:r>
            <w:r>
              <w:rPr>
                <w:rFonts w:eastAsia="仿宋"/>
                <w:sz w:val="24"/>
              </w:rPr>
              <w:t>4.</w:t>
            </w:r>
            <w:r>
              <w:rPr>
                <w:rFonts w:hint="eastAsia" w:eastAsia="仿宋"/>
                <w:sz w:val="24"/>
              </w:rPr>
              <w:t>塑料护套线应明敷，不应直接敷设在顶棚内、保温层内或可燃装饰面内，配线回路的绝缘电阻测试应符合要求。</w:t>
            </w:r>
            <w:r>
              <w:rPr>
                <w:rFonts w:eastAsia="仿宋"/>
                <w:sz w:val="24"/>
              </w:rPr>
              <w:t>5.</w:t>
            </w:r>
            <w:r>
              <w:rPr>
                <w:rFonts w:hint="eastAsia" w:eastAsia="仿宋"/>
                <w:sz w:val="24"/>
              </w:rPr>
              <w:t>敷设在电气竖井内穿楼板处和穿越不同防火分区的梯架、托盘和槽盒（含槽盒内）应有防火封堵措施。</w:t>
            </w:r>
            <w:r>
              <w:rPr>
                <w:rFonts w:eastAsia="仿宋"/>
                <w:sz w:val="24"/>
              </w:rPr>
              <w:t>6.</w:t>
            </w:r>
            <w:r>
              <w:rPr>
                <w:rFonts w:hint="eastAsia" w:eastAsia="仿宋"/>
                <w:sz w:val="24"/>
              </w:rPr>
              <w:t>安装在燃烧性能等级为</w:t>
            </w:r>
            <w:r>
              <w:rPr>
                <w:rFonts w:eastAsia="仿宋"/>
                <w:sz w:val="24"/>
              </w:rPr>
              <w:t>B1</w:t>
            </w:r>
            <w:r>
              <w:rPr>
                <w:rFonts w:hint="eastAsia" w:eastAsia="仿宋"/>
                <w:sz w:val="24"/>
              </w:rPr>
              <w:t>级以下装修材料内的开关、插座等，必须采用防火封堵密封件或燃烧性能等级为</w:t>
            </w:r>
            <w:r>
              <w:rPr>
                <w:rFonts w:eastAsia="仿宋"/>
                <w:sz w:val="24"/>
              </w:rPr>
              <w:t>A</w:t>
            </w:r>
            <w:r>
              <w:rPr>
                <w:rFonts w:hint="eastAsia" w:eastAsia="仿宋"/>
                <w:sz w:val="24"/>
              </w:rPr>
              <w:t>级的材料（例如：石棉垫）隔绝。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4346" w:type="dxa"/>
            <w:vAlign w:val="center"/>
          </w:tcPr>
          <w:p>
            <w:pPr>
              <w:spacing w:line="360" w:lineRule="exact"/>
              <w:rPr>
                <w:rFonts w:eastAsia="仿宋"/>
                <w:sz w:val="24"/>
              </w:rPr>
            </w:pPr>
            <w:r>
              <w:rPr>
                <w:rFonts w:hint="eastAsia" w:eastAsia="仿宋"/>
                <w:sz w:val="24"/>
              </w:rPr>
              <w:t>电气线路、电气设备未完好有效，应及时更换老化的线路，安装短路、过负荷、漏电等保护装置。</w:t>
            </w:r>
          </w:p>
        </w:tc>
        <w:tc>
          <w:tcPr>
            <w:tcW w:w="10254" w:type="dxa"/>
            <w:vAlign w:val="center"/>
          </w:tcPr>
          <w:p>
            <w:pPr>
              <w:spacing w:line="360" w:lineRule="exact"/>
              <w:rPr>
                <w:rFonts w:eastAsia="仿宋"/>
                <w:sz w:val="24"/>
              </w:rPr>
            </w:pPr>
            <w:r>
              <w:rPr>
                <w:rFonts w:eastAsia="仿宋"/>
                <w:sz w:val="24"/>
              </w:rPr>
              <w:t>1.</w:t>
            </w:r>
            <w:r>
              <w:rPr>
                <w:rFonts w:hint="eastAsia" w:eastAsia="仿宋"/>
                <w:sz w:val="24"/>
              </w:rPr>
              <w:t>导线端部无变色、老化现象，金属裸露部分保护措施完好有效。</w:t>
            </w:r>
            <w:r>
              <w:rPr>
                <w:rFonts w:eastAsia="仿宋"/>
                <w:sz w:val="24"/>
              </w:rPr>
              <w:t>2.</w:t>
            </w:r>
            <w:r>
              <w:rPr>
                <w:rFonts w:hint="eastAsia" w:eastAsia="仿宋"/>
                <w:sz w:val="24"/>
              </w:rPr>
              <w:t>电表箱、配电箱（柜）等电气设备应有短路、过负荷、漏电等保护装置。</w:t>
            </w:r>
            <w:r>
              <w:rPr>
                <w:rFonts w:eastAsia="仿宋"/>
                <w:sz w:val="24"/>
              </w:rPr>
              <w:t>3.</w:t>
            </w:r>
            <w:r>
              <w:rPr>
                <w:rFonts w:hint="eastAsia" w:eastAsia="仿宋"/>
                <w:sz w:val="24"/>
              </w:rPr>
              <w:t>现场使用的断路器保护开关额定容量是否与配电线路载流量相匹配。固定安装的电加热设备等大功率用电器具实际功率是否与设计相符。</w:t>
            </w:r>
            <w:r>
              <w:rPr>
                <w:rFonts w:eastAsia="仿宋"/>
                <w:sz w:val="24"/>
              </w:rPr>
              <w:t>4</w:t>
            </w:r>
            <w:r>
              <w:rPr>
                <w:rFonts w:hint="eastAsia" w:eastAsia="仿宋"/>
                <w:sz w:val="24"/>
              </w:rPr>
              <w:t>。铜铝过渡应使用专用铜铝过渡接头或搪锡，多股铜芯线头应拧紧、搪锡。</w:t>
            </w:r>
            <w:r>
              <w:rPr>
                <w:rFonts w:eastAsia="仿宋"/>
                <w:sz w:val="24"/>
              </w:rPr>
              <w:t>5.</w:t>
            </w:r>
            <w:r>
              <w:rPr>
                <w:rFonts w:hint="eastAsia" w:eastAsia="仿宋"/>
                <w:sz w:val="24"/>
              </w:rPr>
              <w:t>通过对重要设备、接线端子、引流线等红外测温检测否超负荷使用，防止设备温度过高引起火灾。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4346" w:type="dxa"/>
            <w:vAlign w:val="center"/>
          </w:tcPr>
          <w:p>
            <w:pPr>
              <w:spacing w:line="360" w:lineRule="exact"/>
              <w:rPr>
                <w:rFonts w:eastAsia="仿宋"/>
                <w:sz w:val="24"/>
              </w:rPr>
            </w:pPr>
            <w:r>
              <w:rPr>
                <w:rFonts w:hint="eastAsia" w:eastAsia="仿宋"/>
                <w:sz w:val="24"/>
              </w:rPr>
              <w:t>电气设备未与可燃物保持安全距离，应采取隔热、散热等防火措施，大功率电器应与可燃物品保持</w:t>
            </w:r>
            <w:r>
              <w:rPr>
                <w:rFonts w:eastAsia="仿宋"/>
                <w:sz w:val="24"/>
              </w:rPr>
              <w:t>0.5m</w:t>
            </w:r>
            <w:r>
              <w:rPr>
                <w:rFonts w:hint="eastAsia" w:eastAsia="仿宋"/>
                <w:sz w:val="24"/>
              </w:rPr>
              <w:t>安全距离，不应被可燃物覆盖。</w:t>
            </w:r>
          </w:p>
        </w:tc>
        <w:tc>
          <w:tcPr>
            <w:tcW w:w="10254" w:type="dxa"/>
            <w:vAlign w:val="center"/>
          </w:tcPr>
          <w:p>
            <w:pPr>
              <w:spacing w:line="360" w:lineRule="exact"/>
              <w:rPr>
                <w:rFonts w:eastAsia="仿宋"/>
                <w:sz w:val="24"/>
              </w:rPr>
            </w:pPr>
            <w:r>
              <w:rPr>
                <w:rFonts w:eastAsia="仿宋"/>
                <w:sz w:val="24"/>
              </w:rPr>
              <w:t>1.</w:t>
            </w:r>
            <w:r>
              <w:rPr>
                <w:rFonts w:hint="eastAsia" w:eastAsia="仿宋"/>
                <w:sz w:val="24"/>
              </w:rPr>
              <w:t>开关、插座和照明灯具靠近可燃物时应采取隔热、散热等防火措施。</w:t>
            </w:r>
            <w:r>
              <w:rPr>
                <w:rFonts w:eastAsia="仿宋"/>
                <w:sz w:val="24"/>
              </w:rPr>
              <w:t>2</w:t>
            </w:r>
            <w:r>
              <w:rPr>
                <w:rFonts w:hint="eastAsia" w:eastAsia="仿宋"/>
                <w:sz w:val="24"/>
              </w:rPr>
              <w:t>。电热器具（设备）及大功率电器应与可燃物品保持安全距离，不应被可燃物覆盖。电热器具（设备）及大功率电器应与可燃物品保持</w:t>
            </w:r>
            <w:r>
              <w:rPr>
                <w:rFonts w:eastAsia="仿宋"/>
                <w:sz w:val="24"/>
              </w:rPr>
              <w:t>0.5m</w:t>
            </w:r>
            <w:r>
              <w:rPr>
                <w:rFonts w:hint="eastAsia" w:eastAsia="仿宋"/>
                <w:sz w:val="24"/>
              </w:rPr>
              <w:t>安全距离，场所内灯具应安装不燃材料的保护灯罩，安装的通风、散热风机上附着的可燃残留物应及时清理。</w:t>
            </w:r>
            <w:r>
              <w:rPr>
                <w:rFonts w:eastAsia="仿宋"/>
                <w:sz w:val="24"/>
              </w:rPr>
              <w:t>3.</w:t>
            </w:r>
            <w:r>
              <w:rPr>
                <w:rFonts w:hint="eastAsia" w:eastAsia="仿宋"/>
                <w:sz w:val="24"/>
              </w:rPr>
              <w:t>物业小区、大型商业综合体及其他重要用户配电站（室）应独立防火分区、规范设置。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4346" w:type="dxa"/>
            <w:vAlign w:val="center"/>
          </w:tcPr>
          <w:p>
            <w:pPr>
              <w:rPr>
                <w:rFonts w:eastAsia="仿宋"/>
                <w:sz w:val="24"/>
              </w:rPr>
            </w:pPr>
            <w:r>
              <w:rPr>
                <w:rFonts w:hint="eastAsia" w:eastAsia="仿宋"/>
                <w:sz w:val="24"/>
              </w:rPr>
              <w:t>私拉乱接电气线路，随意增加线路负荷，严禁超负荷用电，不应违规使用大功率电气设备，不应擅自拉接临时电线。</w:t>
            </w:r>
          </w:p>
        </w:tc>
        <w:tc>
          <w:tcPr>
            <w:tcW w:w="10254" w:type="dxa"/>
            <w:vAlign w:val="center"/>
          </w:tcPr>
          <w:p>
            <w:pPr>
              <w:spacing w:line="360" w:lineRule="exact"/>
              <w:rPr>
                <w:rFonts w:eastAsia="仿宋"/>
                <w:sz w:val="24"/>
              </w:rPr>
            </w:pPr>
            <w:r>
              <w:rPr>
                <w:rFonts w:eastAsia="仿宋"/>
                <w:sz w:val="24"/>
              </w:rPr>
              <w:t>1.</w:t>
            </w:r>
            <w:r>
              <w:rPr>
                <w:rFonts w:hint="eastAsia" w:eastAsia="仿宋"/>
                <w:sz w:val="24"/>
              </w:rPr>
              <w:t>场所内严禁超负荷用电，不准擅自拉接临时电线。</w:t>
            </w:r>
            <w:r>
              <w:rPr>
                <w:rFonts w:eastAsia="仿宋"/>
                <w:sz w:val="24"/>
              </w:rPr>
              <w:t>2.</w:t>
            </w:r>
            <w:r>
              <w:rPr>
                <w:rFonts w:hint="eastAsia" w:eastAsia="仿宋"/>
                <w:sz w:val="24"/>
              </w:rPr>
              <w:t>使用移动插座取电时，用电负荷应与既有电气线路安全负荷相匹配，不应违规使用大功率电气设备。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4346" w:type="dxa"/>
            <w:vAlign w:val="center"/>
          </w:tcPr>
          <w:p>
            <w:pPr>
              <w:snapToGrid w:val="0"/>
              <w:spacing w:line="360" w:lineRule="exact"/>
              <w:rPr>
                <w:rFonts w:eastAsia="仿宋"/>
                <w:sz w:val="24"/>
              </w:rPr>
            </w:pPr>
            <w:r>
              <w:rPr>
                <w:rFonts w:hint="eastAsia" w:eastAsia="仿宋"/>
                <w:sz w:val="24"/>
              </w:rPr>
              <w:t>物业小区、大型商业综合体及其他重要用户配电站（室）检查重点</w:t>
            </w:r>
          </w:p>
        </w:tc>
        <w:tc>
          <w:tcPr>
            <w:tcW w:w="10254" w:type="dxa"/>
            <w:vAlign w:val="center"/>
          </w:tcPr>
          <w:p>
            <w:pPr>
              <w:spacing w:line="360" w:lineRule="exact"/>
              <w:rPr>
                <w:rFonts w:eastAsia="仿宋"/>
                <w:sz w:val="24"/>
              </w:rPr>
            </w:pPr>
            <w:r>
              <w:rPr>
                <w:rFonts w:eastAsia="仿宋"/>
                <w:sz w:val="24"/>
              </w:rPr>
              <w:t>1.</w:t>
            </w:r>
            <w:r>
              <w:rPr>
                <w:rFonts w:hint="eastAsia" w:eastAsia="仿宋"/>
                <w:sz w:val="24"/>
              </w:rPr>
              <w:t>检查配电站（室）的专用防火门是否向外开启，是否设有禁止吸烟的警告标志，周边区域是否存放易燃、易爆物品。</w:t>
            </w:r>
            <w:r>
              <w:rPr>
                <w:rFonts w:eastAsia="仿宋"/>
                <w:sz w:val="24"/>
              </w:rPr>
              <w:t>2.</w:t>
            </w:r>
            <w:r>
              <w:rPr>
                <w:rFonts w:hint="eastAsia" w:eastAsia="仿宋"/>
                <w:sz w:val="24"/>
              </w:rPr>
              <w:t>是否按照有关消防法规的规定，配置适当数量的干式灭火器、泡沫灭火器等灭火装置，灭火器材和消防安全标志是否完好有效。</w:t>
            </w:r>
            <w:r>
              <w:rPr>
                <w:rFonts w:eastAsia="仿宋"/>
                <w:sz w:val="24"/>
              </w:rPr>
              <w:t>3.</w:t>
            </w:r>
            <w:r>
              <w:rPr>
                <w:rFonts w:hint="eastAsia" w:eastAsia="仿宋"/>
                <w:sz w:val="24"/>
              </w:rPr>
              <w:t>疏散通道和安全出口有无堵塞、占用和锁闭情况，应保持畅通。配网运行人员是否定期进行消防演习。</w:t>
            </w:r>
            <w:r>
              <w:rPr>
                <w:rFonts w:eastAsia="仿宋"/>
                <w:sz w:val="24"/>
              </w:rPr>
              <w:t>4.</w:t>
            </w:r>
            <w:r>
              <w:rPr>
                <w:rFonts w:hint="eastAsia" w:eastAsia="仿宋"/>
                <w:sz w:val="24"/>
              </w:rPr>
              <w:t>禁止在具有火灾、爆炸危险的配电场所使用明火。因工作需要确需动火作业的，必须严格执行动火工作票制度，并落实相应的消防安全措施。</w:t>
            </w:r>
            <w:r>
              <w:rPr>
                <w:rFonts w:eastAsia="仿宋"/>
                <w:sz w:val="24"/>
              </w:rPr>
              <w:t>5.</w:t>
            </w:r>
            <w:r>
              <w:rPr>
                <w:rFonts w:hint="eastAsia" w:eastAsia="仿宋"/>
                <w:sz w:val="24"/>
              </w:rPr>
              <w:t>检查站内电缆沟、桥架是否有防火封堵。站内的配电电缆中间接头是否安装防爆盒。</w:t>
            </w:r>
            <w:r>
              <w:rPr>
                <w:rFonts w:eastAsia="仿宋"/>
                <w:sz w:val="24"/>
              </w:rPr>
              <w:t>6.</w:t>
            </w:r>
            <w:r>
              <w:rPr>
                <w:rFonts w:hint="eastAsia" w:eastAsia="仿宋"/>
                <w:sz w:val="24"/>
              </w:rPr>
              <w:t>检查配电盘（柜）设的短路、过负荷、漏电等保护装置是否保持完好有效，是否定期测试保护功能。</w:t>
            </w:r>
            <w:r>
              <w:rPr>
                <w:rFonts w:eastAsia="仿宋"/>
                <w:sz w:val="24"/>
              </w:rPr>
              <w:t>7.</w:t>
            </w:r>
            <w:r>
              <w:rPr>
                <w:rFonts w:hint="eastAsia" w:eastAsia="仿宋"/>
                <w:sz w:val="24"/>
              </w:rPr>
              <w:t>检查配电箱内各接线端子导线压接是否规范、牢固，导线端部应无变色、老化现象，金属裸露部分保护措施是否完好有效。</w:t>
            </w:r>
            <w:r>
              <w:rPr>
                <w:rFonts w:eastAsia="仿宋"/>
                <w:sz w:val="24"/>
              </w:rPr>
              <w:t>8.</w:t>
            </w:r>
            <w:r>
              <w:rPr>
                <w:rFonts w:hint="eastAsia" w:eastAsia="仿宋"/>
                <w:sz w:val="24"/>
              </w:rPr>
              <w:t>配电盘（柜）是否固定在不燃材料上，并与可燃材料保持安全距离。</w:t>
            </w:r>
            <w:r>
              <w:rPr>
                <w:rFonts w:eastAsia="仿宋"/>
                <w:sz w:val="24"/>
              </w:rPr>
              <w:t>9.</w:t>
            </w:r>
            <w:r>
              <w:rPr>
                <w:rFonts w:hint="eastAsia" w:eastAsia="仿宋"/>
                <w:sz w:val="24"/>
              </w:rPr>
              <w:t>电缆井（强电间）连通其他区域的孔洞防火封堵措施是否完好，电缆井（强电间）防火门是否锁闭并保持完好。</w:t>
            </w:r>
            <w:r>
              <w:rPr>
                <w:rFonts w:eastAsia="仿宋"/>
                <w:sz w:val="24"/>
              </w:rPr>
              <w:t>10.</w:t>
            </w:r>
            <w:r>
              <w:rPr>
                <w:rFonts w:hint="eastAsia" w:eastAsia="仿宋"/>
                <w:sz w:val="24"/>
              </w:rPr>
              <w:t>检查电缆井（强电间）、配电盘（柜）内及其周围是否堆放杂物。</w:t>
            </w:r>
            <w:r>
              <w:rPr>
                <w:rFonts w:eastAsia="仿宋"/>
                <w:sz w:val="24"/>
              </w:rPr>
              <w:t>11.</w:t>
            </w:r>
            <w:r>
              <w:rPr>
                <w:rFonts w:hint="eastAsia" w:eastAsia="仿宋"/>
                <w:sz w:val="24"/>
              </w:rPr>
              <w:t>是否定期开展配电站房设备设施巡视检查维护。</w:t>
            </w:r>
          </w:p>
        </w:tc>
      </w:tr>
    </w:tbl>
    <w:p>
      <w:pPr>
        <w:adjustRightInd w:val="0"/>
        <w:spacing w:line="560" w:lineRule="exact"/>
        <w:ind w:firstLine="640" w:firstLineChars="200"/>
        <w:jc w:val="left"/>
        <w:rPr>
          <w:rFonts w:eastAsia="仿宋"/>
        </w:rPr>
        <w:sectPr>
          <w:pgSz w:w="16838" w:h="11906" w:orient="landscape"/>
          <w:pgMar w:top="1418" w:right="1418" w:bottom="1418" w:left="1418" w:header="851" w:footer="992" w:gutter="0"/>
          <w:pgNumType w:fmt="numberInDash"/>
          <w:cols w:space="720" w:num="1"/>
          <w:titlePg/>
          <w:docGrid w:type="lines" w:linePitch="312" w:charSpace="0"/>
        </w:sectPr>
      </w:pPr>
    </w:p>
    <w:p>
      <w:pPr>
        <w:adjustRightInd w:val="0"/>
        <w:spacing w:line="560" w:lineRule="exact"/>
        <w:ind w:firstLine="640" w:firstLineChars="200"/>
        <w:jc w:val="left"/>
        <w:rPr>
          <w:rFonts w:ascii="黑体" w:hAnsi="黑体" w:eastAsia="黑体"/>
        </w:rPr>
      </w:pPr>
      <w:r>
        <w:rPr>
          <w:rFonts w:hint="eastAsia" w:ascii="黑体" w:hAnsi="黑体" w:eastAsia="黑体"/>
        </w:rPr>
        <w:t>（八）重点岗位人员责任不落实排查方法、标准及措施</w:t>
      </w:r>
    </w:p>
    <w:tbl>
      <w:tblPr>
        <w:tblStyle w:val="6"/>
        <w:tblW w:w="14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3"/>
        <w:gridCol w:w="9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973" w:type="dxa"/>
            <w:vAlign w:val="center"/>
          </w:tcPr>
          <w:p>
            <w:pPr>
              <w:snapToGrid w:val="0"/>
              <w:jc w:val="center"/>
              <w:rPr>
                <w:rFonts w:eastAsia="仿宋"/>
                <w:b/>
                <w:sz w:val="28"/>
                <w:szCs w:val="28"/>
              </w:rPr>
            </w:pPr>
            <w:r>
              <w:rPr>
                <w:rFonts w:hint="eastAsia" w:eastAsia="仿宋"/>
                <w:b/>
                <w:sz w:val="28"/>
                <w:szCs w:val="28"/>
              </w:rPr>
              <w:t>整治要求</w:t>
            </w:r>
          </w:p>
        </w:tc>
        <w:tc>
          <w:tcPr>
            <w:tcW w:w="9627" w:type="dxa"/>
            <w:vAlign w:val="center"/>
          </w:tcPr>
          <w:p>
            <w:pPr>
              <w:snapToGrid w:val="0"/>
              <w:jc w:val="center"/>
              <w:rPr>
                <w:rFonts w:eastAsia="仿宋"/>
                <w:b/>
                <w:sz w:val="28"/>
                <w:szCs w:val="28"/>
              </w:rPr>
            </w:pPr>
            <w:r>
              <w:rPr>
                <w:rFonts w:hint="eastAsia" w:eastAsia="仿宋"/>
                <w:b/>
                <w:sz w:val="28"/>
                <w:szCs w:val="28"/>
              </w:rPr>
              <w:t>检查标准或方法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3" w:type="dxa"/>
            <w:vAlign w:val="center"/>
          </w:tcPr>
          <w:p>
            <w:pPr>
              <w:spacing w:line="360" w:lineRule="exact"/>
              <w:rPr>
                <w:rFonts w:eastAsia="仿宋"/>
                <w:sz w:val="24"/>
              </w:rPr>
            </w:pPr>
            <w:r>
              <w:rPr>
                <w:rFonts w:eastAsia="仿宋"/>
                <w:sz w:val="24"/>
              </w:rPr>
              <w:t>1.</w:t>
            </w:r>
            <w:r>
              <w:rPr>
                <w:rFonts w:hint="eastAsia" w:eastAsia="仿宋"/>
                <w:sz w:val="24"/>
              </w:rPr>
              <w:t>单位未依法明确消防安全责任人、管理人及其职责的，必须及时明确并在醒目位置进行公示。</w:t>
            </w:r>
          </w:p>
        </w:tc>
        <w:tc>
          <w:tcPr>
            <w:tcW w:w="9627" w:type="dxa"/>
            <w:vAlign w:val="center"/>
          </w:tcPr>
          <w:p>
            <w:pPr>
              <w:spacing w:line="360" w:lineRule="exact"/>
              <w:rPr>
                <w:rFonts w:eastAsia="仿宋"/>
                <w:sz w:val="24"/>
              </w:rPr>
            </w:pPr>
            <w:r>
              <w:rPr>
                <w:rFonts w:eastAsia="仿宋"/>
                <w:sz w:val="24"/>
              </w:rPr>
              <w:t>1.</w:t>
            </w:r>
            <w:r>
              <w:rPr>
                <w:rFonts w:hint="eastAsia" w:eastAsia="仿宋"/>
                <w:sz w:val="24"/>
              </w:rPr>
              <w:t>查看单位消防安全管理台账，检查单位是否以文件形式明确消防安全责任人、管理人及其职责。</w:t>
            </w:r>
          </w:p>
          <w:p>
            <w:pPr>
              <w:spacing w:line="360" w:lineRule="exact"/>
              <w:rPr>
                <w:rFonts w:eastAsia="仿宋"/>
                <w:sz w:val="24"/>
              </w:rPr>
            </w:pPr>
            <w:r>
              <w:rPr>
                <w:rFonts w:eastAsia="仿宋"/>
                <w:sz w:val="24"/>
              </w:rPr>
              <w:t>2.</w:t>
            </w:r>
            <w:r>
              <w:rPr>
                <w:rFonts w:hint="eastAsia" w:eastAsia="仿宋"/>
                <w:sz w:val="24"/>
              </w:rPr>
              <w:t>对于单位消防安全责任人、管理人及其职责近期重新发文明确的，现场检查单位是否在醒目位置进行公示。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3" w:type="dxa"/>
            <w:vAlign w:val="center"/>
          </w:tcPr>
          <w:p>
            <w:pPr>
              <w:spacing w:line="360" w:lineRule="exact"/>
              <w:rPr>
                <w:rFonts w:eastAsia="仿宋"/>
                <w:sz w:val="24"/>
              </w:rPr>
            </w:pPr>
            <w:r>
              <w:rPr>
                <w:rFonts w:eastAsia="仿宋"/>
                <w:sz w:val="24"/>
              </w:rPr>
              <w:t>2.</w:t>
            </w:r>
            <w:r>
              <w:rPr>
                <w:rFonts w:hint="eastAsia" w:eastAsia="仿宋"/>
                <w:sz w:val="24"/>
              </w:rPr>
              <w:t>消防控制室值班人员不会熟练操作设施设备的，必须组织参加培训，确保培训合格、持证上岗，在紧急情况下能熟练操作设施设备。</w:t>
            </w:r>
          </w:p>
        </w:tc>
        <w:tc>
          <w:tcPr>
            <w:tcW w:w="9627" w:type="dxa"/>
            <w:vAlign w:val="center"/>
          </w:tcPr>
          <w:p>
            <w:pPr>
              <w:spacing w:line="360" w:lineRule="exact"/>
              <w:rPr>
                <w:rFonts w:eastAsia="仿宋"/>
                <w:sz w:val="24"/>
              </w:rPr>
            </w:pPr>
            <w:r>
              <w:rPr>
                <w:rFonts w:eastAsia="仿宋"/>
                <w:sz w:val="24"/>
              </w:rPr>
              <w:t>1.</w:t>
            </w:r>
            <w:r>
              <w:rPr>
                <w:rFonts w:hint="eastAsia" w:eastAsia="仿宋"/>
                <w:sz w:val="24"/>
              </w:rPr>
              <w:t>现场检查消防控制室是否落实</w:t>
            </w:r>
            <w:r>
              <w:rPr>
                <w:rFonts w:eastAsia="仿宋"/>
                <w:sz w:val="24"/>
              </w:rPr>
              <w:t>24</w:t>
            </w:r>
            <w:r>
              <w:rPr>
                <w:rFonts w:hint="eastAsia" w:eastAsia="仿宋"/>
                <w:sz w:val="24"/>
              </w:rPr>
              <w:t>小时值班、每班不少于</w:t>
            </w:r>
            <w:r>
              <w:rPr>
                <w:rFonts w:eastAsia="仿宋"/>
                <w:sz w:val="24"/>
              </w:rPr>
              <w:t>2</w:t>
            </w:r>
            <w:r>
              <w:rPr>
                <w:rFonts w:hint="eastAsia" w:eastAsia="仿宋"/>
                <w:sz w:val="24"/>
              </w:rPr>
              <w:t>人的值班制度。</w:t>
            </w:r>
          </w:p>
          <w:p>
            <w:pPr>
              <w:spacing w:line="360" w:lineRule="exact"/>
              <w:rPr>
                <w:rFonts w:eastAsia="仿宋"/>
                <w:sz w:val="24"/>
              </w:rPr>
            </w:pPr>
            <w:r>
              <w:rPr>
                <w:rFonts w:eastAsia="仿宋"/>
                <w:sz w:val="24"/>
              </w:rPr>
              <w:t>2.</w:t>
            </w:r>
            <w:r>
              <w:rPr>
                <w:rFonts w:hint="eastAsia" w:eastAsia="仿宋"/>
                <w:sz w:val="24"/>
              </w:rPr>
              <w:t>现场检查值班人员是否取得消防职业资格证书。</w:t>
            </w:r>
          </w:p>
          <w:p>
            <w:pPr>
              <w:spacing w:line="360" w:lineRule="exact"/>
              <w:rPr>
                <w:rFonts w:eastAsia="仿宋"/>
                <w:sz w:val="24"/>
              </w:rPr>
            </w:pPr>
            <w:r>
              <w:rPr>
                <w:rFonts w:eastAsia="仿宋"/>
                <w:sz w:val="24"/>
              </w:rPr>
              <w:t>3.</w:t>
            </w:r>
            <w:r>
              <w:rPr>
                <w:rFonts w:hint="eastAsia" w:eastAsia="仿宋"/>
                <w:sz w:val="24"/>
              </w:rPr>
              <w:t>抽查值班人员是否能在紧急情况下能熟练操作设施设备，至少做到</w:t>
            </w:r>
            <w:r>
              <w:rPr>
                <w:rFonts w:eastAsia="仿宋"/>
                <w:sz w:val="24"/>
              </w:rPr>
              <w:t>“</w:t>
            </w:r>
            <w:r>
              <w:rPr>
                <w:rFonts w:hint="eastAsia" w:eastAsia="仿宋"/>
                <w:sz w:val="24"/>
              </w:rPr>
              <w:t>接到火灾报警信号后，立即以最快方式确认火灾，立即确认火灾报警联动控制器处于自动状态，同时拨打</w:t>
            </w:r>
            <w:r>
              <w:rPr>
                <w:rFonts w:eastAsia="仿宋"/>
                <w:sz w:val="24"/>
              </w:rPr>
              <w:t>119</w:t>
            </w:r>
            <w:r>
              <w:rPr>
                <w:rFonts w:hint="eastAsia" w:eastAsia="仿宋"/>
                <w:sz w:val="24"/>
              </w:rPr>
              <w:t>报警，立即启动单位内部应急疏散和灭火预案，并报告单位负责人。</w:t>
            </w:r>
            <w:r>
              <w:rPr>
                <w:rFonts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3" w:type="dxa"/>
            <w:vAlign w:val="center"/>
          </w:tcPr>
          <w:p>
            <w:pPr>
              <w:spacing w:line="360" w:lineRule="exact"/>
              <w:rPr>
                <w:rFonts w:eastAsia="仿宋"/>
                <w:sz w:val="24"/>
              </w:rPr>
            </w:pPr>
            <w:r>
              <w:rPr>
                <w:rFonts w:eastAsia="仿宋"/>
                <w:sz w:val="24"/>
              </w:rPr>
              <w:t>3.</w:t>
            </w:r>
            <w:r>
              <w:rPr>
                <w:rFonts w:hint="eastAsia" w:eastAsia="仿宋"/>
                <w:sz w:val="24"/>
              </w:rPr>
              <w:t>微型消防站队员不能及时有效处置初起火灾的，必须定期组织开展针对性训练、实战化演练，确保达到</w:t>
            </w:r>
            <w:r>
              <w:rPr>
                <w:rFonts w:eastAsia="仿宋"/>
                <w:sz w:val="24"/>
              </w:rPr>
              <w:t>“</w:t>
            </w:r>
            <w:r>
              <w:rPr>
                <w:rFonts w:hint="eastAsia" w:eastAsia="仿宋"/>
                <w:sz w:val="24"/>
              </w:rPr>
              <w:t>三知四会一联通</w:t>
            </w:r>
            <w:r>
              <w:rPr>
                <w:rFonts w:eastAsia="仿宋"/>
                <w:sz w:val="24"/>
              </w:rPr>
              <w:t>”</w:t>
            </w:r>
            <w:r>
              <w:rPr>
                <w:rFonts w:hint="eastAsia" w:eastAsia="仿宋"/>
                <w:sz w:val="24"/>
              </w:rPr>
              <w:t>要求，能够及时有效处置初起火灾。</w:t>
            </w:r>
          </w:p>
        </w:tc>
        <w:tc>
          <w:tcPr>
            <w:tcW w:w="9627" w:type="dxa"/>
            <w:vAlign w:val="center"/>
          </w:tcPr>
          <w:p>
            <w:pPr>
              <w:spacing w:line="360" w:lineRule="exact"/>
              <w:rPr>
                <w:rFonts w:eastAsia="仿宋"/>
                <w:sz w:val="24"/>
              </w:rPr>
            </w:pPr>
            <w:r>
              <w:rPr>
                <w:rFonts w:eastAsia="仿宋"/>
                <w:sz w:val="24"/>
              </w:rPr>
              <w:t>1.</w:t>
            </w:r>
            <w:r>
              <w:rPr>
                <w:rFonts w:hint="eastAsia" w:eastAsia="仿宋"/>
                <w:sz w:val="24"/>
              </w:rPr>
              <w:t>现场随机部位拉动微型消防站人员，检查是否能够三分钟到场处置，如不能实现微型消防站应按照</w:t>
            </w:r>
            <w:r>
              <w:rPr>
                <w:rFonts w:eastAsia="仿宋"/>
                <w:sz w:val="24"/>
              </w:rPr>
              <w:t>“</w:t>
            </w:r>
            <w:r>
              <w:rPr>
                <w:rFonts w:hint="eastAsia" w:eastAsia="仿宋"/>
                <w:sz w:val="24"/>
              </w:rPr>
              <w:t>一站多点</w:t>
            </w:r>
            <w:r>
              <w:rPr>
                <w:rFonts w:eastAsia="仿宋"/>
                <w:sz w:val="24"/>
              </w:rPr>
              <w:t>”</w:t>
            </w:r>
            <w:r>
              <w:rPr>
                <w:rFonts w:hint="eastAsia" w:eastAsia="仿宋"/>
                <w:sz w:val="24"/>
              </w:rPr>
              <w:t>模式设置。</w:t>
            </w:r>
          </w:p>
          <w:p>
            <w:pPr>
              <w:spacing w:line="360" w:lineRule="exact"/>
              <w:rPr>
                <w:rFonts w:eastAsia="仿宋"/>
                <w:sz w:val="24"/>
              </w:rPr>
            </w:pPr>
            <w:r>
              <w:rPr>
                <w:rFonts w:eastAsia="仿宋"/>
                <w:sz w:val="24"/>
              </w:rPr>
              <w:t>2.</w:t>
            </w:r>
            <w:r>
              <w:rPr>
                <w:rFonts w:hint="eastAsia" w:eastAsia="仿宋"/>
                <w:sz w:val="24"/>
              </w:rPr>
              <w:t>抽查微型消防站人员是否熟知</w:t>
            </w:r>
            <w:r>
              <w:rPr>
                <w:rFonts w:eastAsia="仿宋"/>
                <w:sz w:val="24"/>
              </w:rPr>
              <w:t>“</w:t>
            </w:r>
            <w:r>
              <w:rPr>
                <w:rFonts w:hint="eastAsia" w:eastAsia="仿宋"/>
                <w:sz w:val="24"/>
              </w:rPr>
              <w:t>三知四会一联通</w:t>
            </w:r>
            <w:r>
              <w:rPr>
                <w:rFonts w:eastAsia="仿宋"/>
                <w:sz w:val="24"/>
              </w:rPr>
              <w:t>”</w:t>
            </w:r>
            <w:r>
              <w:rPr>
                <w:rFonts w:hint="eastAsia" w:eastAsia="仿宋"/>
                <w:sz w:val="24"/>
              </w:rPr>
              <w:t>要求，即</w:t>
            </w:r>
            <w:r>
              <w:rPr>
                <w:rFonts w:eastAsia="仿宋"/>
                <w:sz w:val="24"/>
              </w:rPr>
              <w:t>“</w:t>
            </w:r>
            <w:r>
              <w:rPr>
                <w:rFonts w:hint="eastAsia" w:eastAsia="仿宋"/>
                <w:sz w:val="24"/>
              </w:rPr>
              <w:t>知道消防设施和器材位置、知道疏散通道和出口、知道建筑布局和功能；会组织疏散人员、会扑救初期火灾、会穿戴防护装备、会操作消防器材；微型消防站队员要与就近消防队和本单位负责消防安全的人员保持通信联络畅通。</w:t>
            </w:r>
            <w:r>
              <w:rPr>
                <w:rFonts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3" w:type="dxa"/>
            <w:vAlign w:val="center"/>
          </w:tcPr>
          <w:p>
            <w:pPr>
              <w:spacing w:line="360" w:lineRule="exact"/>
              <w:rPr>
                <w:rFonts w:eastAsia="仿宋"/>
                <w:sz w:val="24"/>
              </w:rPr>
            </w:pPr>
            <w:r>
              <w:rPr>
                <w:rFonts w:eastAsia="仿宋"/>
                <w:sz w:val="24"/>
              </w:rPr>
              <w:t>4.</w:t>
            </w:r>
            <w:r>
              <w:rPr>
                <w:rFonts w:hint="eastAsia" w:eastAsia="仿宋"/>
                <w:sz w:val="24"/>
              </w:rPr>
              <w:t>单位未作出整改消除突出风险承诺的，必须在醒目位置向社会公开承诺本场所不存在突出风险或者已落实防范措施。</w:t>
            </w:r>
          </w:p>
        </w:tc>
        <w:tc>
          <w:tcPr>
            <w:tcW w:w="9627" w:type="dxa"/>
            <w:vAlign w:val="center"/>
          </w:tcPr>
          <w:p>
            <w:pPr>
              <w:spacing w:line="360" w:lineRule="exact"/>
              <w:rPr>
                <w:rFonts w:eastAsia="仿宋"/>
                <w:sz w:val="24"/>
              </w:rPr>
            </w:pPr>
            <w:r>
              <w:rPr>
                <w:rFonts w:hint="eastAsia" w:eastAsia="仿宋"/>
                <w:sz w:val="24"/>
              </w:rPr>
              <w:t>现场检查单位是否在醒目位置张贴向社会公开承诺本场所不存在突出风险或已落实防范措施的公告，接受群众监督。</w:t>
            </w:r>
          </w:p>
        </w:tc>
      </w:tr>
    </w:tbl>
    <w:p>
      <w:pPr>
        <w:adjustRightInd w:val="0"/>
        <w:spacing w:line="560" w:lineRule="exact"/>
        <w:ind w:firstLine="640" w:firstLineChars="200"/>
        <w:jc w:val="left"/>
        <w:rPr>
          <w:rFonts w:ascii="黑体" w:hAnsi="黑体" w:eastAsia="黑体"/>
        </w:rPr>
      </w:pPr>
      <w:r>
        <w:rPr>
          <w:rFonts w:eastAsia="仿宋"/>
        </w:rPr>
        <w:br w:type="page"/>
      </w:r>
      <w:r>
        <w:rPr>
          <w:rFonts w:hint="eastAsia" w:ascii="黑体" w:hAnsi="黑体" w:eastAsia="黑体"/>
        </w:rPr>
        <w:t>（九）日常管理机制不健全排查方法、标准及措施</w:t>
      </w:r>
    </w:p>
    <w:tbl>
      <w:tblPr>
        <w:tblStyle w:val="6"/>
        <w:tblW w:w="14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2"/>
        <w:gridCol w:w="9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93" w:hRule="atLeast"/>
          <w:jc w:val="center"/>
        </w:trPr>
        <w:tc>
          <w:tcPr>
            <w:tcW w:w="4742" w:type="dxa"/>
            <w:vAlign w:val="center"/>
          </w:tcPr>
          <w:p>
            <w:pPr>
              <w:snapToGrid w:val="0"/>
              <w:jc w:val="center"/>
              <w:rPr>
                <w:rFonts w:eastAsia="仿宋"/>
                <w:b/>
                <w:sz w:val="28"/>
                <w:szCs w:val="28"/>
              </w:rPr>
            </w:pPr>
            <w:r>
              <w:rPr>
                <w:rFonts w:hint="eastAsia" w:eastAsia="仿宋"/>
                <w:b/>
                <w:sz w:val="28"/>
                <w:szCs w:val="28"/>
              </w:rPr>
              <w:t>整治要求</w:t>
            </w:r>
          </w:p>
        </w:tc>
        <w:tc>
          <w:tcPr>
            <w:tcW w:w="9858" w:type="dxa"/>
            <w:vAlign w:val="center"/>
          </w:tcPr>
          <w:p>
            <w:pPr>
              <w:snapToGrid w:val="0"/>
              <w:jc w:val="center"/>
              <w:rPr>
                <w:rFonts w:eastAsia="仿宋"/>
                <w:b/>
                <w:sz w:val="28"/>
                <w:szCs w:val="28"/>
              </w:rPr>
            </w:pPr>
            <w:r>
              <w:rPr>
                <w:rFonts w:hint="eastAsia" w:eastAsia="仿宋"/>
                <w:b/>
                <w:sz w:val="28"/>
                <w:szCs w:val="28"/>
              </w:rPr>
              <w:t>检查标准或方法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47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单位未定期开展建筑消防设施检测和维护保养，并完整准确记录的，必须落实日常检查维修保养制度，每年至少进行一次全面检测，确保完好有效，并如实制作检测维保记录，存档备查。</w:t>
            </w:r>
          </w:p>
        </w:tc>
        <w:tc>
          <w:tcPr>
            <w:tcW w:w="985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查看单位消防设施维护保养记录，检查最近</w:t>
            </w:r>
            <w:r>
              <w:rPr>
                <w:rFonts w:eastAsia="仿宋"/>
                <w:sz w:val="24"/>
              </w:rPr>
              <w:t>1</w:t>
            </w:r>
            <w:r>
              <w:rPr>
                <w:rFonts w:hint="eastAsia" w:eastAsia="仿宋"/>
                <w:sz w:val="24"/>
              </w:rPr>
              <w:t>年内是否定期组织维护保养。（单位有能力维保的自行组织维保，不具备能力的聘请取得资质的消防技术服务机构进行维保）。</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2.</w:t>
            </w:r>
            <w:r>
              <w:rPr>
                <w:rFonts w:hint="eastAsia" w:eastAsia="仿宋"/>
                <w:sz w:val="24"/>
              </w:rPr>
              <w:t>查看单位消防设施检测记录，检查是否做到每年至少一次全面检测。（单位有能力检测的自行组织检测，不具备能力的聘请取得资质的消防技术服务机构进行检测）。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3.</w:t>
            </w:r>
            <w:r>
              <w:rPr>
                <w:rFonts w:hint="eastAsia" w:eastAsia="仿宋"/>
                <w:sz w:val="24"/>
              </w:rPr>
              <w:t>现场抽查单位火灾自动报警系统、消防水系统、机械防排烟系统等消防设施是否完好有效。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0" w:hRule="atLeast"/>
          <w:jc w:val="center"/>
        </w:trPr>
        <w:tc>
          <w:tcPr>
            <w:tcW w:w="47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2.</w:t>
            </w:r>
            <w:r>
              <w:rPr>
                <w:rFonts w:hint="eastAsia" w:eastAsia="仿宋"/>
                <w:sz w:val="24"/>
              </w:rPr>
              <w:t>单位未定期开展检查巡查，并如实登记报告的，必须安排专人开展防火检查巡查，及时发现火灾隐患并妥善处置；消防安全重点单位必须每日开展防火巡查，公众聚集场所在营业期间必须每二小时开展一次防火巡查，医院、养老院、寄宿制学校、幼儿园必须加强夜间防火巡查。</w:t>
            </w:r>
          </w:p>
        </w:tc>
        <w:tc>
          <w:tcPr>
            <w:tcW w:w="985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对于一般单位，查看单位消防安全管理台账，检查是否制定防火检查制度，是否实行每季度至少一次防火检查，并及时发现、处置火灾隐患。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2.</w:t>
            </w:r>
            <w:r>
              <w:rPr>
                <w:rFonts w:hint="eastAsia" w:eastAsia="仿宋"/>
                <w:sz w:val="24"/>
              </w:rPr>
              <w:t>对于重点单位，查看单位消防安全管理台账，检查是否制定防火巡查、检查制度，确定巡查的人员、内容、部位和频次，是否实行每日防火巡查、实行每月至少一次防火检查。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3.</w:t>
            </w:r>
            <w:r>
              <w:rPr>
                <w:rFonts w:hint="eastAsia" w:eastAsia="仿宋"/>
                <w:sz w:val="24"/>
              </w:rPr>
              <w:t>对于公众聚集场所，查看单位消防安全管理台账，检查营业期间是否每</w:t>
            </w:r>
            <w:r>
              <w:rPr>
                <w:rFonts w:eastAsia="仿宋"/>
                <w:sz w:val="24"/>
              </w:rPr>
              <w:t>2</w:t>
            </w:r>
            <w:r>
              <w:rPr>
                <w:rFonts w:hint="eastAsia" w:eastAsia="仿宋"/>
                <w:sz w:val="24"/>
              </w:rPr>
              <w:t>小时开展一次防火巡查，医院、养老院、寄宿制学校、幼儿园是否加强夜间防火巡查。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hint="eastAsia" w:eastAsia="仿宋"/>
                <w:sz w:val="24"/>
              </w:rPr>
              <w:t>备注：公众聚集场所，是指宾馆、饭店、商场、集贸市场、客运车站候车室、客运码头候船厅、民用机场航站楼、体育场馆、会堂以及公共娱乐场所。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474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 xml:space="preserve">3. </w:t>
            </w:r>
            <w:r>
              <w:rPr>
                <w:rFonts w:hint="eastAsia" w:eastAsia="仿宋"/>
                <w:sz w:val="24"/>
              </w:rPr>
              <w:t>单位存在火灾隐患的，必须及时整改消除火灾隐患；在火灾隐患消除之前，必须落实安全防范措施，确保消防安全。</w:t>
            </w:r>
          </w:p>
        </w:tc>
        <w:tc>
          <w:tcPr>
            <w:tcW w:w="985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查看单位消防安全管理台账，检查是否进行火灾隐患整改情况记录，是否及时组织消除火灾隐患。</w:t>
            </w:r>
            <w:r>
              <w:rPr>
                <w:rFonts w:eastAsia="仿宋"/>
                <w:sz w:val="24"/>
              </w:rPr>
              <w:t>2.</w:t>
            </w:r>
            <w:r>
              <w:rPr>
                <w:rFonts w:hint="eastAsia" w:eastAsia="仿宋"/>
                <w:sz w:val="24"/>
              </w:rPr>
              <w:t>现场抽查未完成整改的火灾隐患，检查是否加强隐患整改期间的安全防范措施。</w:t>
            </w:r>
          </w:p>
        </w:tc>
      </w:tr>
    </w:tbl>
    <w:p>
      <w:pPr>
        <w:adjustRightInd w:val="0"/>
        <w:spacing w:line="560" w:lineRule="exact"/>
        <w:ind w:firstLine="640" w:firstLineChars="200"/>
        <w:jc w:val="left"/>
        <w:rPr>
          <w:rFonts w:ascii="黑体" w:hAnsi="黑体" w:eastAsia="黑体"/>
        </w:rPr>
      </w:pPr>
      <w:r>
        <w:rPr>
          <w:rFonts w:hint="eastAsia" w:ascii="黑体" w:hAnsi="黑体" w:eastAsia="黑体"/>
        </w:rPr>
        <w:t>（十）宣传教育培训不深入检查标准</w:t>
      </w:r>
    </w:p>
    <w:tbl>
      <w:tblPr>
        <w:tblStyle w:val="6"/>
        <w:tblW w:w="14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1"/>
        <w:gridCol w:w="9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071" w:type="dxa"/>
            <w:vAlign w:val="center"/>
          </w:tcPr>
          <w:p>
            <w:pPr>
              <w:spacing w:line="360" w:lineRule="exact"/>
              <w:jc w:val="center"/>
              <w:rPr>
                <w:rFonts w:eastAsia="仿宋"/>
                <w:b/>
                <w:sz w:val="28"/>
                <w:szCs w:val="28"/>
              </w:rPr>
            </w:pPr>
            <w:r>
              <w:rPr>
                <w:rFonts w:hint="eastAsia" w:eastAsia="仿宋"/>
                <w:b/>
                <w:sz w:val="28"/>
                <w:szCs w:val="28"/>
              </w:rPr>
              <w:t>整治要求</w:t>
            </w:r>
          </w:p>
        </w:tc>
        <w:tc>
          <w:tcPr>
            <w:tcW w:w="9529" w:type="dxa"/>
            <w:vAlign w:val="center"/>
          </w:tcPr>
          <w:p>
            <w:pPr>
              <w:spacing w:line="360" w:lineRule="exact"/>
              <w:jc w:val="center"/>
              <w:rPr>
                <w:rFonts w:eastAsia="仿宋"/>
                <w:b/>
                <w:sz w:val="28"/>
                <w:szCs w:val="28"/>
              </w:rPr>
            </w:pPr>
            <w:r>
              <w:rPr>
                <w:rFonts w:hint="eastAsia" w:eastAsia="仿宋"/>
                <w:b/>
                <w:sz w:val="28"/>
                <w:szCs w:val="28"/>
              </w:rPr>
              <w:t>检查标准或方法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507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一般单位员工必须了解本场所火灾危险性，会报警、会灭火、会逃生。</w:t>
            </w:r>
          </w:p>
        </w:tc>
        <w:tc>
          <w:tcPr>
            <w:tcW w:w="952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检查新入职员工岗前培训台账，提问岗位火灾危险性。</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2.</w:t>
            </w:r>
            <w:r>
              <w:rPr>
                <w:rFonts w:hint="eastAsia" w:eastAsia="仿宋"/>
                <w:sz w:val="24"/>
              </w:rPr>
              <w:t>现场抽查提问员工消防安全常识。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507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2.</w:t>
            </w:r>
            <w:r>
              <w:rPr>
                <w:rFonts w:hint="eastAsia" w:eastAsia="仿宋"/>
                <w:sz w:val="24"/>
              </w:rPr>
              <w:t>重点单位必须落实消防培训预案演练制度。</w:t>
            </w:r>
          </w:p>
        </w:tc>
        <w:tc>
          <w:tcPr>
            <w:tcW w:w="952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1.</w:t>
            </w:r>
            <w:r>
              <w:rPr>
                <w:rFonts w:hint="eastAsia" w:eastAsia="仿宋"/>
                <w:sz w:val="24"/>
              </w:rPr>
              <w:t>查阅重点单位消防教育培训台账，灭火和应急预案制作及演练台账，是否做到每半年一次。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仿宋"/>
                <w:sz w:val="24"/>
              </w:rPr>
            </w:pPr>
            <w:r>
              <w:rPr>
                <w:rFonts w:eastAsia="仿宋"/>
                <w:sz w:val="24"/>
              </w:rPr>
              <w:t>2.</w:t>
            </w:r>
            <w:r>
              <w:rPr>
                <w:rFonts w:hint="eastAsia" w:eastAsia="仿宋"/>
                <w:sz w:val="24"/>
              </w:rPr>
              <w:t>现场抽查提问员工对岗位防火灭火措施及建筑消防设施、灭火器材的操作使用能力。</w:t>
            </w:r>
          </w:p>
        </w:tc>
      </w:tr>
    </w:tbl>
    <w:p>
      <w:pPr>
        <w:snapToGrid w:val="0"/>
        <w:spacing w:line="560" w:lineRule="exact"/>
        <w:ind w:firstLine="562" w:firstLineChars="200"/>
        <w:jc w:val="left"/>
        <w:rPr>
          <w:rFonts w:eastAsia="仿宋"/>
          <w:b/>
          <w:sz w:val="28"/>
        </w:rPr>
        <w:sectPr>
          <w:pgSz w:w="16838" w:h="11906" w:orient="landscape"/>
          <w:pgMar w:top="1418" w:right="1418" w:bottom="1418" w:left="1418" w:header="851" w:footer="992" w:gutter="0"/>
          <w:pgNumType w:fmt="numberInDash"/>
          <w:cols w:space="720" w:num="1"/>
          <w:titlePg/>
          <w:docGrid w:type="lines" w:linePitch="312" w:charSpace="0"/>
        </w:sectPr>
      </w:pPr>
      <w:r>
        <w:rPr>
          <w:rFonts w:hint="eastAsia" w:eastAsia="仿宋"/>
          <w:b/>
          <w:sz w:val="28"/>
        </w:rPr>
        <w:t>备注：单位在开展消防安全风险自查排查时的方法、标准包括但不限于以上方法和标准。</w:t>
      </w:r>
    </w:p>
    <w:p>
      <w:pPr>
        <w:spacing w:line="560" w:lineRule="exact"/>
        <w:jc w:val="left"/>
        <w:rPr>
          <w:rFonts w:ascii="黑体" w:hAnsi="黑体" w:eastAsia="黑体"/>
        </w:rPr>
      </w:pPr>
      <w:r>
        <w:rPr>
          <w:rFonts w:hint="eastAsia" w:ascii="黑体" w:hAnsi="黑体" w:eastAsia="黑体"/>
        </w:rPr>
        <w:t>附件</w:t>
      </w:r>
      <w:r>
        <w:rPr>
          <w:rFonts w:ascii="黑体" w:hAnsi="黑体" w:eastAsia="黑体"/>
        </w:rPr>
        <w:t>3</w:t>
      </w:r>
    </w:p>
    <w:p>
      <w:pPr>
        <w:spacing w:line="560" w:lineRule="exact"/>
        <w:jc w:val="center"/>
        <w:rPr>
          <w:rFonts w:ascii="方正小标宋_GBK" w:eastAsia="方正小标宋_GBK"/>
          <w:sz w:val="44"/>
          <w:szCs w:val="44"/>
        </w:rPr>
      </w:pPr>
      <w:r>
        <w:rPr>
          <w:rFonts w:ascii="方正小标宋_GBK" w:eastAsia="方正小标宋_GBK"/>
          <w:sz w:val="44"/>
          <w:szCs w:val="44"/>
          <w:u w:val="single"/>
        </w:rPr>
        <w:t xml:space="preserve">           </w:t>
      </w:r>
      <w:r>
        <w:rPr>
          <w:rFonts w:hint="eastAsia" w:ascii="方正小标宋_GBK" w:eastAsia="方正小标宋_GBK"/>
          <w:sz w:val="44"/>
          <w:szCs w:val="44"/>
          <w:lang w:eastAsia="zh-CN"/>
        </w:rPr>
        <w:t>村</w:t>
      </w:r>
      <w:r>
        <w:rPr>
          <w:rFonts w:hint="eastAsia" w:ascii="方正小标宋_GBK" w:eastAsia="方正小标宋_GBK"/>
          <w:sz w:val="44"/>
          <w:szCs w:val="44"/>
        </w:rPr>
        <w:t>火灾隐患排查整治台账</w:t>
      </w:r>
    </w:p>
    <w:p>
      <w:pPr>
        <w:spacing w:line="560" w:lineRule="exact"/>
        <w:jc w:val="center"/>
        <w:rPr>
          <w:rFonts w:eastAsia="方正小标宋简体"/>
          <w:sz w:val="36"/>
          <w:szCs w:val="36"/>
        </w:rPr>
      </w:pPr>
    </w:p>
    <w:tbl>
      <w:tblPr>
        <w:tblStyle w:val="6"/>
        <w:tblW w:w="13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22"/>
        <w:gridCol w:w="2000"/>
        <w:gridCol w:w="1879"/>
        <w:gridCol w:w="2584"/>
        <w:gridCol w:w="1373"/>
        <w:gridCol w:w="1570"/>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666" w:type="dxa"/>
          </w:tcPr>
          <w:p>
            <w:pPr>
              <w:spacing w:line="560" w:lineRule="exact"/>
              <w:jc w:val="center"/>
              <w:rPr>
                <w:rFonts w:eastAsia="仿宋"/>
                <w:spacing w:val="-30"/>
                <w:sz w:val="30"/>
                <w:szCs w:val="30"/>
              </w:rPr>
            </w:pPr>
            <w:r>
              <w:rPr>
                <w:rFonts w:hint="eastAsia" w:eastAsia="仿宋"/>
                <w:spacing w:val="-30"/>
                <w:sz w:val="30"/>
                <w:szCs w:val="30"/>
              </w:rPr>
              <w:t>序号</w:t>
            </w:r>
          </w:p>
        </w:tc>
        <w:tc>
          <w:tcPr>
            <w:tcW w:w="1322" w:type="dxa"/>
          </w:tcPr>
          <w:p>
            <w:pPr>
              <w:spacing w:line="560" w:lineRule="exact"/>
              <w:jc w:val="center"/>
              <w:rPr>
                <w:rFonts w:eastAsia="仿宋"/>
                <w:spacing w:val="-20"/>
                <w:sz w:val="30"/>
                <w:szCs w:val="30"/>
              </w:rPr>
            </w:pPr>
            <w:r>
              <w:rPr>
                <w:rFonts w:hint="eastAsia" w:eastAsia="仿宋"/>
                <w:spacing w:val="-20"/>
                <w:sz w:val="30"/>
                <w:szCs w:val="30"/>
              </w:rPr>
              <w:t>检查时间</w:t>
            </w:r>
          </w:p>
        </w:tc>
        <w:tc>
          <w:tcPr>
            <w:tcW w:w="2000" w:type="dxa"/>
          </w:tcPr>
          <w:p>
            <w:pPr>
              <w:spacing w:line="560" w:lineRule="exact"/>
              <w:jc w:val="center"/>
              <w:rPr>
                <w:rFonts w:eastAsia="仿宋"/>
                <w:sz w:val="30"/>
                <w:szCs w:val="30"/>
              </w:rPr>
            </w:pPr>
            <w:r>
              <w:rPr>
                <w:rFonts w:hint="eastAsia" w:eastAsia="仿宋"/>
                <w:sz w:val="30"/>
                <w:szCs w:val="30"/>
              </w:rPr>
              <w:t>单位名称</w:t>
            </w:r>
          </w:p>
        </w:tc>
        <w:tc>
          <w:tcPr>
            <w:tcW w:w="1879" w:type="dxa"/>
          </w:tcPr>
          <w:p>
            <w:pPr>
              <w:spacing w:line="560" w:lineRule="exact"/>
              <w:jc w:val="center"/>
              <w:rPr>
                <w:rFonts w:eastAsia="仿宋"/>
                <w:sz w:val="30"/>
                <w:szCs w:val="30"/>
              </w:rPr>
            </w:pPr>
            <w:r>
              <w:rPr>
                <w:rFonts w:hint="eastAsia" w:eastAsia="仿宋"/>
                <w:sz w:val="30"/>
                <w:szCs w:val="30"/>
              </w:rPr>
              <w:t>地址</w:t>
            </w:r>
          </w:p>
        </w:tc>
        <w:tc>
          <w:tcPr>
            <w:tcW w:w="2584" w:type="dxa"/>
          </w:tcPr>
          <w:p>
            <w:pPr>
              <w:spacing w:line="560" w:lineRule="exact"/>
              <w:jc w:val="center"/>
              <w:rPr>
                <w:rFonts w:eastAsia="仿宋"/>
                <w:sz w:val="30"/>
                <w:szCs w:val="30"/>
              </w:rPr>
            </w:pPr>
            <w:r>
              <w:rPr>
                <w:rFonts w:hint="eastAsia" w:eastAsia="仿宋"/>
                <w:sz w:val="30"/>
                <w:szCs w:val="30"/>
              </w:rPr>
              <w:t>发现的隐患问题</w:t>
            </w:r>
          </w:p>
        </w:tc>
        <w:tc>
          <w:tcPr>
            <w:tcW w:w="1373" w:type="dxa"/>
          </w:tcPr>
          <w:p>
            <w:pPr>
              <w:spacing w:line="560" w:lineRule="exact"/>
              <w:jc w:val="center"/>
              <w:rPr>
                <w:rFonts w:eastAsia="仿宋"/>
                <w:spacing w:val="-20"/>
                <w:sz w:val="30"/>
                <w:szCs w:val="30"/>
              </w:rPr>
            </w:pPr>
            <w:r>
              <w:rPr>
                <w:rFonts w:hint="eastAsia" w:eastAsia="仿宋"/>
                <w:spacing w:val="-20"/>
                <w:sz w:val="30"/>
                <w:szCs w:val="30"/>
              </w:rPr>
              <w:t>整改时限</w:t>
            </w:r>
          </w:p>
        </w:tc>
        <w:tc>
          <w:tcPr>
            <w:tcW w:w="1570" w:type="dxa"/>
          </w:tcPr>
          <w:p>
            <w:pPr>
              <w:spacing w:line="560" w:lineRule="exact"/>
              <w:jc w:val="center"/>
              <w:rPr>
                <w:rFonts w:eastAsia="仿宋"/>
                <w:spacing w:val="-20"/>
                <w:sz w:val="30"/>
                <w:szCs w:val="30"/>
              </w:rPr>
            </w:pPr>
            <w:r>
              <w:rPr>
                <w:rFonts w:hint="eastAsia" w:eastAsia="仿宋"/>
                <w:spacing w:val="-20"/>
                <w:sz w:val="30"/>
                <w:szCs w:val="30"/>
              </w:rPr>
              <w:t>督改人员</w:t>
            </w:r>
          </w:p>
        </w:tc>
        <w:tc>
          <w:tcPr>
            <w:tcW w:w="2406" w:type="dxa"/>
          </w:tcPr>
          <w:p>
            <w:pPr>
              <w:spacing w:line="560" w:lineRule="exact"/>
              <w:jc w:val="center"/>
              <w:rPr>
                <w:rFonts w:eastAsia="仿宋"/>
                <w:spacing w:val="-20"/>
                <w:sz w:val="30"/>
                <w:szCs w:val="30"/>
              </w:rPr>
            </w:pPr>
            <w:r>
              <w:rPr>
                <w:rFonts w:hint="eastAsia" w:eastAsia="仿宋"/>
                <w:spacing w:val="-20"/>
                <w:sz w:val="30"/>
                <w:szCs w:val="30"/>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666" w:type="dxa"/>
          </w:tcPr>
          <w:p>
            <w:pPr>
              <w:spacing w:line="560" w:lineRule="exact"/>
              <w:jc w:val="center"/>
              <w:rPr>
                <w:rFonts w:eastAsia="仿宋"/>
              </w:rPr>
            </w:pPr>
          </w:p>
        </w:tc>
        <w:tc>
          <w:tcPr>
            <w:tcW w:w="1322" w:type="dxa"/>
          </w:tcPr>
          <w:p>
            <w:pPr>
              <w:spacing w:line="560" w:lineRule="exact"/>
              <w:jc w:val="center"/>
              <w:rPr>
                <w:rFonts w:eastAsia="仿宋"/>
              </w:rPr>
            </w:pPr>
          </w:p>
        </w:tc>
        <w:tc>
          <w:tcPr>
            <w:tcW w:w="2000" w:type="dxa"/>
          </w:tcPr>
          <w:p>
            <w:pPr>
              <w:spacing w:line="560" w:lineRule="exact"/>
              <w:jc w:val="center"/>
              <w:rPr>
                <w:rFonts w:eastAsia="仿宋"/>
              </w:rPr>
            </w:pPr>
          </w:p>
        </w:tc>
        <w:tc>
          <w:tcPr>
            <w:tcW w:w="1879" w:type="dxa"/>
          </w:tcPr>
          <w:p>
            <w:pPr>
              <w:spacing w:line="560" w:lineRule="exact"/>
              <w:jc w:val="center"/>
              <w:rPr>
                <w:rFonts w:eastAsia="仿宋"/>
              </w:rPr>
            </w:pPr>
          </w:p>
        </w:tc>
        <w:tc>
          <w:tcPr>
            <w:tcW w:w="2584" w:type="dxa"/>
          </w:tcPr>
          <w:p>
            <w:pPr>
              <w:spacing w:line="560" w:lineRule="exact"/>
              <w:jc w:val="center"/>
              <w:rPr>
                <w:rFonts w:eastAsia="仿宋"/>
              </w:rPr>
            </w:pPr>
          </w:p>
        </w:tc>
        <w:tc>
          <w:tcPr>
            <w:tcW w:w="1373" w:type="dxa"/>
          </w:tcPr>
          <w:p>
            <w:pPr>
              <w:spacing w:line="560" w:lineRule="exact"/>
              <w:jc w:val="center"/>
              <w:rPr>
                <w:rFonts w:eastAsia="仿宋"/>
              </w:rPr>
            </w:pPr>
          </w:p>
        </w:tc>
        <w:tc>
          <w:tcPr>
            <w:tcW w:w="1570" w:type="dxa"/>
          </w:tcPr>
          <w:p>
            <w:pPr>
              <w:spacing w:line="560" w:lineRule="exact"/>
              <w:jc w:val="center"/>
              <w:rPr>
                <w:rFonts w:eastAsia="仿宋"/>
              </w:rPr>
            </w:pPr>
          </w:p>
        </w:tc>
        <w:tc>
          <w:tcPr>
            <w:tcW w:w="2406" w:type="dxa"/>
          </w:tcPr>
          <w:p>
            <w:pPr>
              <w:spacing w:line="560" w:lineRule="exact"/>
              <w:jc w:val="cente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666" w:type="dxa"/>
          </w:tcPr>
          <w:p>
            <w:pPr>
              <w:spacing w:line="560" w:lineRule="exact"/>
              <w:jc w:val="center"/>
              <w:rPr>
                <w:rFonts w:eastAsia="仿宋"/>
              </w:rPr>
            </w:pPr>
          </w:p>
        </w:tc>
        <w:tc>
          <w:tcPr>
            <w:tcW w:w="1322" w:type="dxa"/>
          </w:tcPr>
          <w:p>
            <w:pPr>
              <w:spacing w:line="560" w:lineRule="exact"/>
              <w:jc w:val="center"/>
              <w:rPr>
                <w:rFonts w:eastAsia="仿宋"/>
              </w:rPr>
            </w:pPr>
          </w:p>
        </w:tc>
        <w:tc>
          <w:tcPr>
            <w:tcW w:w="2000" w:type="dxa"/>
          </w:tcPr>
          <w:p>
            <w:pPr>
              <w:spacing w:line="560" w:lineRule="exact"/>
              <w:jc w:val="center"/>
              <w:rPr>
                <w:rFonts w:eastAsia="仿宋"/>
              </w:rPr>
            </w:pPr>
          </w:p>
        </w:tc>
        <w:tc>
          <w:tcPr>
            <w:tcW w:w="1879" w:type="dxa"/>
          </w:tcPr>
          <w:p>
            <w:pPr>
              <w:spacing w:line="560" w:lineRule="exact"/>
              <w:jc w:val="center"/>
              <w:rPr>
                <w:rFonts w:eastAsia="仿宋"/>
              </w:rPr>
            </w:pPr>
          </w:p>
        </w:tc>
        <w:tc>
          <w:tcPr>
            <w:tcW w:w="2584" w:type="dxa"/>
          </w:tcPr>
          <w:p>
            <w:pPr>
              <w:spacing w:line="560" w:lineRule="exact"/>
              <w:jc w:val="center"/>
              <w:rPr>
                <w:rFonts w:eastAsia="仿宋"/>
              </w:rPr>
            </w:pPr>
          </w:p>
        </w:tc>
        <w:tc>
          <w:tcPr>
            <w:tcW w:w="1373" w:type="dxa"/>
          </w:tcPr>
          <w:p>
            <w:pPr>
              <w:spacing w:line="560" w:lineRule="exact"/>
              <w:jc w:val="center"/>
              <w:rPr>
                <w:rFonts w:eastAsia="仿宋"/>
              </w:rPr>
            </w:pPr>
          </w:p>
        </w:tc>
        <w:tc>
          <w:tcPr>
            <w:tcW w:w="1570" w:type="dxa"/>
          </w:tcPr>
          <w:p>
            <w:pPr>
              <w:spacing w:line="560" w:lineRule="exact"/>
              <w:jc w:val="center"/>
              <w:rPr>
                <w:rFonts w:eastAsia="仿宋"/>
              </w:rPr>
            </w:pPr>
          </w:p>
        </w:tc>
        <w:tc>
          <w:tcPr>
            <w:tcW w:w="2406" w:type="dxa"/>
          </w:tcPr>
          <w:p>
            <w:pPr>
              <w:spacing w:line="560" w:lineRule="exact"/>
              <w:jc w:val="cente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666" w:type="dxa"/>
          </w:tcPr>
          <w:p>
            <w:pPr>
              <w:spacing w:line="560" w:lineRule="exact"/>
              <w:jc w:val="center"/>
              <w:rPr>
                <w:rFonts w:eastAsia="仿宋"/>
              </w:rPr>
            </w:pPr>
          </w:p>
        </w:tc>
        <w:tc>
          <w:tcPr>
            <w:tcW w:w="1322" w:type="dxa"/>
          </w:tcPr>
          <w:p>
            <w:pPr>
              <w:spacing w:line="560" w:lineRule="exact"/>
              <w:jc w:val="center"/>
              <w:rPr>
                <w:rFonts w:eastAsia="仿宋"/>
              </w:rPr>
            </w:pPr>
          </w:p>
        </w:tc>
        <w:tc>
          <w:tcPr>
            <w:tcW w:w="2000" w:type="dxa"/>
          </w:tcPr>
          <w:p>
            <w:pPr>
              <w:spacing w:line="560" w:lineRule="exact"/>
              <w:jc w:val="center"/>
              <w:rPr>
                <w:rFonts w:eastAsia="仿宋"/>
              </w:rPr>
            </w:pPr>
          </w:p>
        </w:tc>
        <w:tc>
          <w:tcPr>
            <w:tcW w:w="1879" w:type="dxa"/>
          </w:tcPr>
          <w:p>
            <w:pPr>
              <w:spacing w:line="560" w:lineRule="exact"/>
              <w:jc w:val="center"/>
              <w:rPr>
                <w:rFonts w:eastAsia="仿宋"/>
              </w:rPr>
            </w:pPr>
          </w:p>
        </w:tc>
        <w:tc>
          <w:tcPr>
            <w:tcW w:w="2584" w:type="dxa"/>
          </w:tcPr>
          <w:p>
            <w:pPr>
              <w:spacing w:line="560" w:lineRule="exact"/>
              <w:jc w:val="center"/>
              <w:rPr>
                <w:rFonts w:eastAsia="仿宋"/>
              </w:rPr>
            </w:pPr>
          </w:p>
        </w:tc>
        <w:tc>
          <w:tcPr>
            <w:tcW w:w="1373" w:type="dxa"/>
          </w:tcPr>
          <w:p>
            <w:pPr>
              <w:spacing w:line="560" w:lineRule="exact"/>
              <w:jc w:val="center"/>
              <w:rPr>
                <w:rFonts w:eastAsia="仿宋"/>
              </w:rPr>
            </w:pPr>
          </w:p>
        </w:tc>
        <w:tc>
          <w:tcPr>
            <w:tcW w:w="1570" w:type="dxa"/>
          </w:tcPr>
          <w:p>
            <w:pPr>
              <w:spacing w:line="560" w:lineRule="exact"/>
              <w:jc w:val="center"/>
              <w:rPr>
                <w:rFonts w:eastAsia="仿宋"/>
              </w:rPr>
            </w:pPr>
          </w:p>
        </w:tc>
        <w:tc>
          <w:tcPr>
            <w:tcW w:w="2406" w:type="dxa"/>
          </w:tcPr>
          <w:p>
            <w:pPr>
              <w:spacing w:line="560" w:lineRule="exact"/>
              <w:jc w:val="cente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666" w:type="dxa"/>
          </w:tcPr>
          <w:p>
            <w:pPr>
              <w:spacing w:line="560" w:lineRule="exact"/>
              <w:jc w:val="center"/>
              <w:rPr>
                <w:rFonts w:eastAsia="仿宋"/>
              </w:rPr>
            </w:pPr>
          </w:p>
        </w:tc>
        <w:tc>
          <w:tcPr>
            <w:tcW w:w="1322" w:type="dxa"/>
          </w:tcPr>
          <w:p>
            <w:pPr>
              <w:spacing w:line="560" w:lineRule="exact"/>
              <w:jc w:val="center"/>
              <w:rPr>
                <w:rFonts w:eastAsia="仿宋"/>
              </w:rPr>
            </w:pPr>
          </w:p>
        </w:tc>
        <w:tc>
          <w:tcPr>
            <w:tcW w:w="2000" w:type="dxa"/>
          </w:tcPr>
          <w:p>
            <w:pPr>
              <w:spacing w:line="560" w:lineRule="exact"/>
              <w:jc w:val="center"/>
              <w:rPr>
                <w:rFonts w:eastAsia="仿宋"/>
              </w:rPr>
            </w:pPr>
          </w:p>
        </w:tc>
        <w:tc>
          <w:tcPr>
            <w:tcW w:w="1879" w:type="dxa"/>
          </w:tcPr>
          <w:p>
            <w:pPr>
              <w:spacing w:line="560" w:lineRule="exact"/>
              <w:jc w:val="center"/>
              <w:rPr>
                <w:rFonts w:eastAsia="仿宋"/>
              </w:rPr>
            </w:pPr>
          </w:p>
        </w:tc>
        <w:tc>
          <w:tcPr>
            <w:tcW w:w="2584" w:type="dxa"/>
          </w:tcPr>
          <w:p>
            <w:pPr>
              <w:spacing w:line="560" w:lineRule="exact"/>
              <w:jc w:val="center"/>
              <w:rPr>
                <w:rFonts w:eastAsia="仿宋"/>
              </w:rPr>
            </w:pPr>
          </w:p>
        </w:tc>
        <w:tc>
          <w:tcPr>
            <w:tcW w:w="1373" w:type="dxa"/>
          </w:tcPr>
          <w:p>
            <w:pPr>
              <w:spacing w:line="560" w:lineRule="exact"/>
              <w:jc w:val="center"/>
              <w:rPr>
                <w:rFonts w:eastAsia="仿宋"/>
              </w:rPr>
            </w:pPr>
          </w:p>
        </w:tc>
        <w:tc>
          <w:tcPr>
            <w:tcW w:w="1570" w:type="dxa"/>
          </w:tcPr>
          <w:p>
            <w:pPr>
              <w:spacing w:line="560" w:lineRule="exact"/>
              <w:jc w:val="center"/>
              <w:rPr>
                <w:rFonts w:eastAsia="仿宋"/>
              </w:rPr>
            </w:pPr>
          </w:p>
        </w:tc>
        <w:tc>
          <w:tcPr>
            <w:tcW w:w="2406" w:type="dxa"/>
          </w:tcPr>
          <w:p>
            <w:pPr>
              <w:spacing w:line="560" w:lineRule="exact"/>
              <w:jc w:val="cente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666" w:type="dxa"/>
          </w:tcPr>
          <w:p>
            <w:pPr>
              <w:spacing w:line="560" w:lineRule="exact"/>
              <w:jc w:val="center"/>
              <w:rPr>
                <w:rFonts w:eastAsia="仿宋"/>
              </w:rPr>
            </w:pPr>
          </w:p>
        </w:tc>
        <w:tc>
          <w:tcPr>
            <w:tcW w:w="1322" w:type="dxa"/>
          </w:tcPr>
          <w:p>
            <w:pPr>
              <w:spacing w:line="560" w:lineRule="exact"/>
              <w:jc w:val="center"/>
              <w:rPr>
                <w:rFonts w:eastAsia="仿宋"/>
              </w:rPr>
            </w:pPr>
          </w:p>
        </w:tc>
        <w:tc>
          <w:tcPr>
            <w:tcW w:w="2000" w:type="dxa"/>
          </w:tcPr>
          <w:p>
            <w:pPr>
              <w:spacing w:line="560" w:lineRule="exact"/>
              <w:jc w:val="center"/>
              <w:rPr>
                <w:rFonts w:eastAsia="仿宋"/>
              </w:rPr>
            </w:pPr>
          </w:p>
        </w:tc>
        <w:tc>
          <w:tcPr>
            <w:tcW w:w="1879" w:type="dxa"/>
          </w:tcPr>
          <w:p>
            <w:pPr>
              <w:spacing w:line="560" w:lineRule="exact"/>
              <w:jc w:val="center"/>
              <w:rPr>
                <w:rFonts w:eastAsia="仿宋"/>
              </w:rPr>
            </w:pPr>
          </w:p>
        </w:tc>
        <w:tc>
          <w:tcPr>
            <w:tcW w:w="2584" w:type="dxa"/>
          </w:tcPr>
          <w:p>
            <w:pPr>
              <w:spacing w:line="560" w:lineRule="exact"/>
              <w:jc w:val="center"/>
              <w:rPr>
                <w:rFonts w:eastAsia="仿宋"/>
              </w:rPr>
            </w:pPr>
          </w:p>
        </w:tc>
        <w:tc>
          <w:tcPr>
            <w:tcW w:w="1373" w:type="dxa"/>
          </w:tcPr>
          <w:p>
            <w:pPr>
              <w:spacing w:line="560" w:lineRule="exact"/>
              <w:jc w:val="center"/>
              <w:rPr>
                <w:rFonts w:eastAsia="仿宋"/>
              </w:rPr>
            </w:pPr>
          </w:p>
        </w:tc>
        <w:tc>
          <w:tcPr>
            <w:tcW w:w="1570" w:type="dxa"/>
          </w:tcPr>
          <w:p>
            <w:pPr>
              <w:spacing w:line="560" w:lineRule="exact"/>
              <w:jc w:val="center"/>
              <w:rPr>
                <w:rFonts w:eastAsia="仿宋"/>
              </w:rPr>
            </w:pPr>
          </w:p>
        </w:tc>
        <w:tc>
          <w:tcPr>
            <w:tcW w:w="2406" w:type="dxa"/>
          </w:tcPr>
          <w:p>
            <w:pPr>
              <w:spacing w:line="560" w:lineRule="exact"/>
              <w:jc w:val="cente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666" w:type="dxa"/>
          </w:tcPr>
          <w:p>
            <w:pPr>
              <w:spacing w:line="560" w:lineRule="exact"/>
              <w:jc w:val="center"/>
              <w:rPr>
                <w:rFonts w:eastAsia="仿宋"/>
              </w:rPr>
            </w:pPr>
          </w:p>
        </w:tc>
        <w:tc>
          <w:tcPr>
            <w:tcW w:w="1322" w:type="dxa"/>
          </w:tcPr>
          <w:p>
            <w:pPr>
              <w:spacing w:line="560" w:lineRule="exact"/>
              <w:jc w:val="center"/>
              <w:rPr>
                <w:rFonts w:eastAsia="仿宋"/>
              </w:rPr>
            </w:pPr>
          </w:p>
        </w:tc>
        <w:tc>
          <w:tcPr>
            <w:tcW w:w="2000" w:type="dxa"/>
          </w:tcPr>
          <w:p>
            <w:pPr>
              <w:spacing w:line="560" w:lineRule="exact"/>
              <w:jc w:val="center"/>
              <w:rPr>
                <w:rFonts w:eastAsia="仿宋"/>
              </w:rPr>
            </w:pPr>
          </w:p>
        </w:tc>
        <w:tc>
          <w:tcPr>
            <w:tcW w:w="1879" w:type="dxa"/>
          </w:tcPr>
          <w:p>
            <w:pPr>
              <w:spacing w:line="560" w:lineRule="exact"/>
              <w:jc w:val="center"/>
              <w:rPr>
                <w:rFonts w:eastAsia="仿宋"/>
              </w:rPr>
            </w:pPr>
          </w:p>
        </w:tc>
        <w:tc>
          <w:tcPr>
            <w:tcW w:w="2584" w:type="dxa"/>
          </w:tcPr>
          <w:p>
            <w:pPr>
              <w:spacing w:line="560" w:lineRule="exact"/>
              <w:jc w:val="center"/>
              <w:rPr>
                <w:rFonts w:eastAsia="仿宋"/>
              </w:rPr>
            </w:pPr>
          </w:p>
        </w:tc>
        <w:tc>
          <w:tcPr>
            <w:tcW w:w="1373" w:type="dxa"/>
          </w:tcPr>
          <w:p>
            <w:pPr>
              <w:spacing w:line="560" w:lineRule="exact"/>
              <w:jc w:val="center"/>
              <w:rPr>
                <w:rFonts w:eastAsia="仿宋"/>
              </w:rPr>
            </w:pPr>
          </w:p>
        </w:tc>
        <w:tc>
          <w:tcPr>
            <w:tcW w:w="1570" w:type="dxa"/>
          </w:tcPr>
          <w:p>
            <w:pPr>
              <w:spacing w:line="560" w:lineRule="exact"/>
              <w:jc w:val="center"/>
              <w:rPr>
                <w:rFonts w:eastAsia="仿宋"/>
              </w:rPr>
            </w:pPr>
          </w:p>
        </w:tc>
        <w:tc>
          <w:tcPr>
            <w:tcW w:w="2406" w:type="dxa"/>
          </w:tcPr>
          <w:p>
            <w:pPr>
              <w:spacing w:line="560" w:lineRule="exact"/>
              <w:jc w:val="cente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66" w:type="dxa"/>
          </w:tcPr>
          <w:p>
            <w:pPr>
              <w:spacing w:line="560" w:lineRule="exact"/>
              <w:jc w:val="center"/>
              <w:rPr>
                <w:rFonts w:eastAsia="仿宋"/>
              </w:rPr>
            </w:pPr>
          </w:p>
        </w:tc>
        <w:tc>
          <w:tcPr>
            <w:tcW w:w="1322" w:type="dxa"/>
          </w:tcPr>
          <w:p>
            <w:pPr>
              <w:spacing w:line="560" w:lineRule="exact"/>
              <w:jc w:val="center"/>
              <w:rPr>
                <w:rFonts w:eastAsia="仿宋"/>
              </w:rPr>
            </w:pPr>
          </w:p>
        </w:tc>
        <w:tc>
          <w:tcPr>
            <w:tcW w:w="2000" w:type="dxa"/>
          </w:tcPr>
          <w:p>
            <w:pPr>
              <w:spacing w:line="560" w:lineRule="exact"/>
              <w:jc w:val="center"/>
              <w:rPr>
                <w:rFonts w:eastAsia="仿宋"/>
              </w:rPr>
            </w:pPr>
          </w:p>
        </w:tc>
        <w:tc>
          <w:tcPr>
            <w:tcW w:w="1879" w:type="dxa"/>
          </w:tcPr>
          <w:p>
            <w:pPr>
              <w:spacing w:line="560" w:lineRule="exact"/>
              <w:jc w:val="center"/>
              <w:rPr>
                <w:rFonts w:eastAsia="仿宋"/>
              </w:rPr>
            </w:pPr>
          </w:p>
        </w:tc>
        <w:tc>
          <w:tcPr>
            <w:tcW w:w="2584" w:type="dxa"/>
          </w:tcPr>
          <w:p>
            <w:pPr>
              <w:spacing w:line="560" w:lineRule="exact"/>
              <w:jc w:val="center"/>
              <w:rPr>
                <w:rFonts w:eastAsia="仿宋"/>
              </w:rPr>
            </w:pPr>
          </w:p>
        </w:tc>
        <w:tc>
          <w:tcPr>
            <w:tcW w:w="1373" w:type="dxa"/>
          </w:tcPr>
          <w:p>
            <w:pPr>
              <w:spacing w:line="560" w:lineRule="exact"/>
              <w:jc w:val="center"/>
              <w:rPr>
                <w:rFonts w:eastAsia="仿宋"/>
              </w:rPr>
            </w:pPr>
          </w:p>
        </w:tc>
        <w:tc>
          <w:tcPr>
            <w:tcW w:w="1570" w:type="dxa"/>
          </w:tcPr>
          <w:p>
            <w:pPr>
              <w:spacing w:line="560" w:lineRule="exact"/>
              <w:jc w:val="center"/>
              <w:rPr>
                <w:rFonts w:eastAsia="仿宋"/>
              </w:rPr>
            </w:pPr>
          </w:p>
        </w:tc>
        <w:tc>
          <w:tcPr>
            <w:tcW w:w="2406" w:type="dxa"/>
          </w:tcPr>
          <w:p>
            <w:pPr>
              <w:spacing w:line="560" w:lineRule="exact"/>
              <w:jc w:val="center"/>
              <w:rPr>
                <w:rFonts w:eastAsia="仿宋"/>
              </w:rPr>
            </w:pPr>
          </w:p>
        </w:tc>
      </w:tr>
    </w:tbl>
    <w:p>
      <w:pPr>
        <w:spacing w:line="560" w:lineRule="exact"/>
        <w:jc w:val="center"/>
        <w:rPr>
          <w:rFonts w:eastAsia="方正小标宋简体"/>
        </w:rPr>
      </w:pPr>
    </w:p>
    <w:p>
      <w:pPr>
        <w:spacing w:line="560" w:lineRule="exact"/>
        <w:jc w:val="left"/>
        <w:rPr>
          <w:rFonts w:eastAsia="方正小标宋简体"/>
        </w:rPr>
        <w:sectPr>
          <w:pgSz w:w="16838" w:h="11906" w:orient="landscape"/>
          <w:pgMar w:top="680" w:right="1418" w:bottom="680" w:left="1418" w:header="851" w:footer="992" w:gutter="0"/>
          <w:pgNumType w:fmt="numberInDash"/>
          <w:cols w:space="720" w:num="1"/>
          <w:docGrid w:linePitch="312" w:charSpace="0"/>
        </w:sectPr>
      </w:pPr>
    </w:p>
    <w:p>
      <w:pPr>
        <w:rPr>
          <w:rFonts w:ascii="黑体" w:hAnsi="黑体" w:eastAsia="黑体"/>
        </w:rPr>
      </w:pPr>
      <w:r>
        <w:rPr>
          <w:rFonts w:hint="eastAsia" w:ascii="黑体" w:hAnsi="黑体" w:eastAsia="黑体"/>
        </w:rPr>
        <w:t>附件</w:t>
      </w:r>
      <w:r>
        <w:rPr>
          <w:rFonts w:ascii="黑体" w:hAnsi="黑体" w:eastAsia="黑体"/>
        </w:rPr>
        <w:t>4</w:t>
      </w:r>
    </w:p>
    <w:p>
      <w:pPr>
        <w:keepNext w:val="0"/>
        <w:keepLines w:val="0"/>
        <w:pageBreakBefore w:val="0"/>
        <w:widowControl w:val="0"/>
        <w:kinsoku/>
        <w:wordWrap/>
        <w:overflowPunct/>
        <w:topLinePunct w:val="0"/>
        <w:bidi w:val="0"/>
        <w:snapToGrid/>
        <w:spacing w:line="0" w:lineRule="atLeast"/>
        <w:jc w:val="center"/>
        <w:textAlignment w:val="auto"/>
        <w:rPr>
          <w:rFonts w:ascii="方正小标宋_GBK" w:eastAsia="方正小标宋_GBK"/>
          <w:sz w:val="44"/>
          <w:szCs w:val="44"/>
        </w:rPr>
      </w:pPr>
      <w:r>
        <w:rPr>
          <w:rFonts w:hint="eastAsia" w:ascii="方正小标宋_GBK" w:eastAsia="方正小标宋_GBK"/>
          <w:sz w:val="44"/>
          <w:szCs w:val="44"/>
        </w:rPr>
        <w:t>火灾隐患整治年重点专项行动责任分工表</w:t>
      </w:r>
    </w:p>
    <w:tbl>
      <w:tblPr>
        <w:tblStyle w:val="6"/>
        <w:tblW w:w="10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794"/>
        <w:gridCol w:w="4680"/>
        <w:gridCol w:w="1509"/>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eastAsia="方正黑体简体"/>
                <w:b w:val="0"/>
                <w:bCs/>
              </w:rPr>
            </w:pPr>
            <w:r>
              <w:rPr>
                <w:rFonts w:hint="eastAsia" w:eastAsia="方正黑体简体"/>
                <w:b w:val="0"/>
                <w:bCs/>
              </w:rPr>
              <w:t>序号</w:t>
            </w:r>
          </w:p>
        </w:tc>
        <w:tc>
          <w:tcPr>
            <w:tcW w:w="1794"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eastAsia="方正黑体简体"/>
                <w:b w:val="0"/>
                <w:bCs/>
              </w:rPr>
            </w:pPr>
            <w:r>
              <w:rPr>
                <w:rFonts w:hint="eastAsia" w:eastAsia="方正黑体简体"/>
                <w:b w:val="0"/>
                <w:bCs/>
              </w:rPr>
              <w:t>专项行动</w:t>
            </w:r>
          </w:p>
        </w:tc>
        <w:tc>
          <w:tcPr>
            <w:tcW w:w="4680"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eastAsia="方正黑体简体"/>
                <w:b w:val="0"/>
                <w:bCs/>
              </w:rPr>
            </w:pPr>
            <w:r>
              <w:rPr>
                <w:rFonts w:hint="eastAsia" w:eastAsia="方正黑体简体"/>
                <w:b w:val="0"/>
                <w:bCs/>
              </w:rPr>
              <w:t>整治重点</w:t>
            </w:r>
          </w:p>
        </w:tc>
        <w:tc>
          <w:tcPr>
            <w:tcW w:w="1509"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eastAsia="方正黑体简体"/>
                <w:b w:val="0"/>
                <w:bCs/>
              </w:rPr>
            </w:pPr>
            <w:r>
              <w:rPr>
                <w:rFonts w:hint="eastAsia" w:eastAsia="方正黑体简体"/>
                <w:b w:val="0"/>
                <w:bCs/>
              </w:rPr>
              <w:t>牵头部门</w:t>
            </w:r>
          </w:p>
        </w:tc>
        <w:tc>
          <w:tcPr>
            <w:tcW w:w="1911"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eastAsia="方正黑体简体"/>
                <w:b w:val="0"/>
                <w:bCs/>
              </w:rPr>
            </w:pPr>
            <w:r>
              <w:rPr>
                <w:rFonts w:hint="eastAsia" w:eastAsia="方正黑体简体"/>
                <w:b w:val="0"/>
                <w:bCs/>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numPr>
                <w:ilvl w:val="0"/>
                <w:numId w:val="1"/>
              </w:numPr>
              <w:kinsoku/>
              <w:wordWrap/>
              <w:overflowPunct/>
              <w:topLinePunct w:val="0"/>
              <w:bidi w:val="0"/>
              <w:snapToGrid/>
              <w:spacing w:line="0" w:lineRule="atLeast"/>
              <w:jc w:val="both"/>
              <w:textAlignment w:val="auto"/>
              <w:rPr>
                <w:rFonts w:eastAsia="仿宋"/>
                <w:b w:val="0"/>
                <w:bCs/>
                <w:sz w:val="28"/>
                <w:szCs w:val="28"/>
              </w:rPr>
            </w:pPr>
          </w:p>
        </w:tc>
        <w:tc>
          <w:tcPr>
            <w:tcW w:w="1794"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“多合一”场所整治</w:t>
            </w:r>
          </w:p>
        </w:tc>
        <w:tc>
          <w:tcPr>
            <w:tcW w:w="4680" w:type="dxa"/>
            <w:vAlign w:val="center"/>
          </w:tcPr>
          <w:p>
            <w:pPr>
              <w:keepNext w:val="0"/>
              <w:keepLines w:val="0"/>
              <w:pageBreakBefore w:val="0"/>
              <w:widowControl w:val="0"/>
              <w:kinsoku/>
              <w:wordWrap/>
              <w:overflowPunct/>
              <w:topLinePunct w:val="0"/>
              <w:bidi w:val="0"/>
              <w:snapToGrid/>
              <w:spacing w:line="0" w:lineRule="atLeast"/>
              <w:jc w:val="left"/>
              <w:textAlignment w:val="auto"/>
              <w:rPr>
                <w:rFonts w:hint="eastAsia" w:ascii="仿宋" w:hAnsi="仿宋" w:eastAsia="仿宋" w:cs="仿宋"/>
                <w:b w:val="0"/>
                <w:bCs/>
                <w:sz w:val="22"/>
                <w:szCs w:val="22"/>
              </w:rPr>
            </w:pPr>
            <w:r>
              <w:rPr>
                <w:rFonts w:hint="eastAsia" w:ascii="仿宋" w:hAnsi="仿宋" w:eastAsia="仿宋" w:cs="仿宋"/>
                <w:b w:val="0"/>
                <w:bCs/>
                <w:sz w:val="22"/>
                <w:szCs w:val="22"/>
              </w:rPr>
              <w:t>重点排查整治沿街店铺场所、生产加工作坊、仓库内违规住人及电商新型“三合一”“多合一”场所。对检查中发现的“多合一”场所，应立即清理住宿人员；拒不整改的，依法责令停产停业。对有条件整改的，严格按照国家公共安全行业标准《住宿与生产储存经营合用场所消防安全技术要求》（GA703-2007）规定，就地改造到位。</w:t>
            </w:r>
          </w:p>
        </w:tc>
        <w:tc>
          <w:tcPr>
            <w:tcW w:w="1509"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hint="eastAsia" w:ascii="仿宋" w:hAnsi="仿宋" w:eastAsia="仿宋" w:cs="仿宋"/>
                <w:b w:val="0"/>
                <w:bCs/>
                <w:sz w:val="28"/>
                <w:szCs w:val="28"/>
                <w:lang w:val="en-US" w:eastAsia="zh-CN"/>
              </w:rPr>
            </w:pPr>
            <w:r>
              <w:rPr>
                <w:rFonts w:hint="eastAsia" w:ascii="仿宋" w:hAnsi="仿宋" w:eastAsia="仿宋" w:cs="仿宋"/>
                <w:b w:val="0"/>
                <w:bCs/>
                <w:snapToGrid w:val="0"/>
                <w:kern w:val="0"/>
                <w:sz w:val="28"/>
                <w:szCs w:val="28"/>
                <w:lang w:val="en-US" w:eastAsia="zh-CN"/>
              </w:rPr>
              <w:t>镇安办</w:t>
            </w:r>
          </w:p>
        </w:tc>
        <w:tc>
          <w:tcPr>
            <w:tcW w:w="1911" w:type="dxa"/>
            <w:vAlign w:val="center"/>
          </w:tcPr>
          <w:p>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auto"/>
              <w:rPr>
                <w:rFonts w:hint="eastAsia" w:ascii="仿宋" w:hAnsi="仿宋" w:eastAsia="仿宋" w:cs="仿宋"/>
                <w:b w:val="0"/>
                <w:bCs/>
                <w:snapToGrid w:val="0"/>
                <w:kern w:val="0"/>
                <w:sz w:val="24"/>
                <w:szCs w:val="24"/>
              </w:rPr>
            </w:pPr>
            <w:r>
              <w:rPr>
                <w:rFonts w:hint="eastAsia" w:ascii="仿宋" w:hAnsi="仿宋" w:eastAsia="仿宋" w:cs="仿宋"/>
                <w:bCs/>
                <w:snapToGrid w:val="0"/>
                <w:kern w:val="0"/>
                <w:sz w:val="24"/>
                <w:szCs w:val="24"/>
                <w:lang w:eastAsia="zh-CN"/>
              </w:rPr>
              <w:t>派出所</w:t>
            </w:r>
            <w:r>
              <w:rPr>
                <w:rFonts w:hint="eastAsia" w:ascii="仿宋" w:hAnsi="仿宋" w:eastAsia="仿宋" w:cs="仿宋"/>
                <w:bCs/>
                <w:snapToGrid w:val="0"/>
                <w:kern w:val="0"/>
                <w:sz w:val="24"/>
                <w:szCs w:val="24"/>
              </w:rPr>
              <w:t>、</w:t>
            </w:r>
            <w:r>
              <w:rPr>
                <w:rFonts w:hint="eastAsia" w:ascii="仿宋" w:hAnsi="仿宋" w:eastAsia="仿宋" w:cs="仿宋"/>
                <w:bCs/>
                <w:snapToGrid w:val="0"/>
                <w:kern w:val="0"/>
                <w:sz w:val="24"/>
                <w:szCs w:val="24"/>
                <w:lang w:eastAsia="zh-CN"/>
              </w:rPr>
              <w:t>村建</w:t>
            </w:r>
            <w:r>
              <w:rPr>
                <w:rFonts w:hint="eastAsia" w:ascii="仿宋" w:hAnsi="仿宋" w:eastAsia="仿宋" w:cs="仿宋"/>
                <w:bCs/>
                <w:snapToGrid w:val="0"/>
                <w:kern w:val="0"/>
                <w:sz w:val="24"/>
                <w:szCs w:val="24"/>
                <w:lang w:val="en-US" w:eastAsia="zh-CN"/>
              </w:rPr>
              <w:t>办</w:t>
            </w:r>
            <w:r>
              <w:rPr>
                <w:rFonts w:hint="eastAsia" w:ascii="仿宋" w:hAnsi="仿宋" w:eastAsia="仿宋" w:cs="仿宋"/>
                <w:bCs/>
                <w:snapToGrid w:val="0"/>
                <w:kern w:val="0"/>
                <w:sz w:val="24"/>
                <w:szCs w:val="24"/>
              </w:rPr>
              <w:t>、市场监管</w:t>
            </w:r>
            <w:r>
              <w:rPr>
                <w:rFonts w:hint="eastAsia" w:ascii="仿宋" w:hAnsi="仿宋" w:eastAsia="仿宋" w:cs="仿宋"/>
                <w:bCs/>
                <w:snapToGrid w:val="0"/>
                <w:kern w:val="0"/>
                <w:sz w:val="24"/>
                <w:szCs w:val="24"/>
                <w:lang w:eastAsia="zh-CN"/>
              </w:rPr>
              <w:t>所</w:t>
            </w:r>
            <w:r>
              <w:rPr>
                <w:rFonts w:hint="eastAsia" w:ascii="仿宋" w:hAnsi="仿宋" w:eastAsia="仿宋" w:cs="仿宋"/>
                <w:bCs/>
                <w:snapToGrid w:val="0"/>
                <w:kern w:val="0"/>
                <w:sz w:val="24"/>
                <w:szCs w:val="24"/>
              </w:rPr>
              <w:t>、</w:t>
            </w:r>
            <w:r>
              <w:rPr>
                <w:rFonts w:hint="eastAsia" w:ascii="仿宋" w:hAnsi="仿宋" w:eastAsia="仿宋" w:cs="仿宋"/>
                <w:bCs/>
                <w:snapToGrid w:val="0"/>
                <w:kern w:val="0"/>
                <w:sz w:val="24"/>
                <w:szCs w:val="24"/>
                <w:lang w:eastAsia="zh-CN"/>
              </w:rPr>
              <w:t>行政执法</w:t>
            </w:r>
            <w:r>
              <w:rPr>
                <w:rFonts w:hint="eastAsia" w:ascii="仿宋" w:hAnsi="仿宋" w:eastAsia="仿宋" w:cs="仿宋"/>
                <w:bCs/>
                <w:snapToGrid w:val="0"/>
                <w:kern w:val="0"/>
                <w:sz w:val="24"/>
                <w:szCs w:val="24"/>
              </w:rPr>
              <w:t>等</w:t>
            </w:r>
            <w:r>
              <w:rPr>
                <w:rFonts w:hint="eastAsia" w:ascii="仿宋" w:hAnsi="仿宋" w:eastAsia="仿宋" w:cs="仿宋"/>
                <w:bCs/>
                <w:snapToGrid w:val="0"/>
                <w:kern w:val="0"/>
                <w:sz w:val="24"/>
                <w:szCs w:val="24"/>
                <w:lang w:eastAsia="zh-CN"/>
              </w:rPr>
              <w:t>镇</w:t>
            </w:r>
            <w:r>
              <w:rPr>
                <w:rFonts w:hint="eastAsia" w:ascii="仿宋" w:hAnsi="仿宋" w:eastAsia="仿宋" w:cs="仿宋"/>
                <w:bCs/>
                <w:snapToGrid w:val="0"/>
                <w:kern w:val="0"/>
                <w:sz w:val="24"/>
                <w:szCs w:val="24"/>
              </w:rPr>
              <w:t>直有关部门</w:t>
            </w:r>
            <w:r>
              <w:rPr>
                <w:rFonts w:hint="eastAsia" w:ascii="仿宋" w:hAnsi="仿宋" w:eastAsia="仿宋" w:cs="仿宋"/>
                <w:bCs/>
                <w:snapToGrid w:val="0"/>
                <w:kern w:val="0"/>
                <w:sz w:val="24"/>
                <w:szCs w:val="24"/>
                <w:lang w:eastAsia="zh-CN"/>
              </w:rPr>
              <w:t>，净峰</w:t>
            </w:r>
            <w:r>
              <w:rPr>
                <w:rFonts w:hint="eastAsia" w:ascii="仿宋" w:hAnsi="仿宋" w:eastAsia="仿宋" w:cs="仿宋"/>
                <w:bCs/>
                <w:snapToGrid w:val="0"/>
                <w:kern w:val="0"/>
                <w:sz w:val="24"/>
                <w:szCs w:val="24"/>
              </w:rPr>
              <w:t>供电</w:t>
            </w:r>
            <w:r>
              <w:rPr>
                <w:rFonts w:hint="eastAsia" w:ascii="仿宋" w:hAnsi="仿宋" w:eastAsia="仿宋" w:cs="仿宋"/>
                <w:bCs/>
                <w:snapToGrid w:val="0"/>
                <w:kern w:val="0"/>
                <w:sz w:val="24"/>
                <w:szCs w:val="24"/>
                <w:lang w:eastAsia="zh-CN"/>
              </w:rPr>
              <w:t>所</w:t>
            </w:r>
            <w:r>
              <w:rPr>
                <w:rFonts w:hint="eastAsia" w:ascii="仿宋" w:hAnsi="仿宋" w:eastAsia="仿宋" w:cs="仿宋"/>
                <w:bCs/>
                <w:snapToGrid w:val="0"/>
                <w:kern w:val="0"/>
                <w:sz w:val="24"/>
                <w:szCs w:val="24"/>
              </w:rPr>
              <w:t>和各</w:t>
            </w:r>
            <w:r>
              <w:rPr>
                <w:rFonts w:hint="eastAsia" w:ascii="仿宋" w:hAnsi="仿宋" w:eastAsia="仿宋" w:cs="仿宋"/>
                <w:bCs/>
                <w:snapToGrid w:val="0"/>
                <w:kern w:val="0"/>
                <w:sz w:val="24"/>
                <w:szCs w:val="24"/>
                <w:lang w:eastAsia="zh-CN"/>
              </w:rPr>
              <w:t>村委会</w:t>
            </w:r>
            <w:r>
              <w:rPr>
                <w:rFonts w:hint="eastAsia" w:ascii="仿宋" w:hAnsi="仿宋" w:eastAsia="仿宋" w:cs="仿宋"/>
                <w:bCs/>
                <w:snapToGrid w:val="0"/>
                <w:kern w:val="0"/>
                <w:sz w:val="24"/>
                <w:szCs w:val="24"/>
              </w:rPr>
              <w:t>按职责分别负责。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numPr>
                <w:ilvl w:val="0"/>
                <w:numId w:val="1"/>
              </w:numPr>
              <w:kinsoku/>
              <w:wordWrap/>
              <w:overflowPunct/>
              <w:topLinePunct w:val="0"/>
              <w:bidi w:val="0"/>
              <w:snapToGrid/>
              <w:spacing w:line="0" w:lineRule="atLeast"/>
              <w:jc w:val="center"/>
              <w:textAlignment w:val="auto"/>
              <w:rPr>
                <w:rFonts w:eastAsia="仿宋"/>
                <w:b w:val="0"/>
                <w:bCs/>
                <w:sz w:val="28"/>
                <w:szCs w:val="28"/>
              </w:rPr>
            </w:pPr>
          </w:p>
        </w:tc>
        <w:tc>
          <w:tcPr>
            <w:tcW w:w="1794"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群租房整治</w:t>
            </w:r>
          </w:p>
        </w:tc>
        <w:tc>
          <w:tcPr>
            <w:tcW w:w="4680" w:type="dxa"/>
            <w:vAlign w:val="center"/>
          </w:tcPr>
          <w:p>
            <w:pPr>
              <w:keepNext w:val="0"/>
              <w:keepLines w:val="0"/>
              <w:pageBreakBefore w:val="0"/>
              <w:widowControl w:val="0"/>
              <w:kinsoku/>
              <w:wordWrap/>
              <w:overflowPunct/>
              <w:topLinePunct w:val="0"/>
              <w:bidi w:val="0"/>
              <w:snapToGrid/>
              <w:spacing w:line="0" w:lineRule="atLeast"/>
              <w:jc w:val="left"/>
              <w:textAlignment w:val="auto"/>
              <w:rPr>
                <w:rFonts w:hint="eastAsia" w:ascii="仿宋" w:hAnsi="仿宋" w:eastAsia="仿宋" w:cs="仿宋"/>
                <w:b w:val="0"/>
                <w:bCs/>
                <w:sz w:val="22"/>
                <w:szCs w:val="22"/>
              </w:rPr>
            </w:pPr>
            <w:r>
              <w:rPr>
                <w:rFonts w:hint="eastAsia" w:ascii="仿宋" w:hAnsi="仿宋" w:eastAsia="仿宋" w:cs="仿宋"/>
                <w:b w:val="0"/>
                <w:bCs/>
                <w:sz w:val="22"/>
                <w:szCs w:val="22"/>
              </w:rPr>
              <w:t>对照出租房屋消防安全基本条件，全面复查登记的居住群租房，特别是10人以上居住的出租房。督促出租房业主与租户签订消防安全责任书，群租房未明确专兼职消防安全管理员。推动居住30人以上的群租房安装独立式感烟火灾探测报警器、简易喷淋及电气火灾监控系统；居住10人以上的群租房设置电动自行车智能充电场所。</w:t>
            </w:r>
          </w:p>
        </w:tc>
        <w:tc>
          <w:tcPr>
            <w:tcW w:w="1509"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hint="eastAsia" w:ascii="仿宋" w:hAnsi="仿宋" w:eastAsia="仿宋" w:cs="仿宋"/>
                <w:b w:val="0"/>
                <w:bCs/>
                <w:sz w:val="28"/>
                <w:szCs w:val="28"/>
                <w:lang w:val="en-US" w:eastAsia="zh-CN"/>
              </w:rPr>
            </w:pPr>
            <w:r>
              <w:rPr>
                <w:rFonts w:hint="eastAsia" w:ascii="仿宋" w:hAnsi="仿宋" w:eastAsia="仿宋" w:cs="仿宋"/>
                <w:b w:val="0"/>
                <w:bCs/>
                <w:snapToGrid w:val="0"/>
                <w:kern w:val="0"/>
                <w:sz w:val="28"/>
                <w:szCs w:val="28"/>
                <w:lang w:val="en-US" w:eastAsia="zh-CN"/>
              </w:rPr>
              <w:t>小岞派出所、小岞边防所</w:t>
            </w:r>
          </w:p>
        </w:tc>
        <w:tc>
          <w:tcPr>
            <w:tcW w:w="1911"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hint="eastAsia" w:ascii="仿宋" w:hAnsi="仿宋" w:eastAsia="仿宋" w:cs="仿宋"/>
                <w:b w:val="0"/>
                <w:bCs/>
                <w:sz w:val="24"/>
                <w:szCs w:val="24"/>
              </w:rPr>
            </w:pPr>
            <w:r>
              <w:rPr>
                <w:rFonts w:hint="eastAsia" w:ascii="仿宋" w:hAnsi="仿宋" w:eastAsia="仿宋" w:cs="仿宋"/>
                <w:sz w:val="24"/>
                <w:szCs w:val="24"/>
                <w:lang w:eastAsia="zh-CN"/>
              </w:rPr>
              <w:t>镇村建</w:t>
            </w:r>
            <w:r>
              <w:rPr>
                <w:rFonts w:hint="eastAsia" w:ascii="仿宋" w:hAnsi="仿宋" w:eastAsia="仿宋" w:cs="仿宋"/>
                <w:sz w:val="24"/>
                <w:szCs w:val="24"/>
                <w:lang w:val="en-US" w:eastAsia="zh-CN"/>
              </w:rPr>
              <w:t>办</w:t>
            </w:r>
            <w:r>
              <w:rPr>
                <w:rFonts w:hint="eastAsia" w:ascii="仿宋" w:hAnsi="仿宋" w:eastAsia="仿宋" w:cs="仿宋"/>
                <w:sz w:val="24"/>
                <w:szCs w:val="24"/>
              </w:rPr>
              <w:t>、消防</w:t>
            </w:r>
            <w:r>
              <w:rPr>
                <w:rFonts w:hint="eastAsia" w:ascii="仿宋" w:hAnsi="仿宋" w:eastAsia="仿宋" w:cs="仿宋"/>
                <w:sz w:val="24"/>
                <w:szCs w:val="24"/>
                <w:lang w:eastAsia="zh-CN"/>
              </w:rPr>
              <w:t>工作室</w:t>
            </w:r>
            <w:r>
              <w:rPr>
                <w:rFonts w:hint="eastAsia" w:ascii="仿宋" w:hAnsi="仿宋" w:eastAsia="仿宋" w:cs="仿宋"/>
                <w:sz w:val="24"/>
                <w:szCs w:val="24"/>
              </w:rPr>
              <w:t>和各</w:t>
            </w:r>
            <w:r>
              <w:rPr>
                <w:rFonts w:hint="eastAsia" w:ascii="仿宋" w:hAnsi="仿宋" w:eastAsia="仿宋" w:cs="仿宋"/>
                <w:sz w:val="24"/>
                <w:szCs w:val="24"/>
                <w:lang w:eastAsia="zh-CN"/>
              </w:rPr>
              <w:t>村</w:t>
            </w:r>
            <w:r>
              <w:rPr>
                <w:rFonts w:hint="eastAsia" w:ascii="仿宋" w:hAnsi="仿宋" w:eastAsia="仿宋" w:cs="仿宋"/>
                <w:sz w:val="24"/>
                <w:szCs w:val="24"/>
              </w:rPr>
              <w:t>委会按职责分别负责。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numPr>
                <w:ilvl w:val="0"/>
                <w:numId w:val="1"/>
              </w:numPr>
              <w:kinsoku/>
              <w:wordWrap/>
              <w:overflowPunct/>
              <w:topLinePunct w:val="0"/>
              <w:bidi w:val="0"/>
              <w:snapToGrid/>
              <w:spacing w:line="0" w:lineRule="atLeast"/>
              <w:jc w:val="center"/>
              <w:textAlignment w:val="auto"/>
              <w:rPr>
                <w:rFonts w:eastAsia="仿宋"/>
                <w:b w:val="0"/>
                <w:bCs/>
                <w:sz w:val="28"/>
                <w:szCs w:val="28"/>
              </w:rPr>
            </w:pPr>
          </w:p>
        </w:tc>
        <w:tc>
          <w:tcPr>
            <w:tcW w:w="1794"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文物古建筑整治</w:t>
            </w:r>
          </w:p>
        </w:tc>
        <w:tc>
          <w:tcPr>
            <w:tcW w:w="4680" w:type="dxa"/>
            <w:vAlign w:val="center"/>
          </w:tcPr>
          <w:p>
            <w:pPr>
              <w:keepNext w:val="0"/>
              <w:keepLines w:val="0"/>
              <w:pageBreakBefore w:val="0"/>
              <w:widowControl w:val="0"/>
              <w:kinsoku/>
              <w:wordWrap/>
              <w:overflowPunct/>
              <w:topLinePunct w:val="0"/>
              <w:bidi w:val="0"/>
              <w:snapToGrid/>
              <w:spacing w:line="0" w:lineRule="atLeast"/>
              <w:jc w:val="left"/>
              <w:textAlignment w:val="auto"/>
              <w:rPr>
                <w:rFonts w:hint="eastAsia" w:ascii="仿宋" w:hAnsi="仿宋" w:eastAsia="仿宋" w:cs="仿宋"/>
                <w:b w:val="0"/>
                <w:bCs/>
                <w:sz w:val="22"/>
                <w:szCs w:val="22"/>
              </w:rPr>
            </w:pPr>
            <w:r>
              <w:rPr>
                <w:rFonts w:hint="eastAsia" w:ascii="仿宋" w:hAnsi="仿宋" w:eastAsia="仿宋" w:cs="仿宋"/>
                <w:b w:val="0"/>
                <w:bCs/>
                <w:sz w:val="22"/>
                <w:szCs w:val="22"/>
              </w:rPr>
              <w:t>组织对各文物、博物馆单位进行拉网式排查，对2018年底以来排查通报隐患的整改情况进行“回头看”。重点督促私人产权、文物出租居住、宗教场所文物安全隐患排查整改。各地要投入专项经费，强化文物消防安全技术措施，7月底前，国保单位100%安装电气火灾监控系统建设；11月底前省级文保单位50%安装电气火灾监控系统建设，并逐步推广至市、县级文保单位。</w:t>
            </w:r>
          </w:p>
        </w:tc>
        <w:tc>
          <w:tcPr>
            <w:tcW w:w="1509"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hint="eastAsia" w:ascii="仿宋" w:hAnsi="仿宋" w:eastAsia="仿宋" w:cs="仿宋"/>
                <w:b w:val="0"/>
                <w:bCs/>
                <w:sz w:val="28"/>
                <w:szCs w:val="28"/>
                <w:lang w:val="en-US" w:eastAsia="zh-CN"/>
              </w:rPr>
            </w:pPr>
            <w:r>
              <w:rPr>
                <w:rFonts w:hint="eastAsia" w:ascii="仿宋" w:hAnsi="仿宋" w:eastAsia="仿宋" w:cs="仿宋"/>
                <w:b w:val="0"/>
                <w:bCs/>
                <w:snapToGrid w:val="0"/>
                <w:kern w:val="0"/>
                <w:sz w:val="28"/>
                <w:szCs w:val="28"/>
                <w:lang w:val="en-US" w:eastAsia="zh-CN"/>
              </w:rPr>
              <w:t>镇文体服务中心</w:t>
            </w:r>
          </w:p>
        </w:tc>
        <w:tc>
          <w:tcPr>
            <w:tcW w:w="1911"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hint="eastAsia" w:ascii="仿宋" w:hAnsi="仿宋" w:eastAsia="仿宋" w:cs="仿宋"/>
                <w:b w:val="0"/>
                <w:bCs/>
                <w:sz w:val="24"/>
                <w:szCs w:val="24"/>
              </w:rPr>
            </w:pPr>
            <w:r>
              <w:rPr>
                <w:rFonts w:hint="eastAsia" w:ascii="仿宋" w:hAnsi="仿宋" w:eastAsia="仿宋" w:cs="仿宋"/>
                <w:bCs/>
                <w:snapToGrid w:val="0"/>
                <w:kern w:val="0"/>
                <w:sz w:val="24"/>
                <w:szCs w:val="24"/>
                <w:lang w:eastAsia="zh-CN"/>
              </w:rPr>
              <w:t>派出所</w:t>
            </w:r>
            <w:r>
              <w:rPr>
                <w:rFonts w:hint="eastAsia" w:ascii="仿宋" w:hAnsi="仿宋" w:eastAsia="仿宋" w:cs="仿宋"/>
                <w:bCs/>
                <w:snapToGrid w:val="0"/>
                <w:kern w:val="0"/>
                <w:sz w:val="24"/>
                <w:szCs w:val="24"/>
              </w:rPr>
              <w:t>、财政</w:t>
            </w:r>
            <w:r>
              <w:rPr>
                <w:rFonts w:hint="eastAsia" w:ascii="仿宋" w:hAnsi="仿宋" w:eastAsia="仿宋" w:cs="仿宋"/>
                <w:bCs/>
                <w:snapToGrid w:val="0"/>
                <w:kern w:val="0"/>
                <w:sz w:val="24"/>
                <w:szCs w:val="24"/>
                <w:lang w:eastAsia="zh-CN"/>
              </w:rPr>
              <w:t>所</w:t>
            </w:r>
            <w:r>
              <w:rPr>
                <w:rFonts w:hint="eastAsia" w:ascii="仿宋" w:hAnsi="仿宋" w:eastAsia="仿宋" w:cs="仿宋"/>
                <w:bCs/>
                <w:snapToGrid w:val="0"/>
                <w:kern w:val="0"/>
                <w:sz w:val="24"/>
                <w:szCs w:val="24"/>
              </w:rPr>
              <w:t>、</w:t>
            </w:r>
            <w:r>
              <w:rPr>
                <w:rFonts w:hint="eastAsia" w:ascii="仿宋" w:hAnsi="仿宋" w:eastAsia="仿宋" w:cs="仿宋"/>
                <w:bCs/>
                <w:snapToGrid w:val="0"/>
                <w:kern w:val="0"/>
                <w:sz w:val="24"/>
                <w:szCs w:val="24"/>
                <w:lang w:eastAsia="zh-CN"/>
              </w:rPr>
              <w:t>安办</w:t>
            </w:r>
            <w:r>
              <w:rPr>
                <w:rFonts w:hint="eastAsia" w:ascii="仿宋" w:hAnsi="仿宋" w:eastAsia="仿宋" w:cs="仿宋"/>
                <w:bCs/>
                <w:snapToGrid w:val="0"/>
                <w:kern w:val="0"/>
                <w:sz w:val="24"/>
                <w:szCs w:val="24"/>
              </w:rPr>
              <w:t>、</w:t>
            </w:r>
            <w:r>
              <w:rPr>
                <w:rFonts w:hint="eastAsia" w:ascii="仿宋" w:hAnsi="仿宋" w:eastAsia="仿宋" w:cs="仿宋"/>
                <w:bCs/>
                <w:snapToGrid w:val="0"/>
                <w:kern w:val="0"/>
                <w:sz w:val="24"/>
                <w:szCs w:val="24"/>
                <w:lang w:eastAsia="zh-CN"/>
              </w:rPr>
              <w:t>净峰供</w:t>
            </w:r>
            <w:r>
              <w:rPr>
                <w:rFonts w:hint="eastAsia" w:ascii="仿宋" w:hAnsi="仿宋" w:eastAsia="仿宋" w:cs="仿宋"/>
                <w:bCs/>
                <w:snapToGrid w:val="0"/>
                <w:kern w:val="0"/>
                <w:sz w:val="24"/>
                <w:szCs w:val="24"/>
              </w:rPr>
              <w:t>电</w:t>
            </w:r>
            <w:r>
              <w:rPr>
                <w:rFonts w:hint="eastAsia" w:ascii="仿宋" w:hAnsi="仿宋" w:eastAsia="仿宋" w:cs="仿宋"/>
                <w:bCs/>
                <w:snapToGrid w:val="0"/>
                <w:kern w:val="0"/>
                <w:sz w:val="24"/>
                <w:szCs w:val="24"/>
                <w:lang w:eastAsia="zh-CN"/>
              </w:rPr>
              <w:t>所</w:t>
            </w:r>
            <w:r>
              <w:rPr>
                <w:rFonts w:hint="eastAsia" w:ascii="仿宋" w:hAnsi="仿宋" w:eastAsia="仿宋" w:cs="仿宋"/>
                <w:bCs/>
                <w:snapToGrid w:val="0"/>
                <w:kern w:val="0"/>
                <w:sz w:val="24"/>
                <w:szCs w:val="24"/>
              </w:rPr>
              <w:t>和各</w:t>
            </w:r>
            <w:r>
              <w:rPr>
                <w:rFonts w:hint="eastAsia" w:ascii="仿宋" w:hAnsi="仿宋" w:eastAsia="仿宋" w:cs="仿宋"/>
                <w:bCs/>
                <w:snapToGrid w:val="0"/>
                <w:kern w:val="0"/>
                <w:sz w:val="24"/>
                <w:szCs w:val="24"/>
                <w:lang w:eastAsia="zh-CN"/>
              </w:rPr>
              <w:t>村委</w:t>
            </w:r>
            <w:r>
              <w:rPr>
                <w:rFonts w:hint="eastAsia" w:ascii="仿宋" w:hAnsi="仿宋" w:eastAsia="仿宋" w:cs="仿宋"/>
                <w:bCs/>
                <w:snapToGrid w:val="0"/>
                <w:kern w:val="0"/>
                <w:sz w:val="24"/>
                <w:szCs w:val="24"/>
              </w:rPr>
              <w:t>会按职责分别负责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numPr>
                <w:ilvl w:val="0"/>
                <w:numId w:val="1"/>
              </w:numPr>
              <w:kinsoku/>
              <w:wordWrap/>
              <w:overflowPunct/>
              <w:topLinePunct w:val="0"/>
              <w:bidi w:val="0"/>
              <w:snapToGrid/>
              <w:spacing w:line="0" w:lineRule="atLeast"/>
              <w:jc w:val="center"/>
              <w:textAlignment w:val="auto"/>
              <w:rPr>
                <w:rFonts w:eastAsia="仿宋"/>
                <w:b w:val="0"/>
                <w:bCs/>
                <w:sz w:val="28"/>
                <w:szCs w:val="28"/>
              </w:rPr>
            </w:pPr>
          </w:p>
        </w:tc>
        <w:tc>
          <w:tcPr>
            <w:tcW w:w="1794"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住宅小区整治</w:t>
            </w:r>
          </w:p>
        </w:tc>
        <w:tc>
          <w:tcPr>
            <w:tcW w:w="4680" w:type="dxa"/>
            <w:vAlign w:val="center"/>
          </w:tcPr>
          <w:p>
            <w:pPr>
              <w:keepNext w:val="0"/>
              <w:keepLines w:val="0"/>
              <w:pageBreakBefore w:val="0"/>
              <w:widowControl w:val="0"/>
              <w:kinsoku/>
              <w:wordWrap/>
              <w:overflowPunct/>
              <w:topLinePunct w:val="0"/>
              <w:bidi w:val="0"/>
              <w:snapToGrid/>
              <w:spacing w:line="0" w:lineRule="atLeast"/>
              <w:jc w:val="left"/>
              <w:textAlignment w:val="auto"/>
              <w:rPr>
                <w:rFonts w:hint="eastAsia" w:ascii="仿宋" w:hAnsi="仿宋" w:eastAsia="仿宋" w:cs="仿宋"/>
                <w:b w:val="0"/>
                <w:bCs/>
                <w:sz w:val="22"/>
                <w:szCs w:val="22"/>
              </w:rPr>
            </w:pPr>
            <w:r>
              <w:rPr>
                <w:rFonts w:hint="eastAsia" w:ascii="仿宋" w:hAnsi="仿宋" w:eastAsia="仿宋" w:cs="仿宋"/>
                <w:b w:val="0"/>
                <w:bCs/>
                <w:sz w:val="22"/>
                <w:szCs w:val="22"/>
              </w:rPr>
              <w:t>重点推动使用住宅专项维修资金对住宅小区共用消防设施进行维修、更新、改造。对无专项维修资金的无物业住宅小区，镇政府要牵头负责，将整治资金列入财政预算或明确资金来源推进整改。11月底前，全</w:t>
            </w:r>
            <w:r>
              <w:rPr>
                <w:rFonts w:hint="eastAsia" w:ascii="仿宋" w:hAnsi="仿宋" w:eastAsia="仿宋" w:cs="仿宋"/>
                <w:b w:val="0"/>
                <w:bCs/>
                <w:sz w:val="22"/>
                <w:szCs w:val="22"/>
                <w:lang w:eastAsia="zh-CN"/>
              </w:rPr>
              <w:t>镇</w:t>
            </w:r>
            <w:r>
              <w:rPr>
                <w:rFonts w:hint="eastAsia" w:ascii="仿宋" w:hAnsi="仿宋" w:eastAsia="仿宋" w:cs="仿宋"/>
                <w:b w:val="0"/>
                <w:bCs/>
                <w:sz w:val="22"/>
                <w:szCs w:val="22"/>
              </w:rPr>
              <w:t>有物业的住宅小区应100%、无物业小区50%建设电动自行车智能充电场所。</w:t>
            </w:r>
          </w:p>
        </w:tc>
        <w:tc>
          <w:tcPr>
            <w:tcW w:w="1509"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hint="eastAsia" w:ascii="仿宋" w:hAnsi="仿宋" w:eastAsia="仿宋" w:cs="仿宋"/>
                <w:b w:val="0"/>
                <w:bCs/>
                <w:snapToGrid w:val="0"/>
                <w:kern w:val="0"/>
                <w:sz w:val="28"/>
                <w:szCs w:val="28"/>
                <w:lang w:val="en-US" w:eastAsia="zh-CN"/>
              </w:rPr>
            </w:pPr>
            <w:r>
              <w:rPr>
                <w:rFonts w:hint="eastAsia" w:ascii="仿宋" w:hAnsi="仿宋" w:eastAsia="仿宋" w:cs="仿宋"/>
                <w:b w:val="0"/>
                <w:bCs/>
                <w:snapToGrid w:val="0"/>
                <w:kern w:val="0"/>
                <w:sz w:val="28"/>
                <w:szCs w:val="28"/>
                <w:lang w:val="en-US" w:eastAsia="zh-CN"/>
              </w:rPr>
              <w:t>镇村建办</w:t>
            </w:r>
          </w:p>
        </w:tc>
        <w:tc>
          <w:tcPr>
            <w:tcW w:w="1911"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hint="eastAsia" w:ascii="仿宋" w:hAnsi="仿宋" w:eastAsia="仿宋" w:cs="仿宋"/>
                <w:b w:val="0"/>
                <w:bCs/>
                <w:snapToGrid w:val="0"/>
                <w:kern w:val="0"/>
                <w:sz w:val="24"/>
                <w:szCs w:val="24"/>
              </w:rPr>
            </w:pPr>
            <w:r>
              <w:rPr>
                <w:rFonts w:hint="eastAsia" w:ascii="仿宋" w:hAnsi="仿宋" w:eastAsia="仿宋" w:cs="仿宋"/>
                <w:bCs/>
                <w:snapToGrid w:val="0"/>
                <w:kern w:val="0"/>
                <w:sz w:val="24"/>
                <w:szCs w:val="24"/>
                <w:lang w:eastAsia="zh-CN"/>
              </w:rPr>
              <w:t>镇经委</w:t>
            </w:r>
            <w:r>
              <w:rPr>
                <w:rFonts w:hint="eastAsia" w:ascii="仿宋" w:hAnsi="仿宋" w:eastAsia="仿宋" w:cs="仿宋"/>
                <w:bCs/>
                <w:snapToGrid w:val="0"/>
                <w:kern w:val="0"/>
                <w:sz w:val="24"/>
                <w:szCs w:val="24"/>
              </w:rPr>
              <w:t>、市场监管</w:t>
            </w:r>
            <w:r>
              <w:rPr>
                <w:rFonts w:hint="eastAsia" w:ascii="仿宋" w:hAnsi="仿宋" w:eastAsia="仿宋" w:cs="仿宋"/>
                <w:bCs/>
                <w:snapToGrid w:val="0"/>
                <w:kern w:val="0"/>
                <w:sz w:val="24"/>
                <w:szCs w:val="24"/>
                <w:lang w:eastAsia="zh-CN"/>
              </w:rPr>
              <w:t>所</w:t>
            </w:r>
            <w:r>
              <w:rPr>
                <w:rFonts w:hint="eastAsia" w:ascii="仿宋" w:hAnsi="仿宋" w:eastAsia="仿宋" w:cs="仿宋"/>
                <w:bCs/>
                <w:snapToGrid w:val="0"/>
                <w:kern w:val="0"/>
                <w:sz w:val="24"/>
                <w:szCs w:val="24"/>
              </w:rPr>
              <w:t>、消防</w:t>
            </w:r>
            <w:r>
              <w:rPr>
                <w:rFonts w:hint="eastAsia" w:ascii="仿宋" w:hAnsi="仿宋" w:eastAsia="仿宋" w:cs="仿宋"/>
                <w:bCs/>
                <w:snapToGrid w:val="0"/>
                <w:kern w:val="0"/>
                <w:sz w:val="24"/>
                <w:szCs w:val="24"/>
                <w:lang w:eastAsia="zh-CN"/>
              </w:rPr>
              <w:t>工作室</w:t>
            </w:r>
            <w:r>
              <w:rPr>
                <w:rFonts w:hint="eastAsia" w:ascii="仿宋" w:hAnsi="仿宋" w:eastAsia="仿宋" w:cs="仿宋"/>
                <w:bCs/>
                <w:snapToGrid w:val="0"/>
                <w:kern w:val="0"/>
                <w:sz w:val="24"/>
                <w:szCs w:val="24"/>
              </w:rPr>
              <w:t>、</w:t>
            </w:r>
            <w:r>
              <w:rPr>
                <w:rFonts w:hint="eastAsia" w:ascii="仿宋" w:hAnsi="仿宋" w:eastAsia="仿宋" w:cs="仿宋"/>
                <w:bCs/>
                <w:snapToGrid w:val="0"/>
                <w:kern w:val="0"/>
                <w:sz w:val="24"/>
                <w:szCs w:val="24"/>
                <w:lang w:eastAsia="zh-CN"/>
              </w:rPr>
              <w:t>净峰</w:t>
            </w:r>
            <w:r>
              <w:rPr>
                <w:rFonts w:hint="eastAsia" w:ascii="仿宋" w:hAnsi="仿宋" w:eastAsia="仿宋" w:cs="仿宋"/>
                <w:bCs/>
                <w:snapToGrid w:val="0"/>
                <w:kern w:val="0"/>
                <w:sz w:val="24"/>
                <w:szCs w:val="24"/>
              </w:rPr>
              <w:t>供电</w:t>
            </w:r>
            <w:r>
              <w:rPr>
                <w:rFonts w:hint="eastAsia" w:ascii="仿宋" w:hAnsi="仿宋" w:eastAsia="仿宋" w:cs="仿宋"/>
                <w:bCs/>
                <w:snapToGrid w:val="0"/>
                <w:kern w:val="0"/>
                <w:sz w:val="24"/>
                <w:szCs w:val="24"/>
                <w:lang w:eastAsia="zh-CN"/>
              </w:rPr>
              <w:t>所</w:t>
            </w:r>
            <w:r>
              <w:rPr>
                <w:rFonts w:hint="eastAsia" w:ascii="仿宋" w:hAnsi="仿宋" w:eastAsia="仿宋" w:cs="仿宋"/>
                <w:bCs/>
                <w:snapToGrid w:val="0"/>
                <w:kern w:val="0"/>
                <w:sz w:val="24"/>
                <w:szCs w:val="24"/>
              </w:rPr>
              <w:t>和各</w:t>
            </w:r>
            <w:r>
              <w:rPr>
                <w:rFonts w:hint="eastAsia" w:ascii="仿宋" w:hAnsi="仿宋" w:eastAsia="仿宋" w:cs="仿宋"/>
                <w:bCs/>
                <w:snapToGrid w:val="0"/>
                <w:kern w:val="0"/>
                <w:sz w:val="24"/>
                <w:szCs w:val="24"/>
                <w:lang w:eastAsia="zh-CN"/>
              </w:rPr>
              <w:t>村</w:t>
            </w:r>
            <w:r>
              <w:rPr>
                <w:rFonts w:hint="eastAsia" w:ascii="仿宋" w:hAnsi="仿宋" w:eastAsia="仿宋" w:cs="仿宋"/>
                <w:bCs/>
                <w:snapToGrid w:val="0"/>
                <w:kern w:val="0"/>
                <w:sz w:val="24"/>
                <w:szCs w:val="24"/>
              </w:rPr>
              <w:t>委会按职责分别负责。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keepNext w:val="0"/>
              <w:keepLines w:val="0"/>
              <w:pageBreakBefore w:val="0"/>
              <w:widowControl w:val="0"/>
              <w:numPr>
                <w:ilvl w:val="0"/>
                <w:numId w:val="1"/>
              </w:numPr>
              <w:kinsoku/>
              <w:wordWrap/>
              <w:overflowPunct/>
              <w:topLinePunct w:val="0"/>
              <w:bidi w:val="0"/>
              <w:snapToGrid/>
              <w:spacing w:line="0" w:lineRule="atLeast"/>
              <w:jc w:val="center"/>
              <w:textAlignment w:val="auto"/>
              <w:rPr>
                <w:rFonts w:eastAsia="仿宋"/>
                <w:b w:val="0"/>
                <w:bCs/>
                <w:sz w:val="28"/>
                <w:szCs w:val="28"/>
              </w:rPr>
            </w:pPr>
          </w:p>
        </w:tc>
        <w:tc>
          <w:tcPr>
            <w:tcW w:w="1794"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区域性火灾隐患</w:t>
            </w:r>
          </w:p>
        </w:tc>
        <w:tc>
          <w:tcPr>
            <w:tcW w:w="4680" w:type="dxa"/>
            <w:vAlign w:val="center"/>
          </w:tcPr>
          <w:p>
            <w:pPr>
              <w:keepNext w:val="0"/>
              <w:keepLines w:val="0"/>
              <w:pageBreakBefore w:val="0"/>
              <w:widowControl w:val="0"/>
              <w:kinsoku/>
              <w:wordWrap/>
              <w:overflowPunct/>
              <w:topLinePunct w:val="0"/>
              <w:bidi w:val="0"/>
              <w:snapToGrid/>
              <w:spacing w:line="0" w:lineRule="atLeast"/>
              <w:jc w:val="left"/>
              <w:textAlignment w:val="auto"/>
              <w:rPr>
                <w:rFonts w:hint="eastAsia" w:ascii="仿宋" w:hAnsi="仿宋" w:eastAsia="仿宋" w:cs="仿宋"/>
                <w:b w:val="0"/>
                <w:bCs/>
                <w:sz w:val="22"/>
                <w:szCs w:val="22"/>
              </w:rPr>
            </w:pPr>
            <w:r>
              <w:rPr>
                <w:rFonts w:hint="eastAsia" w:ascii="仿宋" w:hAnsi="仿宋" w:eastAsia="仿宋" w:cs="仿宋"/>
                <w:b w:val="0"/>
                <w:bCs/>
                <w:sz w:val="22"/>
                <w:szCs w:val="22"/>
              </w:rPr>
              <w:t>找准本</w:t>
            </w:r>
            <w:r>
              <w:rPr>
                <w:rFonts w:hint="eastAsia" w:ascii="仿宋" w:hAnsi="仿宋" w:eastAsia="仿宋" w:cs="仿宋"/>
                <w:b w:val="0"/>
                <w:bCs/>
                <w:sz w:val="22"/>
                <w:szCs w:val="22"/>
                <w:lang w:eastAsia="zh-CN"/>
              </w:rPr>
              <w:t>镇</w:t>
            </w:r>
            <w:r>
              <w:rPr>
                <w:rFonts w:hint="eastAsia" w:ascii="仿宋" w:hAnsi="仿宋" w:eastAsia="仿宋" w:cs="仿宋"/>
                <w:b w:val="0"/>
                <w:bCs/>
                <w:sz w:val="22"/>
                <w:szCs w:val="22"/>
              </w:rPr>
              <w:t>消防突出问题，确定1-2个重点区域（行业领域）进行集中</w:t>
            </w:r>
            <w:r>
              <w:rPr>
                <w:rFonts w:hint="eastAsia" w:ascii="仿宋" w:hAnsi="仿宋" w:eastAsia="仿宋" w:cs="仿宋"/>
                <w:b w:val="0"/>
                <w:bCs/>
                <w:sz w:val="22"/>
                <w:szCs w:val="22"/>
                <w:lang w:eastAsia="zh-CN"/>
              </w:rPr>
              <w:t>重点</w:t>
            </w:r>
            <w:r>
              <w:rPr>
                <w:rFonts w:hint="eastAsia" w:ascii="仿宋" w:hAnsi="仿宋" w:eastAsia="仿宋" w:cs="仿宋"/>
                <w:b w:val="0"/>
                <w:bCs/>
                <w:sz w:val="22"/>
                <w:szCs w:val="22"/>
              </w:rPr>
              <w:t>整治，，采取增配消防协管员、安排专项整治经费等有效措施推进整改。继续抓好冬春大会战挂牌的重点隐患。实现区域性隐患整治成效明显，火灾“四项指数”同比前三年平均数均下降5%以上。</w:t>
            </w:r>
          </w:p>
        </w:tc>
        <w:tc>
          <w:tcPr>
            <w:tcW w:w="1509"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hint="eastAsia" w:ascii="仿宋" w:hAnsi="仿宋" w:eastAsia="仿宋" w:cs="仿宋"/>
                <w:b w:val="0"/>
                <w:bCs/>
                <w:sz w:val="28"/>
                <w:szCs w:val="28"/>
                <w:lang w:eastAsia="zh-CN"/>
              </w:rPr>
            </w:pPr>
            <w:r>
              <w:rPr>
                <w:rFonts w:hint="eastAsia" w:ascii="仿宋" w:hAnsi="仿宋" w:eastAsia="仿宋" w:cs="仿宋"/>
                <w:b w:val="0"/>
                <w:bCs/>
                <w:snapToGrid w:val="0"/>
                <w:kern w:val="0"/>
                <w:sz w:val="28"/>
                <w:szCs w:val="28"/>
                <w:lang w:val="en-US" w:eastAsia="zh-CN"/>
              </w:rPr>
              <w:t>镇</w:t>
            </w:r>
            <w:r>
              <w:rPr>
                <w:rFonts w:hint="eastAsia" w:ascii="仿宋" w:hAnsi="仿宋" w:eastAsia="仿宋" w:cs="仿宋"/>
                <w:b w:val="0"/>
                <w:bCs/>
                <w:snapToGrid w:val="0"/>
                <w:kern w:val="0"/>
                <w:sz w:val="28"/>
                <w:szCs w:val="28"/>
                <w:lang w:eastAsia="zh-CN"/>
              </w:rPr>
              <w:t>安办</w:t>
            </w:r>
          </w:p>
        </w:tc>
        <w:tc>
          <w:tcPr>
            <w:tcW w:w="1911" w:type="dxa"/>
            <w:vAlign w:val="center"/>
          </w:tcPr>
          <w:p>
            <w:pPr>
              <w:keepNext w:val="0"/>
              <w:keepLines w:val="0"/>
              <w:pageBreakBefore w:val="0"/>
              <w:widowControl w:val="0"/>
              <w:kinsoku/>
              <w:wordWrap/>
              <w:overflowPunct/>
              <w:topLinePunct w:val="0"/>
              <w:bidi w:val="0"/>
              <w:snapToGrid/>
              <w:spacing w:line="0" w:lineRule="atLeast"/>
              <w:jc w:val="center"/>
              <w:textAlignment w:val="auto"/>
              <w:rPr>
                <w:rFonts w:hint="eastAsia" w:ascii="仿宋" w:hAnsi="仿宋" w:eastAsia="仿宋" w:cs="仿宋"/>
                <w:b w:val="0"/>
                <w:bCs/>
                <w:sz w:val="24"/>
                <w:szCs w:val="24"/>
              </w:rPr>
            </w:pPr>
            <w:r>
              <w:rPr>
                <w:rFonts w:hint="eastAsia" w:ascii="仿宋" w:hAnsi="仿宋" w:eastAsia="仿宋" w:cs="仿宋"/>
                <w:bCs/>
                <w:snapToGrid w:val="0"/>
                <w:kern w:val="0"/>
                <w:sz w:val="22"/>
                <w:szCs w:val="22"/>
                <w:lang w:eastAsia="zh-CN"/>
              </w:rPr>
              <w:t>镇教委</w:t>
            </w:r>
            <w:r>
              <w:rPr>
                <w:rFonts w:hint="eastAsia" w:ascii="仿宋" w:hAnsi="仿宋" w:eastAsia="仿宋" w:cs="仿宋"/>
                <w:bCs/>
                <w:snapToGrid w:val="0"/>
                <w:kern w:val="0"/>
                <w:sz w:val="22"/>
                <w:szCs w:val="22"/>
              </w:rPr>
              <w:t>、</w:t>
            </w:r>
            <w:r>
              <w:rPr>
                <w:rFonts w:hint="eastAsia" w:ascii="仿宋" w:hAnsi="仿宋" w:eastAsia="仿宋" w:cs="仿宋"/>
                <w:bCs/>
                <w:snapToGrid w:val="0"/>
                <w:kern w:val="0"/>
                <w:sz w:val="22"/>
                <w:szCs w:val="22"/>
                <w:lang w:eastAsia="zh-CN"/>
              </w:rPr>
              <w:t>经委</w:t>
            </w:r>
            <w:r>
              <w:rPr>
                <w:rFonts w:hint="eastAsia" w:ascii="仿宋" w:hAnsi="仿宋" w:eastAsia="仿宋" w:cs="仿宋"/>
                <w:bCs/>
                <w:snapToGrid w:val="0"/>
                <w:kern w:val="0"/>
                <w:sz w:val="22"/>
                <w:szCs w:val="22"/>
              </w:rPr>
              <w:t>、</w:t>
            </w:r>
            <w:r>
              <w:rPr>
                <w:rFonts w:hint="eastAsia" w:ascii="仿宋" w:hAnsi="仿宋" w:eastAsia="仿宋" w:cs="仿宋"/>
                <w:bCs/>
                <w:snapToGrid w:val="0"/>
                <w:kern w:val="0"/>
                <w:sz w:val="22"/>
                <w:szCs w:val="22"/>
                <w:lang w:eastAsia="zh-CN"/>
              </w:rPr>
              <w:t>统战办</w:t>
            </w:r>
            <w:r>
              <w:rPr>
                <w:rFonts w:hint="eastAsia" w:ascii="仿宋" w:hAnsi="仿宋" w:eastAsia="仿宋" w:cs="仿宋"/>
                <w:bCs/>
                <w:snapToGrid w:val="0"/>
                <w:kern w:val="0"/>
                <w:sz w:val="22"/>
                <w:szCs w:val="22"/>
              </w:rPr>
              <w:t>、</w:t>
            </w:r>
            <w:r>
              <w:rPr>
                <w:rFonts w:hint="eastAsia" w:ascii="仿宋" w:hAnsi="仿宋" w:eastAsia="仿宋" w:cs="仿宋"/>
                <w:bCs/>
                <w:snapToGrid w:val="0"/>
                <w:kern w:val="0"/>
                <w:sz w:val="22"/>
                <w:szCs w:val="22"/>
                <w:lang w:eastAsia="zh-CN"/>
              </w:rPr>
              <w:t>派出所</w:t>
            </w:r>
            <w:r>
              <w:rPr>
                <w:rFonts w:hint="eastAsia" w:ascii="仿宋" w:hAnsi="仿宋" w:eastAsia="仿宋" w:cs="仿宋"/>
                <w:bCs/>
                <w:snapToGrid w:val="0"/>
                <w:kern w:val="0"/>
                <w:sz w:val="22"/>
                <w:szCs w:val="22"/>
              </w:rPr>
              <w:t>、民政</w:t>
            </w:r>
            <w:r>
              <w:rPr>
                <w:rFonts w:hint="eastAsia" w:ascii="仿宋" w:hAnsi="仿宋" w:eastAsia="仿宋" w:cs="仿宋"/>
                <w:bCs/>
                <w:snapToGrid w:val="0"/>
                <w:kern w:val="0"/>
                <w:sz w:val="22"/>
                <w:szCs w:val="22"/>
                <w:lang w:eastAsia="zh-CN"/>
              </w:rPr>
              <w:t>办</w:t>
            </w:r>
            <w:r>
              <w:rPr>
                <w:rFonts w:hint="eastAsia" w:ascii="仿宋" w:hAnsi="仿宋" w:eastAsia="仿宋" w:cs="仿宋"/>
                <w:bCs/>
                <w:snapToGrid w:val="0"/>
                <w:kern w:val="0"/>
                <w:sz w:val="22"/>
                <w:szCs w:val="22"/>
              </w:rPr>
              <w:t>、</w:t>
            </w:r>
            <w:r>
              <w:rPr>
                <w:rFonts w:hint="eastAsia" w:ascii="仿宋" w:hAnsi="仿宋" w:eastAsia="仿宋" w:cs="仿宋"/>
                <w:bCs/>
                <w:snapToGrid w:val="0"/>
                <w:kern w:val="0"/>
                <w:sz w:val="22"/>
                <w:szCs w:val="22"/>
                <w:lang w:eastAsia="zh-CN"/>
              </w:rPr>
              <w:t>村建规划站</w:t>
            </w:r>
            <w:r>
              <w:rPr>
                <w:rFonts w:hint="eastAsia" w:ascii="仿宋" w:hAnsi="仿宋" w:eastAsia="仿宋" w:cs="仿宋"/>
                <w:bCs/>
                <w:snapToGrid w:val="0"/>
                <w:kern w:val="0"/>
                <w:sz w:val="22"/>
                <w:szCs w:val="22"/>
              </w:rPr>
              <w:t>、</w:t>
            </w:r>
            <w:r>
              <w:rPr>
                <w:rFonts w:hint="eastAsia" w:ascii="仿宋" w:hAnsi="仿宋" w:eastAsia="仿宋" w:cs="仿宋"/>
                <w:bCs/>
                <w:snapToGrid w:val="0"/>
                <w:kern w:val="0"/>
                <w:sz w:val="22"/>
                <w:szCs w:val="22"/>
                <w:lang w:eastAsia="zh-CN"/>
              </w:rPr>
              <w:t>文体中心</w:t>
            </w:r>
            <w:r>
              <w:rPr>
                <w:rFonts w:hint="eastAsia" w:ascii="仿宋" w:hAnsi="仿宋" w:eastAsia="仿宋" w:cs="仿宋"/>
                <w:bCs/>
                <w:snapToGrid w:val="0"/>
                <w:kern w:val="0"/>
                <w:sz w:val="22"/>
                <w:szCs w:val="22"/>
              </w:rPr>
              <w:t>、卫</w:t>
            </w:r>
            <w:r>
              <w:rPr>
                <w:rFonts w:hint="eastAsia" w:ascii="仿宋" w:hAnsi="仿宋" w:eastAsia="仿宋" w:cs="仿宋"/>
                <w:bCs/>
                <w:snapToGrid w:val="0"/>
                <w:kern w:val="0"/>
                <w:sz w:val="22"/>
                <w:szCs w:val="22"/>
                <w:lang w:val="en-US" w:eastAsia="zh-CN"/>
              </w:rPr>
              <w:t>计</w:t>
            </w:r>
            <w:r>
              <w:rPr>
                <w:rFonts w:hint="eastAsia" w:ascii="仿宋" w:hAnsi="仿宋" w:eastAsia="仿宋" w:cs="仿宋"/>
                <w:bCs/>
                <w:snapToGrid w:val="0"/>
                <w:kern w:val="0"/>
                <w:sz w:val="22"/>
                <w:szCs w:val="22"/>
                <w:lang w:eastAsia="zh-CN"/>
              </w:rPr>
              <w:t>办</w:t>
            </w:r>
            <w:r>
              <w:rPr>
                <w:rFonts w:hint="eastAsia" w:ascii="仿宋" w:hAnsi="仿宋" w:eastAsia="仿宋" w:cs="仿宋"/>
                <w:bCs/>
                <w:snapToGrid w:val="0"/>
                <w:kern w:val="0"/>
                <w:sz w:val="22"/>
                <w:szCs w:val="22"/>
              </w:rPr>
              <w:t>、市场监管</w:t>
            </w:r>
            <w:r>
              <w:rPr>
                <w:rFonts w:hint="eastAsia" w:ascii="仿宋" w:hAnsi="仿宋" w:eastAsia="仿宋" w:cs="仿宋"/>
                <w:bCs/>
                <w:snapToGrid w:val="0"/>
                <w:kern w:val="0"/>
                <w:sz w:val="22"/>
                <w:szCs w:val="22"/>
                <w:lang w:eastAsia="zh-CN"/>
              </w:rPr>
              <w:t>所</w:t>
            </w:r>
            <w:r>
              <w:rPr>
                <w:rFonts w:hint="eastAsia" w:ascii="仿宋" w:hAnsi="仿宋" w:eastAsia="仿宋" w:cs="仿宋"/>
                <w:bCs/>
                <w:snapToGrid w:val="0"/>
                <w:kern w:val="0"/>
                <w:sz w:val="22"/>
                <w:szCs w:val="22"/>
              </w:rPr>
              <w:t>、消防</w:t>
            </w:r>
            <w:r>
              <w:rPr>
                <w:rFonts w:hint="eastAsia" w:ascii="仿宋" w:hAnsi="仿宋" w:eastAsia="仿宋" w:cs="仿宋"/>
                <w:bCs/>
                <w:snapToGrid w:val="0"/>
                <w:kern w:val="0"/>
                <w:sz w:val="22"/>
                <w:szCs w:val="22"/>
                <w:lang w:eastAsia="zh-CN"/>
              </w:rPr>
              <w:t>工作室</w:t>
            </w:r>
            <w:r>
              <w:rPr>
                <w:rFonts w:hint="eastAsia" w:ascii="仿宋" w:hAnsi="仿宋" w:eastAsia="仿宋" w:cs="仿宋"/>
                <w:bCs/>
                <w:snapToGrid w:val="0"/>
                <w:kern w:val="0"/>
                <w:sz w:val="22"/>
                <w:szCs w:val="22"/>
              </w:rPr>
              <w:t>、</w:t>
            </w:r>
            <w:r>
              <w:rPr>
                <w:rFonts w:hint="eastAsia" w:ascii="仿宋" w:hAnsi="仿宋" w:eastAsia="仿宋" w:cs="仿宋"/>
                <w:bCs/>
                <w:snapToGrid w:val="0"/>
                <w:kern w:val="0"/>
                <w:sz w:val="22"/>
                <w:szCs w:val="22"/>
                <w:lang w:eastAsia="zh-CN"/>
              </w:rPr>
              <w:t>净峰</w:t>
            </w:r>
            <w:r>
              <w:rPr>
                <w:rFonts w:hint="eastAsia" w:ascii="仿宋" w:hAnsi="仿宋" w:eastAsia="仿宋" w:cs="仿宋"/>
                <w:bCs/>
                <w:snapToGrid w:val="0"/>
                <w:kern w:val="0"/>
                <w:sz w:val="22"/>
                <w:szCs w:val="22"/>
              </w:rPr>
              <w:t>供电</w:t>
            </w:r>
            <w:r>
              <w:rPr>
                <w:rFonts w:hint="eastAsia" w:ascii="仿宋" w:hAnsi="仿宋" w:eastAsia="仿宋" w:cs="仿宋"/>
                <w:bCs/>
                <w:snapToGrid w:val="0"/>
                <w:kern w:val="0"/>
                <w:sz w:val="22"/>
                <w:szCs w:val="22"/>
                <w:lang w:eastAsia="zh-CN"/>
              </w:rPr>
              <w:t>所</w:t>
            </w:r>
            <w:r>
              <w:rPr>
                <w:rFonts w:hint="eastAsia" w:ascii="仿宋" w:hAnsi="仿宋" w:eastAsia="仿宋" w:cs="仿宋"/>
                <w:bCs/>
                <w:snapToGrid w:val="0"/>
                <w:kern w:val="0"/>
                <w:sz w:val="22"/>
                <w:szCs w:val="22"/>
              </w:rPr>
              <w:t>、燃气公司等部门按职责分别负责。</w:t>
            </w:r>
          </w:p>
        </w:tc>
      </w:tr>
    </w:tbl>
    <w:p>
      <w:pPr>
        <w:rPr>
          <w:rFonts w:eastAsia="黑体"/>
        </w:rPr>
        <w:sectPr>
          <w:footerReference r:id="rId8" w:type="default"/>
          <w:pgSz w:w="11906" w:h="16838"/>
          <w:pgMar w:top="1418" w:right="680" w:bottom="1418" w:left="680" w:header="851" w:footer="992" w:gutter="0"/>
          <w:pgNumType w:fmt="numberInDash"/>
          <w:cols w:space="720" w:num="1"/>
          <w:docGrid w:linePitch="435" w:charSpace="0"/>
        </w:sectPr>
      </w:pPr>
    </w:p>
    <w:p>
      <w:pPr>
        <w:spacing w:line="560" w:lineRule="exact"/>
        <w:jc w:val="lef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5</w:t>
      </w:r>
    </w:p>
    <w:p>
      <w:pPr>
        <w:adjustRightInd w:val="0"/>
        <w:snapToGrid w:val="0"/>
        <w:spacing w:line="560" w:lineRule="exact"/>
        <w:jc w:val="center"/>
        <w:rPr>
          <w:rFonts w:ascii="方正小标宋_GBK" w:eastAsia="方正小标宋_GBK"/>
          <w:sz w:val="44"/>
          <w:szCs w:val="44"/>
        </w:rPr>
      </w:pPr>
      <w:r>
        <w:rPr>
          <w:rFonts w:hint="eastAsia" w:ascii="方正小标宋_GBK" w:eastAsia="方正小标宋_GBK"/>
          <w:sz w:val="44"/>
          <w:szCs w:val="44"/>
          <w:lang w:eastAsia="zh-CN"/>
        </w:rPr>
        <w:t>小岞镇</w:t>
      </w:r>
      <w:r>
        <w:rPr>
          <w:rFonts w:hint="eastAsia" w:ascii="方正小标宋_GBK" w:eastAsia="方正小标宋_GBK"/>
          <w:sz w:val="44"/>
          <w:szCs w:val="44"/>
        </w:rPr>
        <w:t>火灾隐患整治年工作统计表（</w:t>
      </w:r>
      <w:r>
        <w:rPr>
          <w:rFonts w:ascii="方正小标宋_GBK" w:eastAsia="方正小标宋_GBK"/>
          <w:sz w:val="44"/>
          <w:szCs w:val="44"/>
        </w:rPr>
        <w:t xml:space="preserve"> </w:t>
      </w:r>
      <w:r>
        <w:rPr>
          <w:rFonts w:hint="eastAsia" w:ascii="方正小标宋_GBK" w:eastAsia="方正小标宋_GBK"/>
          <w:sz w:val="44"/>
          <w:szCs w:val="44"/>
        </w:rPr>
        <w:t>月</w:t>
      </w:r>
      <w:r>
        <w:rPr>
          <w:rFonts w:ascii="方正小标宋_GBK" w:eastAsia="方正小标宋_GBK"/>
          <w:sz w:val="44"/>
          <w:szCs w:val="44"/>
        </w:rPr>
        <w:t xml:space="preserve"> </w:t>
      </w:r>
      <w:r>
        <w:rPr>
          <w:rFonts w:hint="eastAsia" w:ascii="方正小标宋_GBK" w:eastAsia="方正小标宋_GBK"/>
          <w:sz w:val="44"/>
          <w:szCs w:val="44"/>
        </w:rPr>
        <w:t>日）</w:t>
      </w:r>
    </w:p>
    <w:tbl>
      <w:tblPr>
        <w:tblStyle w:val="6"/>
        <w:tblpPr w:leftFromText="181" w:rightFromText="181" w:vertAnchor="text" w:horzAnchor="margin" w:tblpXSpec="center" w:tblpY="1"/>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1414"/>
        <w:gridCol w:w="1839"/>
        <w:gridCol w:w="1697"/>
        <w:gridCol w:w="1839"/>
        <w:gridCol w:w="1556"/>
        <w:gridCol w:w="555"/>
        <w:gridCol w:w="709"/>
        <w:gridCol w:w="851"/>
        <w:gridCol w:w="70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2548" w:type="dxa"/>
            <w:vMerge w:val="restart"/>
            <w:vAlign w:val="center"/>
          </w:tcPr>
          <w:p>
            <w:pPr>
              <w:spacing w:line="400" w:lineRule="exact"/>
              <w:jc w:val="center"/>
              <w:rPr>
                <w:rFonts w:eastAsia="仿宋"/>
                <w:spacing w:val="-20"/>
                <w:sz w:val="28"/>
                <w:szCs w:val="28"/>
              </w:rPr>
            </w:pPr>
            <w:r>
              <w:rPr>
                <w:rFonts w:hint="eastAsia" w:eastAsia="仿宋"/>
                <w:spacing w:val="-20"/>
                <w:sz w:val="28"/>
                <w:szCs w:val="28"/>
              </w:rPr>
              <w:t>单位（部门）</w:t>
            </w:r>
          </w:p>
          <w:p>
            <w:pPr>
              <w:spacing w:line="400" w:lineRule="exact"/>
              <w:jc w:val="center"/>
              <w:rPr>
                <w:rFonts w:eastAsia="仿宋"/>
                <w:spacing w:val="-20"/>
                <w:sz w:val="28"/>
                <w:szCs w:val="28"/>
              </w:rPr>
            </w:pPr>
          </w:p>
        </w:tc>
        <w:tc>
          <w:tcPr>
            <w:tcW w:w="1414" w:type="dxa"/>
            <w:vMerge w:val="restart"/>
            <w:vAlign w:val="center"/>
          </w:tcPr>
          <w:p>
            <w:pPr>
              <w:spacing w:line="400" w:lineRule="exact"/>
              <w:jc w:val="center"/>
              <w:rPr>
                <w:rFonts w:eastAsia="仿宋"/>
                <w:spacing w:val="-20"/>
                <w:sz w:val="28"/>
                <w:szCs w:val="28"/>
              </w:rPr>
            </w:pPr>
            <w:r>
              <w:rPr>
                <w:rFonts w:hint="eastAsia" w:eastAsia="仿宋"/>
                <w:spacing w:val="-20"/>
                <w:sz w:val="28"/>
                <w:szCs w:val="28"/>
              </w:rPr>
              <w:t>场所类型</w:t>
            </w:r>
          </w:p>
        </w:tc>
        <w:tc>
          <w:tcPr>
            <w:tcW w:w="1839" w:type="dxa"/>
            <w:vMerge w:val="restart"/>
            <w:vAlign w:val="center"/>
          </w:tcPr>
          <w:p>
            <w:pPr>
              <w:spacing w:line="400" w:lineRule="exact"/>
              <w:jc w:val="center"/>
              <w:rPr>
                <w:rFonts w:eastAsia="仿宋"/>
                <w:spacing w:val="-20"/>
                <w:sz w:val="28"/>
                <w:szCs w:val="28"/>
              </w:rPr>
            </w:pPr>
            <w:r>
              <w:rPr>
                <w:rFonts w:hint="eastAsia" w:eastAsia="仿宋"/>
                <w:spacing w:val="-20"/>
                <w:sz w:val="28"/>
                <w:szCs w:val="28"/>
              </w:rPr>
              <w:t>排查单位或场所（家）</w:t>
            </w:r>
          </w:p>
        </w:tc>
        <w:tc>
          <w:tcPr>
            <w:tcW w:w="1697" w:type="dxa"/>
            <w:vMerge w:val="restart"/>
            <w:vAlign w:val="center"/>
          </w:tcPr>
          <w:p>
            <w:pPr>
              <w:spacing w:line="400" w:lineRule="exact"/>
              <w:jc w:val="center"/>
              <w:rPr>
                <w:rFonts w:eastAsia="仿宋"/>
                <w:spacing w:val="-20"/>
                <w:sz w:val="28"/>
                <w:szCs w:val="28"/>
              </w:rPr>
            </w:pPr>
            <w:r>
              <w:rPr>
                <w:rFonts w:hint="eastAsia" w:eastAsia="仿宋"/>
                <w:spacing w:val="-20"/>
                <w:sz w:val="28"/>
                <w:szCs w:val="28"/>
              </w:rPr>
              <w:t>发现火灾隐患（处）</w:t>
            </w:r>
          </w:p>
        </w:tc>
        <w:tc>
          <w:tcPr>
            <w:tcW w:w="1839" w:type="dxa"/>
            <w:vMerge w:val="restart"/>
            <w:vAlign w:val="center"/>
          </w:tcPr>
          <w:p>
            <w:pPr>
              <w:spacing w:line="400" w:lineRule="exact"/>
              <w:jc w:val="center"/>
              <w:rPr>
                <w:rFonts w:eastAsia="仿宋"/>
                <w:spacing w:val="-20"/>
                <w:sz w:val="28"/>
                <w:szCs w:val="28"/>
              </w:rPr>
            </w:pPr>
            <w:r>
              <w:rPr>
                <w:rFonts w:hint="eastAsia" w:eastAsia="仿宋"/>
                <w:spacing w:val="-20"/>
                <w:sz w:val="28"/>
                <w:szCs w:val="28"/>
              </w:rPr>
              <w:t>其中：已整改</w:t>
            </w:r>
          </w:p>
          <w:p>
            <w:pPr>
              <w:spacing w:line="400" w:lineRule="exact"/>
              <w:jc w:val="center"/>
              <w:rPr>
                <w:rFonts w:eastAsia="仿宋"/>
                <w:spacing w:val="-20"/>
                <w:sz w:val="28"/>
                <w:szCs w:val="28"/>
              </w:rPr>
            </w:pPr>
            <w:r>
              <w:rPr>
                <w:rFonts w:hint="eastAsia" w:eastAsia="仿宋"/>
                <w:spacing w:val="-20"/>
                <w:sz w:val="28"/>
                <w:szCs w:val="28"/>
              </w:rPr>
              <w:t>（处）</w:t>
            </w:r>
          </w:p>
        </w:tc>
        <w:tc>
          <w:tcPr>
            <w:tcW w:w="1556" w:type="dxa"/>
            <w:vMerge w:val="restart"/>
            <w:vAlign w:val="center"/>
          </w:tcPr>
          <w:p>
            <w:pPr>
              <w:spacing w:line="400" w:lineRule="exact"/>
              <w:jc w:val="center"/>
              <w:rPr>
                <w:rFonts w:eastAsia="仿宋"/>
                <w:spacing w:val="-20"/>
                <w:sz w:val="28"/>
                <w:szCs w:val="28"/>
              </w:rPr>
            </w:pPr>
            <w:r>
              <w:rPr>
                <w:rFonts w:hint="eastAsia" w:eastAsia="仿宋"/>
                <w:spacing w:val="-20"/>
                <w:sz w:val="28"/>
                <w:szCs w:val="28"/>
              </w:rPr>
              <w:t>整改率</w:t>
            </w:r>
          </w:p>
          <w:p>
            <w:pPr>
              <w:spacing w:line="400" w:lineRule="exact"/>
              <w:jc w:val="center"/>
              <w:rPr>
                <w:rFonts w:eastAsia="仿宋"/>
                <w:spacing w:val="-20"/>
                <w:sz w:val="28"/>
                <w:szCs w:val="28"/>
              </w:rPr>
            </w:pPr>
            <w:r>
              <w:rPr>
                <w:rFonts w:hint="eastAsia" w:eastAsia="仿宋"/>
                <w:spacing w:val="-20"/>
                <w:sz w:val="28"/>
                <w:szCs w:val="28"/>
              </w:rPr>
              <w:t>（</w:t>
            </w:r>
            <w:r>
              <w:rPr>
                <w:rFonts w:eastAsia="仿宋"/>
                <w:spacing w:val="-20"/>
                <w:sz w:val="28"/>
                <w:szCs w:val="28"/>
              </w:rPr>
              <w:t>%</w:t>
            </w:r>
            <w:r>
              <w:rPr>
                <w:rFonts w:hint="eastAsia" w:eastAsia="仿宋"/>
                <w:spacing w:val="-20"/>
                <w:sz w:val="28"/>
                <w:szCs w:val="28"/>
              </w:rPr>
              <w:t>）</w:t>
            </w:r>
          </w:p>
        </w:tc>
        <w:tc>
          <w:tcPr>
            <w:tcW w:w="2823" w:type="dxa"/>
            <w:gridSpan w:val="4"/>
            <w:vAlign w:val="center"/>
          </w:tcPr>
          <w:p>
            <w:pPr>
              <w:spacing w:line="400" w:lineRule="exact"/>
              <w:jc w:val="center"/>
              <w:rPr>
                <w:rFonts w:eastAsia="仿宋"/>
                <w:spacing w:val="-20"/>
                <w:sz w:val="28"/>
                <w:szCs w:val="28"/>
              </w:rPr>
            </w:pPr>
            <w:r>
              <w:rPr>
                <w:rFonts w:hint="eastAsia" w:eastAsia="仿宋"/>
                <w:spacing w:val="-20"/>
                <w:sz w:val="28"/>
                <w:szCs w:val="28"/>
              </w:rPr>
              <w:t>技防应用数</w:t>
            </w:r>
          </w:p>
        </w:tc>
        <w:tc>
          <w:tcPr>
            <w:tcW w:w="1418" w:type="dxa"/>
            <w:vMerge w:val="restart"/>
            <w:vAlign w:val="center"/>
          </w:tcPr>
          <w:p>
            <w:pPr>
              <w:spacing w:line="400" w:lineRule="exact"/>
              <w:jc w:val="center"/>
              <w:rPr>
                <w:rFonts w:eastAsia="仿宋"/>
                <w:spacing w:val="-20"/>
                <w:sz w:val="28"/>
                <w:szCs w:val="28"/>
              </w:rPr>
            </w:pPr>
            <w:r>
              <w:rPr>
                <w:rFonts w:hint="eastAsia" w:eastAsia="仿宋"/>
                <w:spacing w:val="-20"/>
                <w:sz w:val="28"/>
                <w:szCs w:val="28"/>
              </w:rPr>
              <w:t>共投入经费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2548" w:type="dxa"/>
            <w:vMerge w:val="continue"/>
            <w:vAlign w:val="center"/>
          </w:tcPr>
          <w:p>
            <w:pPr>
              <w:spacing w:line="300" w:lineRule="exact"/>
              <w:jc w:val="center"/>
              <w:rPr>
                <w:rFonts w:eastAsia="仿宋"/>
                <w:spacing w:val="-20"/>
                <w:sz w:val="24"/>
                <w:szCs w:val="24"/>
              </w:rPr>
            </w:pPr>
          </w:p>
        </w:tc>
        <w:tc>
          <w:tcPr>
            <w:tcW w:w="1414" w:type="dxa"/>
            <w:vMerge w:val="continue"/>
            <w:vAlign w:val="center"/>
          </w:tcPr>
          <w:p>
            <w:pPr>
              <w:spacing w:line="300" w:lineRule="exact"/>
              <w:jc w:val="center"/>
              <w:rPr>
                <w:rFonts w:eastAsia="仿宋"/>
                <w:spacing w:val="-20"/>
                <w:sz w:val="24"/>
                <w:szCs w:val="24"/>
              </w:rPr>
            </w:pPr>
          </w:p>
        </w:tc>
        <w:tc>
          <w:tcPr>
            <w:tcW w:w="1839" w:type="dxa"/>
            <w:vMerge w:val="continue"/>
            <w:vAlign w:val="center"/>
          </w:tcPr>
          <w:p>
            <w:pPr>
              <w:spacing w:line="300" w:lineRule="exact"/>
              <w:jc w:val="center"/>
              <w:rPr>
                <w:rFonts w:eastAsia="仿宋"/>
                <w:spacing w:val="-20"/>
                <w:sz w:val="24"/>
                <w:szCs w:val="24"/>
              </w:rPr>
            </w:pPr>
          </w:p>
        </w:tc>
        <w:tc>
          <w:tcPr>
            <w:tcW w:w="1697" w:type="dxa"/>
            <w:vMerge w:val="continue"/>
            <w:vAlign w:val="center"/>
          </w:tcPr>
          <w:p>
            <w:pPr>
              <w:spacing w:line="300" w:lineRule="exact"/>
              <w:jc w:val="center"/>
              <w:rPr>
                <w:rFonts w:eastAsia="仿宋"/>
                <w:spacing w:val="-20"/>
                <w:sz w:val="24"/>
                <w:szCs w:val="24"/>
              </w:rPr>
            </w:pPr>
          </w:p>
        </w:tc>
        <w:tc>
          <w:tcPr>
            <w:tcW w:w="1839" w:type="dxa"/>
            <w:vMerge w:val="continue"/>
            <w:vAlign w:val="center"/>
          </w:tcPr>
          <w:p>
            <w:pPr>
              <w:spacing w:line="300" w:lineRule="exact"/>
              <w:jc w:val="center"/>
              <w:rPr>
                <w:rFonts w:eastAsia="仿宋"/>
                <w:spacing w:val="-20"/>
                <w:sz w:val="24"/>
                <w:szCs w:val="24"/>
              </w:rPr>
            </w:pPr>
          </w:p>
        </w:tc>
        <w:tc>
          <w:tcPr>
            <w:tcW w:w="1556" w:type="dxa"/>
            <w:vMerge w:val="continue"/>
            <w:vAlign w:val="center"/>
          </w:tcPr>
          <w:p>
            <w:pPr>
              <w:spacing w:line="300" w:lineRule="exact"/>
              <w:jc w:val="center"/>
              <w:rPr>
                <w:rFonts w:eastAsia="仿宋"/>
                <w:spacing w:val="-20"/>
                <w:sz w:val="24"/>
                <w:szCs w:val="24"/>
              </w:rPr>
            </w:pPr>
          </w:p>
        </w:tc>
        <w:tc>
          <w:tcPr>
            <w:tcW w:w="555" w:type="dxa"/>
            <w:vAlign w:val="center"/>
          </w:tcPr>
          <w:p>
            <w:pPr>
              <w:spacing w:line="300" w:lineRule="exact"/>
              <w:jc w:val="center"/>
              <w:rPr>
                <w:rFonts w:eastAsia="仿宋"/>
                <w:spacing w:val="-20"/>
                <w:sz w:val="24"/>
                <w:szCs w:val="24"/>
              </w:rPr>
            </w:pPr>
            <w:r>
              <w:rPr>
                <w:rFonts w:hint="eastAsia" w:eastAsia="仿宋"/>
                <w:spacing w:val="-20"/>
                <w:sz w:val="24"/>
                <w:szCs w:val="24"/>
              </w:rPr>
              <w:t>喷淋</w:t>
            </w:r>
          </w:p>
        </w:tc>
        <w:tc>
          <w:tcPr>
            <w:tcW w:w="709" w:type="dxa"/>
            <w:vAlign w:val="center"/>
          </w:tcPr>
          <w:p>
            <w:pPr>
              <w:spacing w:line="300" w:lineRule="exact"/>
              <w:jc w:val="center"/>
              <w:rPr>
                <w:rFonts w:eastAsia="仿宋"/>
                <w:spacing w:val="-20"/>
                <w:sz w:val="24"/>
                <w:szCs w:val="24"/>
              </w:rPr>
            </w:pPr>
            <w:r>
              <w:rPr>
                <w:rFonts w:hint="eastAsia" w:eastAsia="仿宋"/>
                <w:spacing w:val="-20"/>
                <w:sz w:val="24"/>
                <w:szCs w:val="24"/>
              </w:rPr>
              <w:t>感烟报警</w:t>
            </w:r>
          </w:p>
        </w:tc>
        <w:tc>
          <w:tcPr>
            <w:tcW w:w="851" w:type="dxa"/>
            <w:vAlign w:val="center"/>
          </w:tcPr>
          <w:p>
            <w:pPr>
              <w:spacing w:line="300" w:lineRule="exact"/>
              <w:jc w:val="center"/>
              <w:rPr>
                <w:rFonts w:eastAsia="仿宋"/>
                <w:spacing w:val="-20"/>
                <w:sz w:val="24"/>
                <w:szCs w:val="24"/>
              </w:rPr>
            </w:pPr>
            <w:r>
              <w:rPr>
                <w:rFonts w:hint="eastAsia" w:eastAsia="仿宋"/>
                <w:spacing w:val="-20"/>
                <w:sz w:val="24"/>
                <w:szCs w:val="24"/>
              </w:rPr>
              <w:t>电动车集中充电</w:t>
            </w:r>
          </w:p>
        </w:tc>
        <w:tc>
          <w:tcPr>
            <w:tcW w:w="708" w:type="dxa"/>
            <w:vAlign w:val="center"/>
          </w:tcPr>
          <w:p>
            <w:pPr>
              <w:spacing w:line="300" w:lineRule="exact"/>
              <w:jc w:val="center"/>
              <w:rPr>
                <w:rFonts w:eastAsia="仿宋"/>
                <w:spacing w:val="-20"/>
                <w:sz w:val="24"/>
                <w:szCs w:val="24"/>
              </w:rPr>
            </w:pPr>
            <w:r>
              <w:rPr>
                <w:rFonts w:hint="eastAsia" w:eastAsia="仿宋"/>
                <w:spacing w:val="-20"/>
                <w:sz w:val="24"/>
                <w:szCs w:val="24"/>
              </w:rPr>
              <w:t>电气监控</w:t>
            </w:r>
          </w:p>
        </w:tc>
        <w:tc>
          <w:tcPr>
            <w:tcW w:w="1418" w:type="dxa"/>
            <w:vMerge w:val="continue"/>
            <w:vAlign w:val="center"/>
          </w:tcPr>
          <w:p>
            <w:pPr>
              <w:spacing w:line="300" w:lineRule="exact"/>
              <w:jc w:val="center"/>
              <w:rPr>
                <w:rFonts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spacing w:line="360" w:lineRule="exact"/>
              <w:jc w:val="center"/>
              <w:rPr>
                <w:rFonts w:hint="eastAsia" w:eastAsia="仿宋"/>
                <w:sz w:val="28"/>
                <w:szCs w:val="28"/>
                <w:lang w:val="en-US" w:eastAsia="zh-CN"/>
              </w:rPr>
            </w:pPr>
            <w:r>
              <w:rPr>
                <w:rFonts w:hint="eastAsia" w:eastAsia="仿宋"/>
                <w:sz w:val="28"/>
                <w:szCs w:val="28"/>
                <w:lang w:val="en-US" w:eastAsia="zh-CN"/>
              </w:rPr>
              <w:t xml:space="preserve"> 教委</w:t>
            </w:r>
          </w:p>
        </w:tc>
        <w:tc>
          <w:tcPr>
            <w:tcW w:w="1414" w:type="dxa"/>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697" w:type="dxa"/>
            <w:vAlign w:val="center"/>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556" w:type="dxa"/>
            <w:vAlign w:val="center"/>
          </w:tcPr>
          <w:p>
            <w:pPr>
              <w:spacing w:line="360" w:lineRule="exact"/>
              <w:jc w:val="center"/>
              <w:rPr>
                <w:rFonts w:eastAsia="仿宋"/>
                <w:color w:val="000000"/>
              </w:rPr>
            </w:pPr>
          </w:p>
        </w:tc>
        <w:tc>
          <w:tcPr>
            <w:tcW w:w="555" w:type="dxa"/>
          </w:tcPr>
          <w:p>
            <w:pPr>
              <w:spacing w:line="360" w:lineRule="exact"/>
              <w:jc w:val="center"/>
              <w:rPr>
                <w:rFonts w:eastAsia="仿宋"/>
                <w:color w:val="000000"/>
              </w:rPr>
            </w:pPr>
          </w:p>
        </w:tc>
        <w:tc>
          <w:tcPr>
            <w:tcW w:w="709" w:type="dxa"/>
          </w:tcPr>
          <w:p>
            <w:pPr>
              <w:spacing w:line="360" w:lineRule="exact"/>
              <w:jc w:val="center"/>
              <w:rPr>
                <w:rFonts w:eastAsia="仿宋"/>
                <w:color w:val="000000"/>
              </w:rPr>
            </w:pPr>
          </w:p>
        </w:tc>
        <w:tc>
          <w:tcPr>
            <w:tcW w:w="851" w:type="dxa"/>
          </w:tcPr>
          <w:p>
            <w:pPr>
              <w:spacing w:line="360" w:lineRule="exact"/>
              <w:jc w:val="center"/>
              <w:rPr>
                <w:rFonts w:eastAsia="仿宋"/>
                <w:color w:val="000000"/>
              </w:rPr>
            </w:pPr>
          </w:p>
        </w:tc>
        <w:tc>
          <w:tcPr>
            <w:tcW w:w="708" w:type="dxa"/>
          </w:tcPr>
          <w:p>
            <w:pPr>
              <w:spacing w:line="360" w:lineRule="exact"/>
              <w:jc w:val="center"/>
              <w:rPr>
                <w:rFonts w:eastAsia="仿宋"/>
                <w:color w:val="000000"/>
              </w:rPr>
            </w:pPr>
          </w:p>
        </w:tc>
        <w:tc>
          <w:tcPr>
            <w:tcW w:w="1418" w:type="dxa"/>
          </w:tcPr>
          <w:p>
            <w:pPr>
              <w:spacing w:line="360" w:lineRule="exact"/>
              <w:jc w:val="center"/>
              <w:rPr>
                <w:rFonts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spacing w:line="360" w:lineRule="exact"/>
              <w:jc w:val="center"/>
              <w:rPr>
                <w:rFonts w:hint="eastAsia" w:eastAsia="仿宋"/>
                <w:sz w:val="28"/>
                <w:szCs w:val="28"/>
                <w:lang w:eastAsia="zh-CN"/>
              </w:rPr>
            </w:pPr>
            <w:r>
              <w:rPr>
                <w:rFonts w:hint="eastAsia" w:eastAsia="仿宋"/>
                <w:sz w:val="28"/>
                <w:szCs w:val="28"/>
                <w:lang w:eastAsia="zh-CN"/>
              </w:rPr>
              <w:t>派出所</w:t>
            </w:r>
          </w:p>
        </w:tc>
        <w:tc>
          <w:tcPr>
            <w:tcW w:w="1414" w:type="dxa"/>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697" w:type="dxa"/>
            <w:vAlign w:val="center"/>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556" w:type="dxa"/>
            <w:vAlign w:val="center"/>
          </w:tcPr>
          <w:p>
            <w:pPr>
              <w:spacing w:line="360" w:lineRule="exact"/>
              <w:jc w:val="center"/>
              <w:rPr>
                <w:rFonts w:eastAsia="仿宋"/>
                <w:color w:val="000000"/>
              </w:rPr>
            </w:pPr>
          </w:p>
        </w:tc>
        <w:tc>
          <w:tcPr>
            <w:tcW w:w="555" w:type="dxa"/>
          </w:tcPr>
          <w:p>
            <w:pPr>
              <w:spacing w:line="360" w:lineRule="exact"/>
              <w:jc w:val="center"/>
              <w:rPr>
                <w:rFonts w:eastAsia="仿宋"/>
                <w:color w:val="000000"/>
              </w:rPr>
            </w:pPr>
          </w:p>
        </w:tc>
        <w:tc>
          <w:tcPr>
            <w:tcW w:w="709" w:type="dxa"/>
          </w:tcPr>
          <w:p>
            <w:pPr>
              <w:spacing w:line="360" w:lineRule="exact"/>
              <w:jc w:val="center"/>
              <w:rPr>
                <w:rFonts w:eastAsia="仿宋"/>
                <w:color w:val="000000"/>
              </w:rPr>
            </w:pPr>
          </w:p>
        </w:tc>
        <w:tc>
          <w:tcPr>
            <w:tcW w:w="851" w:type="dxa"/>
          </w:tcPr>
          <w:p>
            <w:pPr>
              <w:spacing w:line="360" w:lineRule="exact"/>
              <w:jc w:val="center"/>
              <w:rPr>
                <w:rFonts w:eastAsia="仿宋"/>
                <w:color w:val="000000"/>
              </w:rPr>
            </w:pPr>
          </w:p>
        </w:tc>
        <w:tc>
          <w:tcPr>
            <w:tcW w:w="708" w:type="dxa"/>
          </w:tcPr>
          <w:p>
            <w:pPr>
              <w:spacing w:line="360" w:lineRule="exact"/>
              <w:jc w:val="center"/>
              <w:rPr>
                <w:rFonts w:eastAsia="仿宋"/>
                <w:color w:val="000000"/>
              </w:rPr>
            </w:pPr>
          </w:p>
        </w:tc>
        <w:tc>
          <w:tcPr>
            <w:tcW w:w="1418" w:type="dxa"/>
          </w:tcPr>
          <w:p>
            <w:pPr>
              <w:spacing w:line="360" w:lineRule="exact"/>
              <w:jc w:val="center"/>
              <w:rPr>
                <w:rFonts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spacing w:line="360" w:lineRule="exact"/>
              <w:jc w:val="center"/>
              <w:rPr>
                <w:rFonts w:hint="eastAsia" w:eastAsia="仿宋"/>
                <w:sz w:val="28"/>
                <w:szCs w:val="28"/>
                <w:lang w:val="en-US" w:eastAsia="zh-CN"/>
              </w:rPr>
            </w:pPr>
            <w:r>
              <w:rPr>
                <w:rFonts w:hint="eastAsia" w:eastAsia="仿宋"/>
                <w:sz w:val="28"/>
                <w:szCs w:val="28"/>
                <w:lang w:val="en-US" w:eastAsia="zh-CN"/>
              </w:rPr>
              <w:t>经委</w:t>
            </w:r>
          </w:p>
        </w:tc>
        <w:tc>
          <w:tcPr>
            <w:tcW w:w="1414" w:type="dxa"/>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697" w:type="dxa"/>
            <w:vAlign w:val="center"/>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556" w:type="dxa"/>
            <w:vAlign w:val="center"/>
          </w:tcPr>
          <w:p>
            <w:pPr>
              <w:spacing w:line="360" w:lineRule="exact"/>
              <w:jc w:val="center"/>
              <w:rPr>
                <w:rFonts w:eastAsia="仿宋"/>
                <w:color w:val="000000"/>
              </w:rPr>
            </w:pPr>
          </w:p>
        </w:tc>
        <w:tc>
          <w:tcPr>
            <w:tcW w:w="555" w:type="dxa"/>
          </w:tcPr>
          <w:p>
            <w:pPr>
              <w:spacing w:line="360" w:lineRule="exact"/>
              <w:jc w:val="center"/>
              <w:rPr>
                <w:rFonts w:eastAsia="仿宋"/>
                <w:color w:val="000000"/>
              </w:rPr>
            </w:pPr>
          </w:p>
        </w:tc>
        <w:tc>
          <w:tcPr>
            <w:tcW w:w="709" w:type="dxa"/>
          </w:tcPr>
          <w:p>
            <w:pPr>
              <w:spacing w:line="360" w:lineRule="exact"/>
              <w:jc w:val="center"/>
              <w:rPr>
                <w:rFonts w:eastAsia="仿宋"/>
                <w:color w:val="000000"/>
              </w:rPr>
            </w:pPr>
          </w:p>
        </w:tc>
        <w:tc>
          <w:tcPr>
            <w:tcW w:w="851" w:type="dxa"/>
          </w:tcPr>
          <w:p>
            <w:pPr>
              <w:spacing w:line="360" w:lineRule="exact"/>
              <w:jc w:val="center"/>
              <w:rPr>
                <w:rFonts w:eastAsia="仿宋"/>
                <w:color w:val="000000"/>
              </w:rPr>
            </w:pPr>
          </w:p>
        </w:tc>
        <w:tc>
          <w:tcPr>
            <w:tcW w:w="708" w:type="dxa"/>
          </w:tcPr>
          <w:p>
            <w:pPr>
              <w:spacing w:line="360" w:lineRule="exact"/>
              <w:jc w:val="center"/>
              <w:rPr>
                <w:rFonts w:eastAsia="仿宋"/>
                <w:color w:val="000000"/>
              </w:rPr>
            </w:pPr>
          </w:p>
        </w:tc>
        <w:tc>
          <w:tcPr>
            <w:tcW w:w="1418" w:type="dxa"/>
          </w:tcPr>
          <w:p>
            <w:pPr>
              <w:spacing w:line="360" w:lineRule="exact"/>
              <w:jc w:val="center"/>
              <w:rPr>
                <w:rFonts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spacing w:line="360" w:lineRule="exact"/>
              <w:jc w:val="center"/>
              <w:rPr>
                <w:rFonts w:hint="eastAsia" w:eastAsia="仿宋"/>
                <w:sz w:val="28"/>
                <w:szCs w:val="28"/>
                <w:lang w:val="en-US" w:eastAsia="zh-CN"/>
              </w:rPr>
            </w:pPr>
            <w:r>
              <w:rPr>
                <w:rFonts w:hint="eastAsia" w:eastAsia="仿宋"/>
                <w:sz w:val="28"/>
                <w:szCs w:val="28"/>
                <w:lang w:val="en-US" w:eastAsia="zh-CN"/>
              </w:rPr>
              <w:t>卫计</w:t>
            </w:r>
          </w:p>
        </w:tc>
        <w:tc>
          <w:tcPr>
            <w:tcW w:w="1414" w:type="dxa"/>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697" w:type="dxa"/>
            <w:vAlign w:val="center"/>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556" w:type="dxa"/>
            <w:vAlign w:val="center"/>
          </w:tcPr>
          <w:p>
            <w:pPr>
              <w:spacing w:line="360" w:lineRule="exact"/>
              <w:jc w:val="center"/>
              <w:rPr>
                <w:rFonts w:eastAsia="仿宋"/>
                <w:color w:val="000000"/>
              </w:rPr>
            </w:pPr>
          </w:p>
        </w:tc>
        <w:tc>
          <w:tcPr>
            <w:tcW w:w="555" w:type="dxa"/>
          </w:tcPr>
          <w:p>
            <w:pPr>
              <w:spacing w:line="360" w:lineRule="exact"/>
              <w:jc w:val="center"/>
              <w:rPr>
                <w:rFonts w:eastAsia="仿宋"/>
                <w:color w:val="000000"/>
              </w:rPr>
            </w:pPr>
          </w:p>
        </w:tc>
        <w:tc>
          <w:tcPr>
            <w:tcW w:w="709" w:type="dxa"/>
          </w:tcPr>
          <w:p>
            <w:pPr>
              <w:spacing w:line="360" w:lineRule="exact"/>
              <w:jc w:val="center"/>
              <w:rPr>
                <w:rFonts w:eastAsia="仿宋"/>
                <w:color w:val="000000"/>
              </w:rPr>
            </w:pPr>
          </w:p>
        </w:tc>
        <w:tc>
          <w:tcPr>
            <w:tcW w:w="851" w:type="dxa"/>
          </w:tcPr>
          <w:p>
            <w:pPr>
              <w:spacing w:line="360" w:lineRule="exact"/>
              <w:jc w:val="center"/>
              <w:rPr>
                <w:rFonts w:eastAsia="仿宋"/>
                <w:color w:val="000000"/>
              </w:rPr>
            </w:pPr>
          </w:p>
        </w:tc>
        <w:tc>
          <w:tcPr>
            <w:tcW w:w="708" w:type="dxa"/>
          </w:tcPr>
          <w:p>
            <w:pPr>
              <w:spacing w:line="360" w:lineRule="exact"/>
              <w:jc w:val="center"/>
              <w:rPr>
                <w:rFonts w:eastAsia="仿宋"/>
                <w:color w:val="000000"/>
              </w:rPr>
            </w:pPr>
          </w:p>
        </w:tc>
        <w:tc>
          <w:tcPr>
            <w:tcW w:w="1418" w:type="dxa"/>
          </w:tcPr>
          <w:p>
            <w:pPr>
              <w:spacing w:line="360" w:lineRule="exact"/>
              <w:jc w:val="center"/>
              <w:rPr>
                <w:rFonts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spacing w:line="360" w:lineRule="exact"/>
              <w:jc w:val="center"/>
              <w:rPr>
                <w:rFonts w:hint="default" w:eastAsia="仿宋"/>
                <w:sz w:val="28"/>
                <w:szCs w:val="28"/>
                <w:lang w:val="en-US" w:eastAsia="zh-CN"/>
              </w:rPr>
            </w:pPr>
            <w:r>
              <w:rPr>
                <w:rFonts w:hint="eastAsia" w:eastAsia="仿宋"/>
                <w:sz w:val="28"/>
                <w:szCs w:val="28"/>
                <w:lang w:val="en-US" w:eastAsia="zh-CN"/>
              </w:rPr>
              <w:t xml:space="preserve">文体服务中心 </w:t>
            </w:r>
          </w:p>
        </w:tc>
        <w:tc>
          <w:tcPr>
            <w:tcW w:w="1414" w:type="dxa"/>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697" w:type="dxa"/>
            <w:vAlign w:val="center"/>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556" w:type="dxa"/>
            <w:vAlign w:val="center"/>
          </w:tcPr>
          <w:p>
            <w:pPr>
              <w:spacing w:line="360" w:lineRule="exact"/>
              <w:jc w:val="center"/>
              <w:rPr>
                <w:rFonts w:eastAsia="仿宋"/>
                <w:color w:val="000000"/>
              </w:rPr>
            </w:pPr>
          </w:p>
        </w:tc>
        <w:tc>
          <w:tcPr>
            <w:tcW w:w="555" w:type="dxa"/>
          </w:tcPr>
          <w:p>
            <w:pPr>
              <w:spacing w:line="360" w:lineRule="exact"/>
              <w:jc w:val="center"/>
              <w:rPr>
                <w:rFonts w:eastAsia="仿宋"/>
                <w:color w:val="000000"/>
              </w:rPr>
            </w:pPr>
          </w:p>
        </w:tc>
        <w:tc>
          <w:tcPr>
            <w:tcW w:w="709" w:type="dxa"/>
          </w:tcPr>
          <w:p>
            <w:pPr>
              <w:spacing w:line="360" w:lineRule="exact"/>
              <w:jc w:val="center"/>
              <w:rPr>
                <w:rFonts w:eastAsia="仿宋"/>
                <w:color w:val="000000"/>
              </w:rPr>
            </w:pPr>
          </w:p>
        </w:tc>
        <w:tc>
          <w:tcPr>
            <w:tcW w:w="851" w:type="dxa"/>
          </w:tcPr>
          <w:p>
            <w:pPr>
              <w:spacing w:line="360" w:lineRule="exact"/>
              <w:jc w:val="center"/>
              <w:rPr>
                <w:rFonts w:eastAsia="仿宋"/>
                <w:color w:val="000000"/>
              </w:rPr>
            </w:pPr>
          </w:p>
        </w:tc>
        <w:tc>
          <w:tcPr>
            <w:tcW w:w="708" w:type="dxa"/>
          </w:tcPr>
          <w:p>
            <w:pPr>
              <w:spacing w:line="360" w:lineRule="exact"/>
              <w:jc w:val="center"/>
              <w:rPr>
                <w:rFonts w:eastAsia="仿宋"/>
                <w:color w:val="000000"/>
              </w:rPr>
            </w:pPr>
          </w:p>
        </w:tc>
        <w:tc>
          <w:tcPr>
            <w:tcW w:w="1418" w:type="dxa"/>
          </w:tcPr>
          <w:p>
            <w:pPr>
              <w:spacing w:line="360" w:lineRule="exact"/>
              <w:jc w:val="center"/>
              <w:rPr>
                <w:rFonts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spacing w:line="360" w:lineRule="exact"/>
              <w:jc w:val="center"/>
              <w:rPr>
                <w:rFonts w:hint="eastAsia" w:eastAsia="仿宋"/>
                <w:sz w:val="28"/>
                <w:szCs w:val="28"/>
                <w:lang w:val="en-US" w:eastAsia="zh-CN"/>
              </w:rPr>
            </w:pPr>
            <w:r>
              <w:rPr>
                <w:rFonts w:hint="eastAsia" w:eastAsia="仿宋"/>
                <w:sz w:val="28"/>
                <w:szCs w:val="28"/>
              </w:rPr>
              <w:t>民宗</w:t>
            </w:r>
            <w:r>
              <w:rPr>
                <w:rFonts w:hint="eastAsia" w:eastAsia="仿宋"/>
                <w:sz w:val="28"/>
                <w:szCs w:val="28"/>
                <w:lang w:val="en-US" w:eastAsia="zh-CN"/>
              </w:rPr>
              <w:t xml:space="preserve"> </w:t>
            </w:r>
          </w:p>
        </w:tc>
        <w:tc>
          <w:tcPr>
            <w:tcW w:w="1414" w:type="dxa"/>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697" w:type="dxa"/>
            <w:vAlign w:val="center"/>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556" w:type="dxa"/>
            <w:vAlign w:val="center"/>
          </w:tcPr>
          <w:p>
            <w:pPr>
              <w:spacing w:line="360" w:lineRule="exact"/>
              <w:jc w:val="center"/>
              <w:rPr>
                <w:rFonts w:eastAsia="仿宋"/>
                <w:color w:val="000000"/>
              </w:rPr>
            </w:pPr>
          </w:p>
        </w:tc>
        <w:tc>
          <w:tcPr>
            <w:tcW w:w="555" w:type="dxa"/>
          </w:tcPr>
          <w:p>
            <w:pPr>
              <w:spacing w:line="360" w:lineRule="exact"/>
              <w:jc w:val="center"/>
              <w:rPr>
                <w:rFonts w:eastAsia="仿宋"/>
                <w:color w:val="000000"/>
              </w:rPr>
            </w:pPr>
          </w:p>
        </w:tc>
        <w:tc>
          <w:tcPr>
            <w:tcW w:w="709" w:type="dxa"/>
          </w:tcPr>
          <w:p>
            <w:pPr>
              <w:spacing w:line="360" w:lineRule="exact"/>
              <w:jc w:val="center"/>
              <w:rPr>
                <w:rFonts w:eastAsia="仿宋"/>
                <w:color w:val="000000"/>
              </w:rPr>
            </w:pPr>
          </w:p>
        </w:tc>
        <w:tc>
          <w:tcPr>
            <w:tcW w:w="851" w:type="dxa"/>
          </w:tcPr>
          <w:p>
            <w:pPr>
              <w:spacing w:line="360" w:lineRule="exact"/>
              <w:jc w:val="center"/>
              <w:rPr>
                <w:rFonts w:eastAsia="仿宋"/>
                <w:color w:val="000000"/>
              </w:rPr>
            </w:pPr>
          </w:p>
        </w:tc>
        <w:tc>
          <w:tcPr>
            <w:tcW w:w="708" w:type="dxa"/>
          </w:tcPr>
          <w:p>
            <w:pPr>
              <w:spacing w:line="360" w:lineRule="exact"/>
              <w:jc w:val="center"/>
              <w:rPr>
                <w:rFonts w:eastAsia="仿宋"/>
                <w:color w:val="000000"/>
              </w:rPr>
            </w:pPr>
          </w:p>
        </w:tc>
        <w:tc>
          <w:tcPr>
            <w:tcW w:w="1418" w:type="dxa"/>
          </w:tcPr>
          <w:p>
            <w:pPr>
              <w:spacing w:line="360" w:lineRule="exact"/>
              <w:jc w:val="center"/>
              <w:rPr>
                <w:rFonts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spacing w:line="360" w:lineRule="exact"/>
              <w:jc w:val="center"/>
              <w:rPr>
                <w:rFonts w:eastAsia="仿宋"/>
                <w:sz w:val="28"/>
                <w:szCs w:val="28"/>
              </w:rPr>
            </w:pPr>
            <w:r>
              <w:rPr>
                <w:rFonts w:hint="eastAsia" w:eastAsia="仿宋"/>
                <w:sz w:val="28"/>
                <w:szCs w:val="28"/>
              </w:rPr>
              <w:t>民政</w:t>
            </w:r>
          </w:p>
        </w:tc>
        <w:tc>
          <w:tcPr>
            <w:tcW w:w="1414" w:type="dxa"/>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697" w:type="dxa"/>
            <w:vAlign w:val="center"/>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556" w:type="dxa"/>
            <w:vAlign w:val="center"/>
          </w:tcPr>
          <w:p>
            <w:pPr>
              <w:spacing w:line="360" w:lineRule="exact"/>
              <w:jc w:val="center"/>
              <w:rPr>
                <w:rFonts w:eastAsia="仿宋"/>
                <w:color w:val="000000"/>
              </w:rPr>
            </w:pPr>
          </w:p>
        </w:tc>
        <w:tc>
          <w:tcPr>
            <w:tcW w:w="555" w:type="dxa"/>
          </w:tcPr>
          <w:p>
            <w:pPr>
              <w:spacing w:line="360" w:lineRule="exact"/>
              <w:jc w:val="center"/>
              <w:rPr>
                <w:rFonts w:eastAsia="仿宋"/>
                <w:color w:val="000000"/>
              </w:rPr>
            </w:pPr>
          </w:p>
        </w:tc>
        <w:tc>
          <w:tcPr>
            <w:tcW w:w="709" w:type="dxa"/>
          </w:tcPr>
          <w:p>
            <w:pPr>
              <w:spacing w:line="360" w:lineRule="exact"/>
              <w:jc w:val="center"/>
              <w:rPr>
                <w:rFonts w:eastAsia="仿宋"/>
                <w:color w:val="000000"/>
              </w:rPr>
            </w:pPr>
          </w:p>
        </w:tc>
        <w:tc>
          <w:tcPr>
            <w:tcW w:w="851" w:type="dxa"/>
          </w:tcPr>
          <w:p>
            <w:pPr>
              <w:spacing w:line="360" w:lineRule="exact"/>
              <w:jc w:val="center"/>
              <w:rPr>
                <w:rFonts w:eastAsia="仿宋"/>
                <w:color w:val="000000"/>
              </w:rPr>
            </w:pPr>
          </w:p>
        </w:tc>
        <w:tc>
          <w:tcPr>
            <w:tcW w:w="708" w:type="dxa"/>
          </w:tcPr>
          <w:p>
            <w:pPr>
              <w:spacing w:line="360" w:lineRule="exact"/>
              <w:jc w:val="center"/>
              <w:rPr>
                <w:rFonts w:eastAsia="仿宋"/>
                <w:color w:val="000000"/>
              </w:rPr>
            </w:pPr>
          </w:p>
        </w:tc>
        <w:tc>
          <w:tcPr>
            <w:tcW w:w="1418" w:type="dxa"/>
          </w:tcPr>
          <w:p>
            <w:pPr>
              <w:spacing w:line="360" w:lineRule="exact"/>
              <w:jc w:val="center"/>
              <w:rPr>
                <w:rFonts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spacing w:line="360" w:lineRule="exact"/>
              <w:jc w:val="center"/>
              <w:rPr>
                <w:rFonts w:hint="eastAsia" w:eastAsia="仿宋"/>
                <w:sz w:val="28"/>
                <w:szCs w:val="28"/>
                <w:lang w:val="en-US" w:eastAsia="zh-CN"/>
              </w:rPr>
            </w:pPr>
            <w:r>
              <w:rPr>
                <w:rFonts w:hint="eastAsia" w:eastAsia="仿宋"/>
                <w:sz w:val="28"/>
                <w:szCs w:val="28"/>
                <w:lang w:val="en-US" w:eastAsia="zh-CN"/>
              </w:rPr>
              <w:t>村建</w:t>
            </w:r>
          </w:p>
        </w:tc>
        <w:tc>
          <w:tcPr>
            <w:tcW w:w="1414" w:type="dxa"/>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697" w:type="dxa"/>
            <w:vAlign w:val="center"/>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556" w:type="dxa"/>
            <w:vAlign w:val="center"/>
          </w:tcPr>
          <w:p>
            <w:pPr>
              <w:spacing w:line="360" w:lineRule="exact"/>
              <w:jc w:val="center"/>
              <w:rPr>
                <w:rFonts w:eastAsia="仿宋"/>
                <w:color w:val="000000"/>
              </w:rPr>
            </w:pPr>
          </w:p>
        </w:tc>
        <w:tc>
          <w:tcPr>
            <w:tcW w:w="555" w:type="dxa"/>
          </w:tcPr>
          <w:p>
            <w:pPr>
              <w:spacing w:line="360" w:lineRule="exact"/>
              <w:jc w:val="center"/>
              <w:rPr>
                <w:rFonts w:eastAsia="仿宋"/>
                <w:color w:val="000000"/>
              </w:rPr>
            </w:pPr>
          </w:p>
        </w:tc>
        <w:tc>
          <w:tcPr>
            <w:tcW w:w="709" w:type="dxa"/>
          </w:tcPr>
          <w:p>
            <w:pPr>
              <w:spacing w:line="360" w:lineRule="exact"/>
              <w:jc w:val="center"/>
              <w:rPr>
                <w:rFonts w:eastAsia="仿宋"/>
                <w:color w:val="000000"/>
              </w:rPr>
            </w:pPr>
          </w:p>
        </w:tc>
        <w:tc>
          <w:tcPr>
            <w:tcW w:w="851" w:type="dxa"/>
          </w:tcPr>
          <w:p>
            <w:pPr>
              <w:spacing w:line="360" w:lineRule="exact"/>
              <w:jc w:val="center"/>
              <w:rPr>
                <w:rFonts w:eastAsia="仿宋"/>
                <w:color w:val="000000"/>
              </w:rPr>
            </w:pPr>
          </w:p>
        </w:tc>
        <w:tc>
          <w:tcPr>
            <w:tcW w:w="708" w:type="dxa"/>
          </w:tcPr>
          <w:p>
            <w:pPr>
              <w:spacing w:line="360" w:lineRule="exact"/>
              <w:jc w:val="center"/>
              <w:rPr>
                <w:rFonts w:eastAsia="仿宋"/>
                <w:color w:val="000000"/>
              </w:rPr>
            </w:pPr>
          </w:p>
        </w:tc>
        <w:tc>
          <w:tcPr>
            <w:tcW w:w="1418" w:type="dxa"/>
          </w:tcPr>
          <w:p>
            <w:pPr>
              <w:spacing w:line="360" w:lineRule="exact"/>
              <w:jc w:val="center"/>
              <w:rPr>
                <w:rFonts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spacing w:line="360" w:lineRule="exact"/>
              <w:jc w:val="center"/>
              <w:rPr>
                <w:rFonts w:eastAsia="仿宋"/>
                <w:sz w:val="28"/>
                <w:szCs w:val="28"/>
              </w:rPr>
            </w:pPr>
            <w:r>
              <w:rPr>
                <w:rFonts w:hint="eastAsia" w:eastAsia="仿宋"/>
                <w:sz w:val="28"/>
                <w:szCs w:val="28"/>
              </w:rPr>
              <w:t>市监</w:t>
            </w:r>
          </w:p>
        </w:tc>
        <w:tc>
          <w:tcPr>
            <w:tcW w:w="1414" w:type="dxa"/>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697" w:type="dxa"/>
            <w:vAlign w:val="center"/>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556" w:type="dxa"/>
            <w:vAlign w:val="center"/>
          </w:tcPr>
          <w:p>
            <w:pPr>
              <w:spacing w:line="360" w:lineRule="exact"/>
              <w:jc w:val="center"/>
              <w:rPr>
                <w:rFonts w:eastAsia="仿宋"/>
                <w:color w:val="000000"/>
              </w:rPr>
            </w:pPr>
          </w:p>
        </w:tc>
        <w:tc>
          <w:tcPr>
            <w:tcW w:w="555" w:type="dxa"/>
          </w:tcPr>
          <w:p>
            <w:pPr>
              <w:spacing w:line="360" w:lineRule="exact"/>
              <w:jc w:val="center"/>
              <w:rPr>
                <w:rFonts w:eastAsia="仿宋"/>
                <w:color w:val="000000"/>
              </w:rPr>
            </w:pPr>
          </w:p>
        </w:tc>
        <w:tc>
          <w:tcPr>
            <w:tcW w:w="709" w:type="dxa"/>
          </w:tcPr>
          <w:p>
            <w:pPr>
              <w:spacing w:line="360" w:lineRule="exact"/>
              <w:jc w:val="center"/>
              <w:rPr>
                <w:rFonts w:eastAsia="仿宋"/>
                <w:color w:val="000000"/>
              </w:rPr>
            </w:pPr>
          </w:p>
        </w:tc>
        <w:tc>
          <w:tcPr>
            <w:tcW w:w="851" w:type="dxa"/>
          </w:tcPr>
          <w:p>
            <w:pPr>
              <w:spacing w:line="360" w:lineRule="exact"/>
              <w:jc w:val="center"/>
              <w:rPr>
                <w:rFonts w:eastAsia="仿宋"/>
                <w:color w:val="000000"/>
              </w:rPr>
            </w:pPr>
          </w:p>
        </w:tc>
        <w:tc>
          <w:tcPr>
            <w:tcW w:w="708" w:type="dxa"/>
          </w:tcPr>
          <w:p>
            <w:pPr>
              <w:spacing w:line="360" w:lineRule="exact"/>
              <w:jc w:val="center"/>
              <w:rPr>
                <w:rFonts w:eastAsia="仿宋"/>
                <w:color w:val="000000"/>
              </w:rPr>
            </w:pPr>
          </w:p>
        </w:tc>
        <w:tc>
          <w:tcPr>
            <w:tcW w:w="1418" w:type="dxa"/>
          </w:tcPr>
          <w:p>
            <w:pPr>
              <w:spacing w:line="360" w:lineRule="exact"/>
              <w:jc w:val="center"/>
              <w:rPr>
                <w:rFonts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spacing w:line="360" w:lineRule="exact"/>
              <w:jc w:val="center"/>
              <w:rPr>
                <w:rFonts w:hint="eastAsia" w:eastAsia="仿宋"/>
                <w:sz w:val="28"/>
                <w:szCs w:val="28"/>
                <w:lang w:val="en-US" w:eastAsia="zh-CN"/>
              </w:rPr>
            </w:pPr>
            <w:r>
              <w:rPr>
                <w:rFonts w:hint="eastAsia" w:eastAsia="仿宋"/>
                <w:sz w:val="28"/>
                <w:szCs w:val="28"/>
                <w:lang w:val="en-US" w:eastAsia="zh-CN"/>
              </w:rPr>
              <w:t xml:space="preserve"> 安办</w:t>
            </w:r>
          </w:p>
        </w:tc>
        <w:tc>
          <w:tcPr>
            <w:tcW w:w="1414" w:type="dxa"/>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697" w:type="dxa"/>
            <w:vAlign w:val="center"/>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556" w:type="dxa"/>
            <w:vAlign w:val="center"/>
          </w:tcPr>
          <w:p>
            <w:pPr>
              <w:spacing w:line="360" w:lineRule="exact"/>
              <w:jc w:val="center"/>
              <w:rPr>
                <w:rFonts w:eastAsia="仿宋"/>
                <w:color w:val="000000"/>
              </w:rPr>
            </w:pPr>
          </w:p>
        </w:tc>
        <w:tc>
          <w:tcPr>
            <w:tcW w:w="555" w:type="dxa"/>
          </w:tcPr>
          <w:p>
            <w:pPr>
              <w:spacing w:line="360" w:lineRule="exact"/>
              <w:jc w:val="center"/>
              <w:rPr>
                <w:rFonts w:eastAsia="仿宋"/>
                <w:color w:val="000000"/>
              </w:rPr>
            </w:pPr>
          </w:p>
        </w:tc>
        <w:tc>
          <w:tcPr>
            <w:tcW w:w="709" w:type="dxa"/>
          </w:tcPr>
          <w:p>
            <w:pPr>
              <w:spacing w:line="360" w:lineRule="exact"/>
              <w:jc w:val="center"/>
              <w:rPr>
                <w:rFonts w:eastAsia="仿宋"/>
                <w:color w:val="000000"/>
              </w:rPr>
            </w:pPr>
          </w:p>
        </w:tc>
        <w:tc>
          <w:tcPr>
            <w:tcW w:w="851" w:type="dxa"/>
          </w:tcPr>
          <w:p>
            <w:pPr>
              <w:spacing w:line="360" w:lineRule="exact"/>
              <w:jc w:val="center"/>
              <w:rPr>
                <w:rFonts w:eastAsia="仿宋"/>
                <w:color w:val="000000"/>
              </w:rPr>
            </w:pPr>
          </w:p>
        </w:tc>
        <w:tc>
          <w:tcPr>
            <w:tcW w:w="708" w:type="dxa"/>
          </w:tcPr>
          <w:p>
            <w:pPr>
              <w:spacing w:line="360" w:lineRule="exact"/>
              <w:jc w:val="center"/>
              <w:rPr>
                <w:rFonts w:eastAsia="仿宋"/>
                <w:color w:val="000000"/>
              </w:rPr>
            </w:pPr>
          </w:p>
        </w:tc>
        <w:tc>
          <w:tcPr>
            <w:tcW w:w="1418" w:type="dxa"/>
          </w:tcPr>
          <w:p>
            <w:pPr>
              <w:spacing w:line="360" w:lineRule="exact"/>
              <w:jc w:val="center"/>
              <w:rPr>
                <w:rFonts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spacing w:line="360" w:lineRule="exact"/>
              <w:jc w:val="center"/>
              <w:rPr>
                <w:rFonts w:hint="eastAsia" w:eastAsia="仿宋"/>
                <w:sz w:val="28"/>
                <w:szCs w:val="28"/>
                <w:lang w:eastAsia="zh-CN"/>
              </w:rPr>
            </w:pPr>
            <w:r>
              <w:rPr>
                <w:rFonts w:hint="eastAsia" w:eastAsia="仿宋"/>
                <w:sz w:val="28"/>
                <w:szCs w:val="28"/>
                <w:lang w:val="en-US" w:eastAsia="zh-CN"/>
              </w:rPr>
              <w:t>行政</w:t>
            </w:r>
            <w:r>
              <w:rPr>
                <w:rFonts w:hint="eastAsia" w:eastAsia="仿宋"/>
                <w:sz w:val="28"/>
                <w:szCs w:val="28"/>
                <w:lang w:eastAsia="zh-CN"/>
              </w:rPr>
              <w:t>村</w:t>
            </w:r>
          </w:p>
        </w:tc>
        <w:tc>
          <w:tcPr>
            <w:tcW w:w="1414" w:type="dxa"/>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697" w:type="dxa"/>
            <w:vAlign w:val="center"/>
          </w:tcPr>
          <w:p>
            <w:pPr>
              <w:spacing w:line="360" w:lineRule="exact"/>
              <w:jc w:val="center"/>
              <w:rPr>
                <w:rFonts w:eastAsia="仿宋"/>
                <w:color w:val="000000"/>
              </w:rPr>
            </w:pPr>
          </w:p>
        </w:tc>
        <w:tc>
          <w:tcPr>
            <w:tcW w:w="1839" w:type="dxa"/>
            <w:vAlign w:val="center"/>
          </w:tcPr>
          <w:p>
            <w:pPr>
              <w:spacing w:line="360" w:lineRule="exact"/>
              <w:jc w:val="center"/>
              <w:rPr>
                <w:rFonts w:eastAsia="仿宋"/>
                <w:color w:val="000000"/>
              </w:rPr>
            </w:pPr>
          </w:p>
        </w:tc>
        <w:tc>
          <w:tcPr>
            <w:tcW w:w="1556" w:type="dxa"/>
            <w:vAlign w:val="center"/>
          </w:tcPr>
          <w:p>
            <w:pPr>
              <w:spacing w:line="360" w:lineRule="exact"/>
              <w:jc w:val="center"/>
              <w:rPr>
                <w:rFonts w:eastAsia="仿宋"/>
                <w:color w:val="000000"/>
              </w:rPr>
            </w:pPr>
          </w:p>
        </w:tc>
        <w:tc>
          <w:tcPr>
            <w:tcW w:w="555" w:type="dxa"/>
          </w:tcPr>
          <w:p>
            <w:pPr>
              <w:spacing w:line="360" w:lineRule="exact"/>
              <w:jc w:val="center"/>
              <w:rPr>
                <w:rFonts w:eastAsia="仿宋"/>
                <w:color w:val="000000"/>
              </w:rPr>
            </w:pPr>
          </w:p>
        </w:tc>
        <w:tc>
          <w:tcPr>
            <w:tcW w:w="709" w:type="dxa"/>
          </w:tcPr>
          <w:p>
            <w:pPr>
              <w:spacing w:line="360" w:lineRule="exact"/>
              <w:jc w:val="center"/>
              <w:rPr>
                <w:rFonts w:eastAsia="仿宋"/>
                <w:color w:val="000000"/>
              </w:rPr>
            </w:pPr>
          </w:p>
        </w:tc>
        <w:tc>
          <w:tcPr>
            <w:tcW w:w="851" w:type="dxa"/>
          </w:tcPr>
          <w:p>
            <w:pPr>
              <w:spacing w:line="360" w:lineRule="exact"/>
              <w:jc w:val="center"/>
              <w:rPr>
                <w:rFonts w:eastAsia="仿宋"/>
                <w:color w:val="000000"/>
              </w:rPr>
            </w:pPr>
          </w:p>
        </w:tc>
        <w:tc>
          <w:tcPr>
            <w:tcW w:w="708" w:type="dxa"/>
          </w:tcPr>
          <w:p>
            <w:pPr>
              <w:spacing w:line="360" w:lineRule="exact"/>
              <w:jc w:val="center"/>
              <w:rPr>
                <w:rFonts w:eastAsia="仿宋"/>
                <w:color w:val="000000"/>
              </w:rPr>
            </w:pPr>
          </w:p>
        </w:tc>
        <w:tc>
          <w:tcPr>
            <w:tcW w:w="1418" w:type="dxa"/>
          </w:tcPr>
          <w:p>
            <w:pPr>
              <w:spacing w:line="360" w:lineRule="exact"/>
              <w:jc w:val="center"/>
              <w:rPr>
                <w:rFonts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tcPr>
          <w:p>
            <w:pPr>
              <w:spacing w:line="320" w:lineRule="exact"/>
              <w:jc w:val="center"/>
              <w:rPr>
                <w:rFonts w:eastAsia="仿宋"/>
                <w:szCs w:val="21"/>
              </w:rPr>
            </w:pPr>
            <w:r>
              <w:rPr>
                <w:rFonts w:hint="eastAsia" w:eastAsia="仿宋"/>
                <w:sz w:val="28"/>
                <w:szCs w:val="28"/>
              </w:rPr>
              <w:t>备注</w:t>
            </w:r>
          </w:p>
        </w:tc>
        <w:tc>
          <w:tcPr>
            <w:tcW w:w="12586" w:type="dxa"/>
            <w:gridSpan w:val="10"/>
          </w:tcPr>
          <w:p>
            <w:pPr>
              <w:spacing w:line="260" w:lineRule="exact"/>
              <w:rPr>
                <w:rFonts w:eastAsia="仿宋"/>
                <w:sz w:val="24"/>
                <w:szCs w:val="24"/>
              </w:rPr>
            </w:pPr>
            <w:r>
              <w:rPr>
                <w:rFonts w:eastAsia="仿宋"/>
                <w:sz w:val="24"/>
                <w:szCs w:val="24"/>
              </w:rPr>
              <w:t>1.</w:t>
            </w:r>
            <w:r>
              <w:rPr>
                <w:rFonts w:hint="eastAsia" w:eastAsia="仿宋"/>
                <w:sz w:val="24"/>
                <w:szCs w:val="24"/>
              </w:rPr>
              <w:t>部门负责填报本行业本系统数据，其中</w:t>
            </w:r>
            <w:r>
              <w:rPr>
                <w:rFonts w:hint="eastAsia" w:eastAsia="仿宋"/>
                <w:sz w:val="24"/>
                <w:szCs w:val="24"/>
                <w:lang w:eastAsia="zh-CN"/>
              </w:rPr>
              <w:t>行政村</w:t>
            </w:r>
            <w:r>
              <w:rPr>
                <w:rFonts w:hint="eastAsia" w:eastAsia="仿宋"/>
                <w:sz w:val="24"/>
                <w:szCs w:val="24"/>
              </w:rPr>
              <w:t>的数据由各镇负责填报。</w:t>
            </w:r>
          </w:p>
          <w:p>
            <w:pPr>
              <w:spacing w:line="260" w:lineRule="exact"/>
              <w:rPr>
                <w:rFonts w:eastAsia="仿宋"/>
                <w:sz w:val="24"/>
                <w:szCs w:val="24"/>
              </w:rPr>
            </w:pPr>
            <w:r>
              <w:rPr>
                <w:rFonts w:eastAsia="仿宋"/>
                <w:sz w:val="24"/>
                <w:szCs w:val="24"/>
              </w:rPr>
              <w:t>2.</w:t>
            </w:r>
            <w:r>
              <w:rPr>
                <w:rFonts w:hint="eastAsia" w:eastAsia="仿宋"/>
                <w:sz w:val="24"/>
                <w:szCs w:val="24"/>
              </w:rPr>
              <w:t>场所类型填写</w:t>
            </w:r>
            <w:r>
              <w:rPr>
                <w:rFonts w:eastAsia="仿宋"/>
                <w:sz w:val="24"/>
                <w:szCs w:val="24"/>
              </w:rPr>
              <w:t>“</w:t>
            </w:r>
            <w:r>
              <w:rPr>
                <w:rFonts w:hint="eastAsia" w:eastAsia="仿宋"/>
                <w:sz w:val="24"/>
                <w:szCs w:val="24"/>
              </w:rPr>
              <w:t>出租房、三合一、人员密集场所、住宅小区、工贸企业</w:t>
            </w:r>
            <w:r>
              <w:rPr>
                <w:rFonts w:eastAsia="仿宋"/>
                <w:sz w:val="24"/>
                <w:szCs w:val="24"/>
              </w:rPr>
              <w:t>”</w:t>
            </w:r>
            <w:r>
              <w:rPr>
                <w:rFonts w:hint="eastAsia" w:eastAsia="仿宋"/>
                <w:sz w:val="24"/>
                <w:szCs w:val="24"/>
              </w:rPr>
              <w:t>及</w:t>
            </w:r>
            <w:r>
              <w:rPr>
                <w:rFonts w:eastAsia="仿宋"/>
                <w:sz w:val="24"/>
                <w:szCs w:val="24"/>
              </w:rPr>
              <w:t>“</w:t>
            </w:r>
            <w:r>
              <w:rPr>
                <w:rFonts w:hint="eastAsia" w:eastAsia="仿宋"/>
                <w:sz w:val="24"/>
                <w:szCs w:val="24"/>
              </w:rPr>
              <w:t>其他（</w:t>
            </w:r>
            <w:r>
              <w:rPr>
                <w:rFonts w:eastAsia="仿宋"/>
                <w:sz w:val="24"/>
                <w:szCs w:val="24"/>
              </w:rPr>
              <w:t>**</w:t>
            </w:r>
            <w:r>
              <w:rPr>
                <w:rFonts w:hint="eastAsia" w:eastAsia="仿宋"/>
                <w:sz w:val="24"/>
                <w:szCs w:val="24"/>
              </w:rPr>
              <w:t>）</w:t>
            </w:r>
            <w:r>
              <w:rPr>
                <w:rFonts w:eastAsia="仿宋"/>
                <w:sz w:val="24"/>
                <w:szCs w:val="24"/>
              </w:rPr>
              <w:t>”</w:t>
            </w:r>
            <w:r>
              <w:rPr>
                <w:rFonts w:hint="eastAsia" w:eastAsia="仿宋"/>
                <w:sz w:val="24"/>
                <w:szCs w:val="24"/>
              </w:rPr>
              <w:t>，若一个部门涉及排查多个类型场所的，可增行填写。</w:t>
            </w:r>
          </w:p>
          <w:p>
            <w:pPr>
              <w:spacing w:line="260" w:lineRule="exact"/>
              <w:rPr>
                <w:rFonts w:eastAsia="仿宋"/>
                <w:sz w:val="24"/>
                <w:szCs w:val="24"/>
              </w:rPr>
            </w:pPr>
            <w:r>
              <w:rPr>
                <w:rFonts w:eastAsia="仿宋"/>
                <w:sz w:val="24"/>
                <w:szCs w:val="24"/>
              </w:rPr>
              <w:t>2.</w:t>
            </w:r>
            <w:r>
              <w:rPr>
                <w:rFonts w:hint="eastAsia" w:eastAsia="仿宋"/>
                <w:sz w:val="24"/>
                <w:szCs w:val="24"/>
              </w:rPr>
              <w:t>本表从</w:t>
            </w:r>
            <w:r>
              <w:rPr>
                <w:rFonts w:eastAsia="仿宋"/>
                <w:sz w:val="24"/>
                <w:szCs w:val="24"/>
              </w:rPr>
              <w:t>5</w:t>
            </w:r>
            <w:r>
              <w:rPr>
                <w:rFonts w:hint="eastAsia" w:eastAsia="仿宋"/>
                <w:sz w:val="24"/>
                <w:szCs w:val="24"/>
              </w:rPr>
              <w:t>月起每月</w:t>
            </w:r>
            <w:r>
              <w:rPr>
                <w:rFonts w:eastAsia="仿宋"/>
                <w:sz w:val="24"/>
                <w:szCs w:val="24"/>
              </w:rPr>
              <w:t>20</w:t>
            </w:r>
            <w:r>
              <w:rPr>
                <w:rFonts w:hint="eastAsia" w:eastAsia="仿宋"/>
                <w:sz w:val="24"/>
                <w:szCs w:val="24"/>
              </w:rPr>
              <w:t>日前报送。</w:t>
            </w:r>
          </w:p>
          <w:p>
            <w:pPr>
              <w:spacing w:line="260" w:lineRule="exact"/>
              <w:rPr>
                <w:rFonts w:eastAsia="仿宋"/>
                <w:sz w:val="28"/>
                <w:szCs w:val="28"/>
              </w:rPr>
            </w:pPr>
            <w:r>
              <w:rPr>
                <w:rFonts w:eastAsia="仿宋"/>
                <w:sz w:val="24"/>
                <w:szCs w:val="24"/>
              </w:rPr>
              <w:t>3.</w:t>
            </w:r>
            <w:r>
              <w:rPr>
                <w:rFonts w:hint="eastAsia" w:eastAsia="仿宋"/>
                <w:sz w:val="24"/>
                <w:szCs w:val="24"/>
              </w:rPr>
              <w:t>本表的数据为累计数据。</w:t>
            </w:r>
          </w:p>
        </w:tc>
      </w:tr>
    </w:tbl>
    <w:p>
      <w:pPr>
        <w:spacing w:line="560" w:lineRule="exact"/>
        <w:jc w:val="left"/>
        <w:rPr>
          <w:rFonts w:eastAsia="方正仿宋简体"/>
        </w:rPr>
      </w:pPr>
    </w:p>
    <w:p>
      <w:pPr>
        <w:widowControl/>
        <w:jc w:val="left"/>
        <w:rPr>
          <w:rFonts w:hint="eastAsia" w:ascii="黑体" w:hAnsi="黑体" w:eastAsia="黑体"/>
        </w:rPr>
      </w:pPr>
    </w:p>
    <w:p>
      <w:pPr>
        <w:widowControl/>
        <w:jc w:val="left"/>
        <w:rPr>
          <w:rFonts w:hint="eastAsia" w:ascii="黑体" w:hAnsi="黑体" w:eastAsia="黑体"/>
        </w:rPr>
      </w:pPr>
    </w:p>
    <w:p>
      <w:pPr>
        <w:widowControl/>
        <w:jc w:val="left"/>
        <w:rPr>
          <w:rFonts w:hint="eastAsia" w:ascii="黑体" w:hAnsi="黑体" w:eastAsia="黑体"/>
        </w:rPr>
      </w:pPr>
    </w:p>
    <w:p>
      <w:pPr>
        <w:widowControl/>
        <w:jc w:val="lef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6</w:t>
      </w:r>
    </w:p>
    <w:p>
      <w:pPr>
        <w:adjustRightInd w:val="0"/>
        <w:snapToGrid w:val="0"/>
        <w:spacing w:line="560" w:lineRule="exact"/>
        <w:jc w:val="center"/>
        <w:rPr>
          <w:rFonts w:ascii="方正小标宋_GBK" w:eastAsia="方正小标宋_GBK"/>
          <w:sz w:val="44"/>
          <w:szCs w:val="44"/>
        </w:rPr>
      </w:pPr>
      <w:r>
        <w:rPr>
          <w:rFonts w:hint="eastAsia" w:ascii="方正小标宋_GBK" w:eastAsia="方正小标宋_GBK"/>
          <w:sz w:val="44"/>
          <w:szCs w:val="44"/>
        </w:rPr>
        <w:t>每月火灾隐患整治明细表</w:t>
      </w:r>
    </w:p>
    <w:p>
      <w:pPr>
        <w:snapToGrid w:val="0"/>
        <w:spacing w:line="560" w:lineRule="exact"/>
        <w:ind w:firstLine="800" w:firstLineChars="250"/>
        <w:jc w:val="left"/>
        <w:rPr>
          <w:rFonts w:ascii="黑体" w:hAnsi="黑体" w:eastAsia="黑体"/>
        </w:rPr>
      </w:pPr>
      <w:r>
        <w:rPr>
          <w:rFonts w:hint="eastAsia" w:ascii="黑体" w:hAnsi="黑体" w:eastAsia="黑体"/>
        </w:rPr>
        <w:t>填报单位：</w:t>
      </w:r>
      <w:r>
        <w:rPr>
          <w:rFonts w:ascii="黑体" w:hAnsi="黑体" w:eastAsia="黑体"/>
        </w:rPr>
        <w:t xml:space="preserve">                                                 </w:t>
      </w:r>
      <w:r>
        <w:rPr>
          <w:rFonts w:hint="eastAsia" w:ascii="黑体" w:hAnsi="黑体" w:eastAsia="黑体"/>
        </w:rPr>
        <w:t>填报时间：</w:t>
      </w:r>
    </w:p>
    <w:tbl>
      <w:tblPr>
        <w:tblStyle w:val="6"/>
        <w:tblpPr w:leftFromText="180" w:rightFromText="180" w:vertAnchor="page" w:horzAnchor="page" w:tblpX="1596" w:tblpY="2414"/>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259"/>
        <w:gridCol w:w="2370"/>
        <w:gridCol w:w="2380"/>
        <w:gridCol w:w="2638"/>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960" w:type="dxa"/>
          </w:tcPr>
          <w:p>
            <w:pPr>
              <w:snapToGrid w:val="0"/>
              <w:spacing w:line="560" w:lineRule="exact"/>
              <w:jc w:val="center"/>
              <w:rPr>
                <w:rFonts w:ascii="仿宋_GB2312" w:eastAsia="仿宋_GB2312"/>
                <w:b/>
              </w:rPr>
            </w:pPr>
            <w:r>
              <w:rPr>
                <w:rFonts w:hint="eastAsia" w:ascii="仿宋_GB2312" w:eastAsia="仿宋_GB2312"/>
                <w:b/>
              </w:rPr>
              <w:t>检查时间</w:t>
            </w:r>
          </w:p>
        </w:tc>
        <w:tc>
          <w:tcPr>
            <w:tcW w:w="2259" w:type="dxa"/>
          </w:tcPr>
          <w:p>
            <w:pPr>
              <w:snapToGrid w:val="0"/>
              <w:spacing w:line="560" w:lineRule="exact"/>
              <w:jc w:val="left"/>
              <w:rPr>
                <w:rFonts w:ascii="仿宋_GB2312" w:eastAsia="仿宋_GB2312"/>
                <w:b/>
              </w:rPr>
            </w:pPr>
            <w:r>
              <w:rPr>
                <w:rFonts w:hint="eastAsia" w:ascii="仿宋_GB2312" w:eastAsia="仿宋_GB2312"/>
                <w:b/>
              </w:rPr>
              <w:t>检查单位名称</w:t>
            </w:r>
          </w:p>
        </w:tc>
        <w:tc>
          <w:tcPr>
            <w:tcW w:w="2370" w:type="dxa"/>
          </w:tcPr>
          <w:p>
            <w:pPr>
              <w:snapToGrid w:val="0"/>
              <w:spacing w:line="560" w:lineRule="exact"/>
              <w:jc w:val="center"/>
              <w:rPr>
                <w:rFonts w:ascii="仿宋_GB2312" w:eastAsia="仿宋_GB2312"/>
                <w:b/>
              </w:rPr>
            </w:pPr>
            <w:r>
              <w:rPr>
                <w:rFonts w:hint="eastAsia" w:ascii="仿宋_GB2312" w:eastAsia="仿宋_GB2312"/>
                <w:b/>
              </w:rPr>
              <w:t>检查单位地址</w:t>
            </w:r>
          </w:p>
        </w:tc>
        <w:tc>
          <w:tcPr>
            <w:tcW w:w="2380" w:type="dxa"/>
          </w:tcPr>
          <w:p>
            <w:pPr>
              <w:snapToGrid w:val="0"/>
              <w:spacing w:line="560" w:lineRule="exact"/>
              <w:jc w:val="center"/>
              <w:rPr>
                <w:rFonts w:ascii="仿宋_GB2312" w:eastAsia="仿宋_GB2312"/>
                <w:b/>
              </w:rPr>
            </w:pPr>
            <w:r>
              <w:rPr>
                <w:rFonts w:hint="eastAsia" w:ascii="仿宋_GB2312" w:eastAsia="仿宋_GB2312"/>
                <w:b/>
              </w:rPr>
              <w:t>发现隐患问题</w:t>
            </w:r>
          </w:p>
        </w:tc>
        <w:tc>
          <w:tcPr>
            <w:tcW w:w="2638" w:type="dxa"/>
          </w:tcPr>
          <w:p>
            <w:pPr>
              <w:snapToGrid w:val="0"/>
              <w:spacing w:line="560" w:lineRule="exact"/>
              <w:jc w:val="center"/>
              <w:rPr>
                <w:rFonts w:ascii="仿宋_GB2312" w:eastAsia="仿宋_GB2312"/>
                <w:b/>
              </w:rPr>
            </w:pPr>
            <w:r>
              <w:rPr>
                <w:rFonts w:hint="eastAsia" w:ascii="仿宋_GB2312" w:eastAsia="仿宋_GB2312"/>
                <w:b/>
              </w:rPr>
              <w:t>隐患整改情况</w:t>
            </w:r>
          </w:p>
        </w:tc>
        <w:tc>
          <w:tcPr>
            <w:tcW w:w="1968" w:type="dxa"/>
          </w:tcPr>
          <w:p>
            <w:pPr>
              <w:snapToGrid w:val="0"/>
              <w:spacing w:line="560" w:lineRule="exact"/>
              <w:jc w:val="center"/>
              <w:rPr>
                <w:rFonts w:ascii="仿宋_GB2312" w:eastAsia="仿宋_GB2312"/>
                <w:b/>
              </w:rPr>
            </w:pPr>
            <w:r>
              <w:rPr>
                <w:rFonts w:hint="eastAsia" w:ascii="仿宋_GB2312" w:eastAsia="仿宋_GB2312"/>
                <w:b/>
              </w:rPr>
              <w:t>检查人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1960" w:type="dxa"/>
          </w:tcPr>
          <w:p>
            <w:pPr>
              <w:snapToGrid w:val="0"/>
              <w:spacing w:line="560" w:lineRule="exact"/>
              <w:jc w:val="left"/>
            </w:pPr>
          </w:p>
        </w:tc>
        <w:tc>
          <w:tcPr>
            <w:tcW w:w="2259" w:type="dxa"/>
          </w:tcPr>
          <w:p>
            <w:pPr>
              <w:snapToGrid w:val="0"/>
              <w:spacing w:line="560" w:lineRule="exact"/>
              <w:jc w:val="left"/>
            </w:pPr>
          </w:p>
        </w:tc>
        <w:tc>
          <w:tcPr>
            <w:tcW w:w="2370" w:type="dxa"/>
          </w:tcPr>
          <w:p>
            <w:pPr>
              <w:snapToGrid w:val="0"/>
              <w:spacing w:line="560" w:lineRule="exact"/>
              <w:jc w:val="left"/>
            </w:pPr>
          </w:p>
        </w:tc>
        <w:tc>
          <w:tcPr>
            <w:tcW w:w="2380" w:type="dxa"/>
          </w:tcPr>
          <w:p>
            <w:pPr>
              <w:snapToGrid w:val="0"/>
              <w:spacing w:line="560" w:lineRule="exact"/>
              <w:jc w:val="left"/>
            </w:pPr>
          </w:p>
        </w:tc>
        <w:tc>
          <w:tcPr>
            <w:tcW w:w="2638" w:type="dxa"/>
          </w:tcPr>
          <w:p>
            <w:pPr>
              <w:snapToGrid w:val="0"/>
              <w:spacing w:line="560" w:lineRule="exact"/>
              <w:jc w:val="left"/>
            </w:pPr>
          </w:p>
        </w:tc>
        <w:tc>
          <w:tcPr>
            <w:tcW w:w="1968" w:type="dxa"/>
          </w:tcPr>
          <w:p>
            <w:pPr>
              <w:snapToGrid w:val="0"/>
              <w:spacing w:line="5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1960" w:type="dxa"/>
          </w:tcPr>
          <w:p>
            <w:pPr>
              <w:snapToGrid w:val="0"/>
              <w:spacing w:line="560" w:lineRule="exact"/>
              <w:jc w:val="left"/>
            </w:pPr>
          </w:p>
        </w:tc>
        <w:tc>
          <w:tcPr>
            <w:tcW w:w="2259" w:type="dxa"/>
          </w:tcPr>
          <w:p>
            <w:pPr>
              <w:snapToGrid w:val="0"/>
              <w:spacing w:line="560" w:lineRule="exact"/>
              <w:jc w:val="left"/>
            </w:pPr>
          </w:p>
        </w:tc>
        <w:tc>
          <w:tcPr>
            <w:tcW w:w="2370" w:type="dxa"/>
          </w:tcPr>
          <w:p>
            <w:pPr>
              <w:snapToGrid w:val="0"/>
              <w:spacing w:line="560" w:lineRule="exact"/>
              <w:jc w:val="left"/>
            </w:pPr>
          </w:p>
        </w:tc>
        <w:tc>
          <w:tcPr>
            <w:tcW w:w="2380" w:type="dxa"/>
          </w:tcPr>
          <w:p>
            <w:pPr>
              <w:snapToGrid w:val="0"/>
              <w:spacing w:line="560" w:lineRule="exact"/>
              <w:jc w:val="left"/>
            </w:pPr>
          </w:p>
        </w:tc>
        <w:tc>
          <w:tcPr>
            <w:tcW w:w="2638" w:type="dxa"/>
          </w:tcPr>
          <w:p>
            <w:pPr>
              <w:snapToGrid w:val="0"/>
              <w:spacing w:line="560" w:lineRule="exact"/>
              <w:jc w:val="left"/>
            </w:pPr>
          </w:p>
        </w:tc>
        <w:tc>
          <w:tcPr>
            <w:tcW w:w="1968" w:type="dxa"/>
          </w:tcPr>
          <w:p>
            <w:pPr>
              <w:snapToGrid w:val="0"/>
              <w:spacing w:line="5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1960" w:type="dxa"/>
          </w:tcPr>
          <w:p>
            <w:pPr>
              <w:snapToGrid w:val="0"/>
              <w:spacing w:line="560" w:lineRule="exact"/>
              <w:jc w:val="left"/>
            </w:pPr>
          </w:p>
        </w:tc>
        <w:tc>
          <w:tcPr>
            <w:tcW w:w="2259" w:type="dxa"/>
          </w:tcPr>
          <w:p>
            <w:pPr>
              <w:snapToGrid w:val="0"/>
              <w:spacing w:line="560" w:lineRule="exact"/>
              <w:jc w:val="left"/>
            </w:pPr>
          </w:p>
        </w:tc>
        <w:tc>
          <w:tcPr>
            <w:tcW w:w="2370" w:type="dxa"/>
          </w:tcPr>
          <w:p>
            <w:pPr>
              <w:snapToGrid w:val="0"/>
              <w:spacing w:line="560" w:lineRule="exact"/>
              <w:jc w:val="left"/>
            </w:pPr>
          </w:p>
        </w:tc>
        <w:tc>
          <w:tcPr>
            <w:tcW w:w="2380" w:type="dxa"/>
          </w:tcPr>
          <w:p>
            <w:pPr>
              <w:snapToGrid w:val="0"/>
              <w:spacing w:line="560" w:lineRule="exact"/>
              <w:jc w:val="left"/>
            </w:pPr>
          </w:p>
        </w:tc>
        <w:tc>
          <w:tcPr>
            <w:tcW w:w="2638" w:type="dxa"/>
          </w:tcPr>
          <w:p>
            <w:pPr>
              <w:snapToGrid w:val="0"/>
              <w:spacing w:line="560" w:lineRule="exact"/>
              <w:jc w:val="left"/>
            </w:pPr>
          </w:p>
        </w:tc>
        <w:tc>
          <w:tcPr>
            <w:tcW w:w="1968" w:type="dxa"/>
          </w:tcPr>
          <w:p>
            <w:pPr>
              <w:snapToGrid w:val="0"/>
              <w:spacing w:line="56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1960" w:type="dxa"/>
          </w:tcPr>
          <w:p>
            <w:pPr>
              <w:snapToGrid w:val="0"/>
              <w:spacing w:line="560" w:lineRule="exact"/>
              <w:jc w:val="left"/>
            </w:pPr>
          </w:p>
        </w:tc>
        <w:tc>
          <w:tcPr>
            <w:tcW w:w="2259" w:type="dxa"/>
          </w:tcPr>
          <w:p>
            <w:pPr>
              <w:snapToGrid w:val="0"/>
              <w:spacing w:line="560" w:lineRule="exact"/>
              <w:jc w:val="left"/>
            </w:pPr>
          </w:p>
        </w:tc>
        <w:tc>
          <w:tcPr>
            <w:tcW w:w="2370" w:type="dxa"/>
          </w:tcPr>
          <w:p>
            <w:pPr>
              <w:snapToGrid w:val="0"/>
              <w:spacing w:line="560" w:lineRule="exact"/>
              <w:jc w:val="left"/>
            </w:pPr>
          </w:p>
        </w:tc>
        <w:tc>
          <w:tcPr>
            <w:tcW w:w="2380" w:type="dxa"/>
          </w:tcPr>
          <w:p>
            <w:pPr>
              <w:snapToGrid w:val="0"/>
              <w:spacing w:line="560" w:lineRule="exact"/>
              <w:jc w:val="left"/>
            </w:pPr>
          </w:p>
        </w:tc>
        <w:tc>
          <w:tcPr>
            <w:tcW w:w="2638" w:type="dxa"/>
          </w:tcPr>
          <w:p>
            <w:pPr>
              <w:snapToGrid w:val="0"/>
              <w:spacing w:line="560" w:lineRule="exact"/>
              <w:jc w:val="left"/>
            </w:pPr>
          </w:p>
        </w:tc>
        <w:tc>
          <w:tcPr>
            <w:tcW w:w="1968" w:type="dxa"/>
          </w:tcPr>
          <w:p>
            <w:pPr>
              <w:snapToGrid w:val="0"/>
              <w:spacing w:line="560" w:lineRule="exact"/>
              <w:jc w:val="left"/>
            </w:pPr>
          </w:p>
        </w:tc>
      </w:tr>
    </w:tbl>
    <w:p>
      <w:pPr>
        <w:widowControl/>
        <w:ind w:firstLine="300" w:firstLineChars="100"/>
        <w:jc w:val="left"/>
        <w:rPr>
          <w:rFonts w:hint="eastAsia" w:ascii="仿宋_GB2312" w:eastAsia="仿宋_GB2312"/>
          <w:sz w:val="30"/>
          <w:szCs w:val="30"/>
        </w:rPr>
      </w:pPr>
    </w:p>
    <w:p>
      <w:pPr>
        <w:widowControl/>
        <w:ind w:firstLine="300" w:firstLineChars="100"/>
        <w:jc w:val="left"/>
        <w:rPr>
          <w:rFonts w:eastAsia="方正小标宋简体"/>
        </w:rPr>
        <w:sectPr>
          <w:footerReference r:id="rId9" w:type="default"/>
          <w:footerReference r:id="rId10" w:type="even"/>
          <w:pgSz w:w="16838" w:h="11906" w:orient="landscape"/>
          <w:pgMar w:top="680" w:right="1418" w:bottom="680" w:left="1418" w:header="851" w:footer="992" w:gutter="0"/>
          <w:pgNumType w:fmt="numberInDash"/>
          <w:cols w:space="720" w:num="1"/>
          <w:docGrid w:linePitch="312" w:charSpace="0"/>
        </w:sectPr>
      </w:pPr>
      <w:r>
        <w:rPr>
          <w:rFonts w:hint="eastAsia" w:ascii="仿宋_GB2312" w:eastAsia="仿宋_GB2312"/>
          <w:sz w:val="30"/>
          <w:szCs w:val="30"/>
        </w:rPr>
        <w:t>备注：本表从</w:t>
      </w:r>
      <w:r>
        <w:rPr>
          <w:rFonts w:ascii="仿宋_GB2312" w:eastAsia="仿宋_GB2312"/>
          <w:sz w:val="30"/>
          <w:szCs w:val="30"/>
        </w:rPr>
        <w:t>5</w:t>
      </w:r>
      <w:r>
        <w:rPr>
          <w:rFonts w:hint="eastAsia" w:ascii="仿宋_GB2312" w:eastAsia="仿宋_GB2312"/>
          <w:sz w:val="30"/>
          <w:szCs w:val="30"/>
        </w:rPr>
        <w:t>月起每月</w:t>
      </w:r>
      <w:r>
        <w:rPr>
          <w:rFonts w:hint="eastAsia" w:ascii="仿宋_GB2312" w:eastAsia="仿宋_GB2312"/>
          <w:sz w:val="30"/>
          <w:szCs w:val="30"/>
          <w:lang w:val="en-US" w:eastAsia="zh-CN"/>
        </w:rPr>
        <w:t>18</w:t>
      </w:r>
      <w:r>
        <w:rPr>
          <w:rFonts w:hint="eastAsia" w:ascii="仿宋_GB2312" w:eastAsia="仿宋_GB2312"/>
          <w:sz w:val="30"/>
          <w:szCs w:val="30"/>
        </w:rPr>
        <w:t>日前报送</w:t>
      </w: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60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bookmarkStart w:id="0" w:name="_GoBack"/>
      <w:bookmarkEnd w:id="0"/>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240" w:lineRule="exact"/>
        <w:rPr>
          <w:rFonts w:eastAsia="方正小标宋简体"/>
        </w:rPr>
      </w:pPr>
    </w:p>
    <w:p>
      <w:pPr>
        <w:spacing w:line="520" w:lineRule="exact"/>
        <w:rPr>
          <w:rFonts w:ascii="仿宋_GB2312" w:eastAsia="仿宋_GB2312"/>
          <w:snapToGrid w:val="0"/>
          <w:kern w:val="0"/>
          <w:sz w:val="28"/>
          <w:szCs w:val="28"/>
        </w:rPr>
      </w:pPr>
      <w:r>
        <w:rPr>
          <w:sz w:val="28"/>
          <w:szCs w:val="28"/>
        </w:rPr>
        <mc:AlternateContent>
          <mc:Choice Requires="wps">
            <w:drawing>
              <wp:anchor distT="0" distB="0" distL="114300" distR="114300" simplePos="0" relativeHeight="251657216" behindDoc="0" locked="0" layoutInCell="1" allowOverlap="1">
                <wp:simplePos x="0" y="0"/>
                <wp:positionH relativeFrom="column">
                  <wp:posOffset>-113030</wp:posOffset>
                </wp:positionH>
                <wp:positionV relativeFrom="paragraph">
                  <wp:posOffset>6350</wp:posOffset>
                </wp:positionV>
                <wp:extent cx="5611495" cy="0"/>
                <wp:effectExtent l="0" t="0" r="0" b="0"/>
                <wp:wrapNone/>
                <wp:docPr id="1" name="直线 3"/>
                <wp:cNvGraphicFramePr/>
                <a:graphic xmlns:a="http://schemas.openxmlformats.org/drawingml/2006/main">
                  <a:graphicData uri="http://schemas.microsoft.com/office/word/2010/wordprocessingShape">
                    <wps:wsp>
                      <wps:cNvCnPr/>
                      <wps:spPr>
                        <a:xfrm>
                          <a:off x="0" y="0"/>
                          <a:ext cx="56114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8.9pt;margin-top:0.5pt;height:0pt;width:441.85pt;z-index:251657216;mso-width-relative:page;mso-height-relative:page;" filled="f" stroked="t" coordsize="21600,21600" o:gfxdata="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Fx+KDUAAAABwEAAA8AAAAAAAAAAQAgAAAAIgAAAGRycy9k&#10;b3ducmV2LnhtbFBLAQIUABQAAAAIAIdO4kBrTCQazQEAAI0DAAAOAAAAAAAAAAEAIAAAACMBAABk&#10;cnMvZTJvRG9jLnhtbFBLBQYAAAAABgAGAFkBAABiBQAAAAA=&#10;">
                <v:fill on="f" focussize="0,0"/>
                <v:stroke color="#000000" joinstyle="round"/>
                <v:imagedata o:title=""/>
                <o:lock v:ext="edit" aspectratio="f"/>
              </v:line>
            </w:pict>
          </mc:Fallback>
        </mc:AlternateContent>
      </w:r>
      <w:r>
        <w:rPr>
          <w:rFonts w:hint="eastAsia" w:ascii="仿宋_GB2312" w:eastAsia="仿宋_GB2312"/>
          <w:snapToGrid w:val="0"/>
          <w:kern w:val="0"/>
          <w:sz w:val="28"/>
          <w:szCs w:val="28"/>
        </w:rPr>
        <w:t>抄送：</w:t>
      </w:r>
      <w:r>
        <w:rPr>
          <w:rFonts w:hint="eastAsia" w:ascii="仿宋_GB2312" w:eastAsia="仿宋_GB2312"/>
          <w:snapToGrid w:val="0"/>
          <w:kern w:val="0"/>
          <w:sz w:val="28"/>
          <w:szCs w:val="28"/>
          <w:lang w:val="en-US" w:eastAsia="zh-CN"/>
        </w:rPr>
        <w:t>县</w:t>
      </w:r>
      <w:r>
        <w:rPr>
          <w:rFonts w:hint="eastAsia" w:ascii="仿宋_GB2312" w:eastAsia="仿宋_GB2312"/>
          <w:snapToGrid w:val="0"/>
          <w:kern w:val="0"/>
          <w:sz w:val="28"/>
          <w:szCs w:val="28"/>
        </w:rPr>
        <w:t>安办、</w:t>
      </w:r>
      <w:r>
        <w:rPr>
          <w:rFonts w:hint="eastAsia" w:ascii="仿宋_GB2312" w:eastAsia="仿宋_GB2312"/>
          <w:snapToGrid w:val="0"/>
          <w:kern w:val="0"/>
          <w:sz w:val="28"/>
          <w:szCs w:val="28"/>
          <w:lang w:val="en-US" w:eastAsia="zh-CN"/>
        </w:rPr>
        <w:t>县</w:t>
      </w:r>
      <w:r>
        <w:rPr>
          <w:rFonts w:hint="eastAsia" w:ascii="仿宋_GB2312" w:eastAsia="仿宋_GB2312"/>
          <w:snapToGrid w:val="0"/>
          <w:kern w:val="0"/>
          <w:sz w:val="28"/>
          <w:szCs w:val="28"/>
        </w:rPr>
        <w:t>消防大队，</w:t>
      </w:r>
      <w:r>
        <w:rPr>
          <w:rFonts w:hint="eastAsia" w:ascii="仿宋_GB2312" w:eastAsia="仿宋_GB2312"/>
          <w:snapToGrid w:val="0"/>
          <w:kern w:val="0"/>
          <w:sz w:val="28"/>
          <w:szCs w:val="28"/>
          <w:lang w:val="en-US" w:eastAsia="zh-CN"/>
        </w:rPr>
        <w:t>镇党政领导，存档</w:t>
      </w:r>
      <w:r>
        <w:rPr>
          <w:rFonts w:hint="eastAsia" w:ascii="仿宋_GB2312" w:hAnsi="仿宋_GB2312" w:eastAsia="仿宋_GB2312" w:cs="仿宋_GB2312"/>
          <w:snapToGrid w:val="0"/>
          <w:kern w:val="0"/>
          <w:sz w:val="28"/>
          <w:szCs w:val="28"/>
          <w:lang w:val="en-US" w:eastAsia="zh-CN"/>
        </w:rPr>
        <w:t>⑵</w:t>
      </w:r>
      <w:r>
        <w:rPr>
          <w:rFonts w:hint="eastAsia" w:ascii="仿宋_GB2312" w:eastAsia="仿宋_GB2312"/>
          <w:snapToGrid w:val="0"/>
          <w:kern w:val="0"/>
          <w:sz w:val="28"/>
          <w:szCs w:val="28"/>
        </w:rPr>
        <w:t>。</w:t>
      </w:r>
    </w:p>
    <w:p>
      <w:pPr>
        <w:spacing w:line="600" w:lineRule="exact"/>
        <w:rPr>
          <w:rFonts w:hint="eastAsia" w:ascii="仿宋" w:hAnsi="仿宋" w:eastAsia="仿宋" w:cs="仿宋"/>
          <w:sz w:val="28"/>
          <w:szCs w:val="28"/>
        </w:rPr>
      </w:pPr>
      <w:r>
        <w:rPr>
          <w:rFonts w:hint="eastAsia" w:ascii="仿宋" w:hAnsi="仿宋" w:eastAsia="仿宋" w:cs="仿宋"/>
          <w:sz w:val="28"/>
          <w:szCs w:val="28"/>
          <w:lang w:val="en-US"/>
        </w:rPr>
        <mc:AlternateContent>
          <mc:Choice Requires="wps">
            <w:drawing>
              <wp:anchor distT="0" distB="0" distL="114300" distR="114300" simplePos="0" relativeHeight="251658240" behindDoc="0" locked="0" layoutInCell="1" allowOverlap="1">
                <wp:simplePos x="0" y="0"/>
                <wp:positionH relativeFrom="column">
                  <wp:posOffset>-109855</wp:posOffset>
                </wp:positionH>
                <wp:positionV relativeFrom="paragraph">
                  <wp:posOffset>15875</wp:posOffset>
                </wp:positionV>
                <wp:extent cx="5611495" cy="0"/>
                <wp:effectExtent l="0" t="0" r="0" b="0"/>
                <wp:wrapNone/>
                <wp:docPr id="2" name="直线 4"/>
                <wp:cNvGraphicFramePr/>
                <a:graphic xmlns:a="http://schemas.openxmlformats.org/drawingml/2006/main">
                  <a:graphicData uri="http://schemas.microsoft.com/office/word/2010/wordprocessingShape">
                    <wps:wsp>
                      <wps:cNvCnPr/>
                      <wps:spPr>
                        <a:xfrm>
                          <a:off x="0" y="0"/>
                          <a:ext cx="56114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8.65pt;margin-top:1.25pt;height:0pt;width:441.85pt;z-index:251658240;mso-width-relative:page;mso-height-relative:page;" filled="f" stroked="t" coordsize="21600,21600" o:gfxdata="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XAasI1QAAAAcBAAAPAAAAAAAAAAEAIAAAACIAAABkcnMv&#10;ZG93bnJldi54bWxQSwECFAAUAAAACACHTuJAiCJax80BAACNAwAADgAAAAAAAAABACAAAAAkAQAA&#10;ZHJzL2Uyb0RvYy54bWxQSwUGAAAAAAYABgBZAQAAYwUAAAAA&#10;">
                <v:fill on="f" focussize="0,0"/>
                <v:stroke color="#000000" joinstyle="round"/>
                <v:imagedata o:title=""/>
                <o:lock v:ext="edit" aspectratio="f"/>
              </v:line>
            </w:pict>
          </mc:Fallback>
        </mc:AlternateContent>
      </w:r>
      <w:r>
        <w:rPr>
          <w:rFonts w:hint="eastAsia" w:ascii="仿宋" w:hAnsi="仿宋" w:eastAsia="仿宋" w:cs="仿宋"/>
          <w:sz w:val="28"/>
          <w:szCs w:val="28"/>
          <w:lang w:val="en-US"/>
        </w:rPr>
        <mc:AlternateContent>
          <mc:Choice Requires="wps">
            <w:drawing>
              <wp:anchor distT="0" distB="0" distL="114300" distR="114300" simplePos="0" relativeHeight="251658240" behindDoc="0" locked="0" layoutInCell="1" allowOverlap="1">
                <wp:simplePos x="0" y="0"/>
                <wp:positionH relativeFrom="column">
                  <wp:posOffset>-104140</wp:posOffset>
                </wp:positionH>
                <wp:positionV relativeFrom="paragraph">
                  <wp:posOffset>400050</wp:posOffset>
                </wp:positionV>
                <wp:extent cx="5611495" cy="0"/>
                <wp:effectExtent l="0" t="0" r="0" b="0"/>
                <wp:wrapNone/>
                <wp:docPr id="3" name="直线 5"/>
                <wp:cNvGraphicFramePr/>
                <a:graphic xmlns:a="http://schemas.openxmlformats.org/drawingml/2006/main">
                  <a:graphicData uri="http://schemas.microsoft.com/office/word/2010/wordprocessingShape">
                    <wps:wsp>
                      <wps:cNvCnPr/>
                      <wps:spPr>
                        <a:xfrm>
                          <a:off x="0" y="0"/>
                          <a:ext cx="56114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8.2pt;margin-top:31.5pt;height:0pt;width:441.85pt;z-index:251658240;mso-width-relative:page;mso-height-relative:page;" filled="f" stroked="t" coordsize="21600,21600" o:gfxdata="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6icr9YAAAAJAQAADwAAAAAAAAABACAAAAAiAAAAZHJz&#10;L2Rvd25yZXYueG1sUEsBAhQAFAAAAAgAh07iQIH7LKDNAQAAjQMAAA4AAAAAAAAAAQAgAAAAJQEA&#10;AGRycy9lMm9Eb2MueG1sUEsFBgAAAAAGAAYAWQEAAGQFAAAAAA==&#10;">
                <v:fill on="f" focussize="0,0"/>
                <v:stroke color="#000000" joinstyle="round"/>
                <v:imagedata o:title=""/>
                <o:lock v:ext="edit" aspectratio="f"/>
              </v:line>
            </w:pict>
          </mc:Fallback>
        </mc:AlternateContent>
      </w:r>
      <w:r>
        <w:rPr>
          <w:rFonts w:hint="eastAsia" w:ascii="仿宋" w:hAnsi="仿宋" w:eastAsia="仿宋" w:cs="仿宋"/>
          <w:sz w:val="28"/>
          <w:szCs w:val="28"/>
          <w:lang w:val="en-US" w:eastAsia="zh-CN"/>
        </w:rPr>
        <w:t>小岞镇党政办公室</w:t>
      </w:r>
      <w:r>
        <w:rPr>
          <w:rFonts w:hint="eastAsia" w:ascii="仿宋" w:hAnsi="仿宋" w:eastAsia="仿宋" w:cs="仿宋"/>
          <w:snapToGrid w:val="0"/>
          <w:kern w:val="0"/>
          <w:sz w:val="28"/>
          <w:szCs w:val="28"/>
        </w:rPr>
        <w:t xml:space="preserve">             </w:t>
      </w:r>
      <w:r>
        <w:rPr>
          <w:rFonts w:hint="eastAsia" w:ascii="仿宋" w:hAnsi="仿宋" w:eastAsia="仿宋" w:cs="仿宋"/>
          <w:snapToGrid w:val="0"/>
          <w:kern w:val="0"/>
          <w:sz w:val="28"/>
          <w:szCs w:val="28"/>
          <w:lang w:val="en-US" w:eastAsia="zh-CN"/>
        </w:rPr>
        <w:t xml:space="preserve">        </w:t>
      </w:r>
      <w:r>
        <w:rPr>
          <w:rFonts w:hint="eastAsia" w:ascii="仿宋" w:hAnsi="仿宋" w:eastAsia="仿宋" w:cs="仿宋"/>
          <w:snapToGrid w:val="0"/>
          <w:kern w:val="0"/>
          <w:sz w:val="28"/>
          <w:szCs w:val="28"/>
        </w:rPr>
        <w:t xml:space="preserve">  2019年</w:t>
      </w:r>
      <w:r>
        <w:rPr>
          <w:rFonts w:hint="eastAsia" w:ascii="仿宋" w:hAnsi="仿宋" w:eastAsia="仿宋" w:cs="仿宋"/>
          <w:snapToGrid w:val="0"/>
          <w:kern w:val="0"/>
          <w:sz w:val="28"/>
          <w:szCs w:val="28"/>
          <w:lang w:val="en-US" w:eastAsia="zh-CN"/>
        </w:rPr>
        <w:t>6</w:t>
      </w:r>
      <w:r>
        <w:rPr>
          <w:rFonts w:hint="eastAsia" w:ascii="仿宋" w:hAnsi="仿宋" w:eastAsia="仿宋" w:cs="仿宋"/>
          <w:snapToGrid w:val="0"/>
          <w:kern w:val="0"/>
          <w:sz w:val="28"/>
          <w:szCs w:val="28"/>
        </w:rPr>
        <w:t>月</w:t>
      </w:r>
      <w:r>
        <w:rPr>
          <w:rFonts w:hint="eastAsia" w:ascii="仿宋" w:hAnsi="仿宋" w:eastAsia="仿宋" w:cs="仿宋"/>
          <w:snapToGrid w:val="0"/>
          <w:kern w:val="0"/>
          <w:sz w:val="28"/>
          <w:szCs w:val="28"/>
          <w:lang w:val="en-US" w:eastAsia="zh-CN"/>
        </w:rPr>
        <w:t>24</w:t>
      </w:r>
      <w:r>
        <w:rPr>
          <w:rFonts w:hint="eastAsia" w:ascii="仿宋" w:hAnsi="仿宋" w:eastAsia="仿宋" w:cs="仿宋"/>
          <w:snapToGrid w:val="0"/>
          <w:kern w:val="0"/>
          <w:sz w:val="28"/>
          <w:szCs w:val="28"/>
        </w:rPr>
        <w:t>日印发</w:t>
      </w:r>
    </w:p>
    <w:sectPr>
      <w:footerReference r:id="rId11" w:type="default"/>
      <w:footerReference r:id="rId12" w:type="even"/>
      <w:pgSz w:w="11906" w:h="16838"/>
      <w:pgMar w:top="1134" w:right="1701" w:bottom="1134" w:left="1701" w:header="851" w:footer="992" w:gutter="0"/>
      <w:pgNumType w:fmt="numberInDash"/>
      <w:cols w:space="720" w:num="1"/>
      <w:docGrid w:type="lines" w:linePitch="610" w:charSpace="-33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黑体简体">
    <w:altName w:val="黑体"/>
    <w:panose1 w:val="00000000000000000000"/>
    <w:charset w:val="86"/>
    <w:family w:val="auto"/>
    <w:pitch w:val="default"/>
    <w:sig w:usb0="00000000" w:usb1="00000000" w:usb2="00000010" w:usb3="00000000" w:csb0="00040000" w:csb1="00000000"/>
  </w:font>
  <w:font w:name="方正仿宋简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0"/>
                              <w:rFonts w:ascii="宋体"/>
                              <w:color w:val="FFFFFF"/>
                              <w:sz w:val="28"/>
                              <w:szCs w:val="28"/>
                            </w:rPr>
                          </w:pPr>
                          <w:r>
                            <w:rPr>
                              <w:rFonts w:hint="eastAsia" w:ascii="宋体" w:hAnsi="宋体"/>
                              <w:color w:val="FFFFFF"/>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- 9 -</w:t>
                          </w:r>
                          <w:r>
                            <w:rPr>
                              <w:rStyle w:val="10"/>
                              <w:rFonts w:ascii="宋体" w:hAnsi="宋体"/>
                              <w:sz w:val="28"/>
                              <w:szCs w:val="28"/>
                            </w:rPr>
                            <w:fldChar w:fldCharType="end"/>
                          </w:r>
                          <w:r>
                            <w:rPr>
                              <w:rFonts w:hint="eastAsia" w:ascii="宋体" w:hAnsi="宋体"/>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Style w:val="10"/>
                        <w:rFonts w:ascii="宋体"/>
                        <w:color w:val="FFFFFF"/>
                        <w:sz w:val="28"/>
                        <w:szCs w:val="28"/>
                      </w:rPr>
                    </w:pPr>
                    <w:r>
                      <w:rPr>
                        <w:rFonts w:hint="eastAsia" w:ascii="宋体" w:hAnsi="宋体"/>
                        <w:color w:val="FFFFFF"/>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- 9 -</w:t>
                    </w:r>
                    <w:r>
                      <w:rPr>
                        <w:rStyle w:val="10"/>
                        <w:rFonts w:ascii="宋体" w:hAnsi="宋体"/>
                        <w:sz w:val="28"/>
                        <w:szCs w:val="28"/>
                      </w:rPr>
                      <w:fldChar w:fldCharType="end"/>
                    </w:r>
                    <w:r>
                      <w:rPr>
                        <w:rFonts w:hint="eastAsia" w:ascii="宋体" w:hAnsi="宋体"/>
                        <w:color w:val="FFFFFF"/>
                        <w:sz w:val="28"/>
                        <w:szCs w:val="28"/>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0"/>
                              <w:rFonts w:asciiTheme="minorEastAsia" w:hAnsiTheme="minorEastAsia" w:eastAsiaTheme="minorEastAsia"/>
                              <w:sz w:val="28"/>
                              <w:szCs w:val="28"/>
                            </w:rPr>
                          </w:pPr>
                          <w:r>
                            <w:rPr>
                              <w:rStyle w:val="10"/>
                              <w:rFonts w:hint="eastAsia" w:asciiTheme="minorEastAsia" w:hAnsiTheme="minorEastAsia" w:eastAsiaTheme="minorEastAsia"/>
                              <w:color w:val="FFFFFF" w:themeColor="background1"/>
                              <w:sz w:val="28"/>
                              <w:szCs w:val="28"/>
                              <w14:textFill>
                                <w14:solidFill>
                                  <w14:schemeClr w14:val="bg1"/>
                                </w14:solidFill>
                              </w14:textFill>
                            </w:rPr>
                            <w:t>□</w:t>
                          </w:r>
                          <w:r>
                            <w:rPr>
                              <w:rStyle w:val="10"/>
                              <w:rFonts w:asciiTheme="minorEastAsia" w:hAnsiTheme="minorEastAsia" w:eastAsiaTheme="minorEastAsia"/>
                              <w:sz w:val="28"/>
                              <w:szCs w:val="28"/>
                            </w:rPr>
                            <w:fldChar w:fldCharType="begin"/>
                          </w:r>
                          <w:r>
                            <w:rPr>
                              <w:rStyle w:val="10"/>
                              <w:rFonts w:asciiTheme="minorEastAsia" w:hAnsiTheme="minorEastAsia" w:eastAsiaTheme="minorEastAsia"/>
                              <w:sz w:val="28"/>
                              <w:szCs w:val="28"/>
                            </w:rPr>
                            <w:instrText xml:space="preserve">PAGE  </w:instrText>
                          </w:r>
                          <w:r>
                            <w:rPr>
                              <w:rStyle w:val="10"/>
                              <w:rFonts w:asciiTheme="minorEastAsia" w:hAnsiTheme="minorEastAsia" w:eastAsiaTheme="minorEastAsia"/>
                              <w:sz w:val="28"/>
                              <w:szCs w:val="28"/>
                            </w:rPr>
                            <w:fldChar w:fldCharType="separate"/>
                          </w:r>
                          <w:r>
                            <w:rPr>
                              <w:rStyle w:val="10"/>
                              <w:rFonts w:asciiTheme="minorEastAsia" w:hAnsiTheme="minorEastAsia" w:eastAsiaTheme="minorEastAsia"/>
                              <w:sz w:val="28"/>
                              <w:szCs w:val="28"/>
                            </w:rPr>
                            <w:t>- 10 -</w:t>
                          </w:r>
                          <w:r>
                            <w:rPr>
                              <w:rStyle w:val="10"/>
                              <w:rFonts w:asciiTheme="minorEastAsia" w:hAnsiTheme="minorEastAsia" w:eastAsia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Style w:val="10"/>
                        <w:rFonts w:asciiTheme="minorEastAsia" w:hAnsiTheme="minorEastAsia" w:eastAsiaTheme="minorEastAsia"/>
                        <w:sz w:val="28"/>
                        <w:szCs w:val="28"/>
                      </w:rPr>
                    </w:pPr>
                    <w:r>
                      <w:rPr>
                        <w:rStyle w:val="10"/>
                        <w:rFonts w:hint="eastAsia" w:asciiTheme="minorEastAsia" w:hAnsiTheme="minorEastAsia" w:eastAsiaTheme="minorEastAsia"/>
                        <w:color w:val="FFFFFF" w:themeColor="background1"/>
                        <w:sz w:val="28"/>
                        <w:szCs w:val="28"/>
                        <w14:textFill>
                          <w14:solidFill>
                            <w14:schemeClr w14:val="bg1"/>
                          </w14:solidFill>
                        </w14:textFill>
                      </w:rPr>
                      <w:t>□</w:t>
                    </w:r>
                    <w:r>
                      <w:rPr>
                        <w:rStyle w:val="10"/>
                        <w:rFonts w:asciiTheme="minorEastAsia" w:hAnsiTheme="minorEastAsia" w:eastAsiaTheme="minorEastAsia"/>
                        <w:sz w:val="28"/>
                        <w:szCs w:val="28"/>
                      </w:rPr>
                      <w:fldChar w:fldCharType="begin"/>
                    </w:r>
                    <w:r>
                      <w:rPr>
                        <w:rStyle w:val="10"/>
                        <w:rFonts w:asciiTheme="minorEastAsia" w:hAnsiTheme="minorEastAsia" w:eastAsiaTheme="minorEastAsia"/>
                        <w:sz w:val="28"/>
                        <w:szCs w:val="28"/>
                      </w:rPr>
                      <w:instrText xml:space="preserve">PAGE  </w:instrText>
                    </w:r>
                    <w:r>
                      <w:rPr>
                        <w:rStyle w:val="10"/>
                        <w:rFonts w:asciiTheme="minorEastAsia" w:hAnsiTheme="minorEastAsia" w:eastAsiaTheme="minorEastAsia"/>
                        <w:sz w:val="28"/>
                        <w:szCs w:val="28"/>
                      </w:rPr>
                      <w:fldChar w:fldCharType="separate"/>
                    </w:r>
                    <w:r>
                      <w:rPr>
                        <w:rStyle w:val="10"/>
                        <w:rFonts w:asciiTheme="minorEastAsia" w:hAnsiTheme="minorEastAsia" w:eastAsiaTheme="minorEastAsia"/>
                        <w:sz w:val="28"/>
                        <w:szCs w:val="28"/>
                      </w:rPr>
                      <w:t>- 10 -</w:t>
                    </w:r>
                    <w:r>
                      <w:rPr>
                        <w:rStyle w:val="10"/>
                        <w:rFonts w:asciiTheme="minorEastAsia" w:hAnsiTheme="minorEastAsia" w:eastAsia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- 35 -</w:t>
    </w:r>
    <w:r>
      <w:rPr>
        <w:rStyle w:val="10"/>
        <w:rFonts w:ascii="宋体" w:hAnsi="宋体"/>
        <w:sz w:val="28"/>
        <w:szCs w:val="28"/>
      </w:rPr>
      <w:fldChar w:fldCharType="end"/>
    </w:r>
    <w:r>
      <w:rPr>
        <w:rStyle w:val="10"/>
        <w:rFonts w:hint="eastAsia" w:ascii="宋体" w:hAnsi="宋体"/>
        <w:color w:val="FFFFFF"/>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0"/>
                              <w:sz w:val="24"/>
                              <w:szCs w:val="24"/>
                            </w:rPr>
                          </w:pPr>
                          <w:r>
                            <w:rPr>
                              <w:rStyle w:val="10"/>
                              <w:rFonts w:hint="eastAsia" w:ascii="宋体" w:hAnsi="宋体"/>
                              <w:color w:val="FFFFFF"/>
                              <w:sz w:val="24"/>
                              <w:szCs w:val="24"/>
                            </w:rPr>
                            <w:t>□</w:t>
                          </w:r>
                          <w:r>
                            <w:rPr>
                              <w:rStyle w:val="10"/>
                              <w:rFonts w:ascii="宋体" w:hAnsi="宋体"/>
                              <w:color w:val="FFFFFF"/>
                              <w:sz w:val="24"/>
                              <w:szCs w:val="24"/>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- 31 -</w:t>
                          </w:r>
                          <w:r>
                            <w:rPr>
                              <w:rStyle w:val="10"/>
                              <w:rFonts w:ascii="宋体" w:hAnsi="宋体"/>
                              <w:sz w:val="28"/>
                              <w:szCs w:val="28"/>
                            </w:rPr>
                            <w:fldChar w:fldCharType="end"/>
                          </w:r>
                          <w:r>
                            <w:rPr>
                              <w:rStyle w:val="10"/>
                              <w:rFonts w:hint="eastAsia" w:ascii="宋体" w:hAnsi="宋体"/>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
                      <w:rPr>
                        <w:rStyle w:val="10"/>
                        <w:sz w:val="24"/>
                        <w:szCs w:val="24"/>
                      </w:rPr>
                    </w:pPr>
                    <w:r>
                      <w:rPr>
                        <w:rStyle w:val="10"/>
                        <w:rFonts w:hint="eastAsia" w:ascii="宋体" w:hAnsi="宋体"/>
                        <w:color w:val="FFFFFF"/>
                        <w:sz w:val="24"/>
                        <w:szCs w:val="24"/>
                      </w:rPr>
                      <w:t>□</w:t>
                    </w:r>
                    <w:r>
                      <w:rPr>
                        <w:rStyle w:val="10"/>
                        <w:rFonts w:ascii="宋体" w:hAnsi="宋体"/>
                        <w:color w:val="FFFFFF"/>
                        <w:sz w:val="24"/>
                        <w:szCs w:val="24"/>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- 31 -</w:t>
                    </w:r>
                    <w:r>
                      <w:rPr>
                        <w:rStyle w:val="10"/>
                        <w:rFonts w:ascii="宋体" w:hAnsi="宋体"/>
                        <w:sz w:val="28"/>
                        <w:szCs w:val="28"/>
                      </w:rPr>
                      <w:fldChar w:fldCharType="end"/>
                    </w:r>
                    <w:r>
                      <w:rPr>
                        <w:rStyle w:val="10"/>
                        <w:rFonts w:hint="eastAsia" w:ascii="宋体" w:hAnsi="宋体"/>
                        <w:color w:val="FFFFFF"/>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0"/>
                              <w:rFonts w:asciiTheme="majorEastAsia" w:hAnsiTheme="majorEastAsia" w:eastAsiaTheme="majorEastAsia"/>
                              <w:sz w:val="28"/>
                              <w:szCs w:val="28"/>
                            </w:rPr>
                          </w:pPr>
                          <w:r>
                            <w:rPr>
                              <w:rStyle w:val="10"/>
                              <w:rFonts w:hint="eastAsia" w:asciiTheme="majorEastAsia" w:hAnsiTheme="majorEastAsia" w:eastAsiaTheme="majorEastAsia"/>
                              <w:color w:val="FFFFFF" w:themeColor="background1"/>
                              <w:sz w:val="28"/>
                              <w:szCs w:val="28"/>
                              <w14:textFill>
                                <w14:solidFill>
                                  <w14:schemeClr w14:val="bg1"/>
                                </w14:solidFill>
                              </w14:textFill>
                            </w:rPr>
                            <w:t>□</w:t>
                          </w:r>
                          <w:r>
                            <w:rPr>
                              <w:rStyle w:val="10"/>
                              <w:rFonts w:asciiTheme="majorEastAsia" w:hAnsiTheme="majorEastAsia" w:eastAsiaTheme="majorEastAsia"/>
                              <w:sz w:val="28"/>
                              <w:szCs w:val="28"/>
                            </w:rPr>
                            <w:fldChar w:fldCharType="begin"/>
                          </w:r>
                          <w:r>
                            <w:rPr>
                              <w:rStyle w:val="10"/>
                              <w:rFonts w:asciiTheme="majorEastAsia" w:hAnsiTheme="majorEastAsia" w:eastAsiaTheme="majorEastAsia"/>
                              <w:sz w:val="28"/>
                              <w:szCs w:val="28"/>
                            </w:rPr>
                            <w:instrText xml:space="preserve">PAGE  </w:instrText>
                          </w:r>
                          <w:r>
                            <w:rPr>
                              <w:rStyle w:val="10"/>
                              <w:rFonts w:asciiTheme="majorEastAsia" w:hAnsiTheme="majorEastAsia" w:eastAsiaTheme="majorEastAsia"/>
                              <w:sz w:val="28"/>
                              <w:szCs w:val="28"/>
                            </w:rPr>
                            <w:fldChar w:fldCharType="separate"/>
                          </w:r>
                          <w:r>
                            <w:rPr>
                              <w:rStyle w:val="10"/>
                              <w:rFonts w:asciiTheme="majorEastAsia" w:hAnsiTheme="majorEastAsia" w:eastAsiaTheme="majorEastAsia"/>
                              <w:sz w:val="28"/>
                              <w:szCs w:val="28"/>
                            </w:rPr>
                            <w:t>- 34 -</w:t>
                          </w:r>
                          <w:r>
                            <w:rPr>
                              <w:rStyle w:val="10"/>
                              <w:rFonts w:asciiTheme="majorEastAsia" w:hAnsiTheme="majorEastAsia" w:eastAsia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4"/>
                      <w:rPr>
                        <w:rStyle w:val="10"/>
                        <w:rFonts w:asciiTheme="majorEastAsia" w:hAnsiTheme="majorEastAsia" w:eastAsiaTheme="majorEastAsia"/>
                        <w:sz w:val="28"/>
                        <w:szCs w:val="28"/>
                      </w:rPr>
                    </w:pPr>
                    <w:r>
                      <w:rPr>
                        <w:rStyle w:val="10"/>
                        <w:rFonts w:hint="eastAsia" w:asciiTheme="majorEastAsia" w:hAnsiTheme="majorEastAsia" w:eastAsiaTheme="majorEastAsia"/>
                        <w:color w:val="FFFFFF" w:themeColor="background1"/>
                        <w:sz w:val="28"/>
                        <w:szCs w:val="28"/>
                        <w14:textFill>
                          <w14:solidFill>
                            <w14:schemeClr w14:val="bg1"/>
                          </w14:solidFill>
                        </w14:textFill>
                      </w:rPr>
                      <w:t>□</w:t>
                    </w:r>
                    <w:r>
                      <w:rPr>
                        <w:rStyle w:val="10"/>
                        <w:rFonts w:asciiTheme="majorEastAsia" w:hAnsiTheme="majorEastAsia" w:eastAsiaTheme="majorEastAsia"/>
                        <w:sz w:val="28"/>
                        <w:szCs w:val="28"/>
                      </w:rPr>
                      <w:fldChar w:fldCharType="begin"/>
                    </w:r>
                    <w:r>
                      <w:rPr>
                        <w:rStyle w:val="10"/>
                        <w:rFonts w:asciiTheme="majorEastAsia" w:hAnsiTheme="majorEastAsia" w:eastAsiaTheme="majorEastAsia"/>
                        <w:sz w:val="28"/>
                        <w:szCs w:val="28"/>
                      </w:rPr>
                      <w:instrText xml:space="preserve">PAGE  </w:instrText>
                    </w:r>
                    <w:r>
                      <w:rPr>
                        <w:rStyle w:val="10"/>
                        <w:rFonts w:asciiTheme="majorEastAsia" w:hAnsiTheme="majorEastAsia" w:eastAsiaTheme="majorEastAsia"/>
                        <w:sz w:val="28"/>
                        <w:szCs w:val="28"/>
                      </w:rPr>
                      <w:fldChar w:fldCharType="separate"/>
                    </w:r>
                    <w:r>
                      <w:rPr>
                        <w:rStyle w:val="10"/>
                        <w:rFonts w:asciiTheme="majorEastAsia" w:hAnsiTheme="majorEastAsia" w:eastAsiaTheme="majorEastAsia"/>
                        <w:sz w:val="28"/>
                        <w:szCs w:val="28"/>
                      </w:rPr>
                      <w:t>- 34 -</w:t>
                    </w:r>
                    <w:r>
                      <w:rPr>
                        <w:rStyle w:val="10"/>
                        <w:rFonts w:asciiTheme="majorEastAsia" w:hAnsiTheme="majorEastAsia" w:eastAsiaTheme="maj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right="480"/>
                            <w:rPr>
                              <w:rStyle w:val="10"/>
                              <w:sz w:val="24"/>
                              <w:szCs w:val="24"/>
                            </w:rPr>
                          </w:pPr>
                          <w:r>
                            <w:rPr>
                              <w:rStyle w:val="10"/>
                              <w:rFonts w:hint="eastAsia" w:ascii="宋体" w:hAnsi="宋体"/>
                              <w:color w:val="FFFFFF" w:themeColor="background1"/>
                              <w:sz w:val="28"/>
                              <w:szCs w:val="28"/>
                              <w14:textFill>
                                <w14:solidFill>
                                  <w14:schemeClr w14:val="bg1"/>
                                </w14:solidFill>
                              </w14:textFill>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- 33 -</w:t>
                          </w:r>
                          <w:r>
                            <w:rPr>
                              <w:rStyle w:val="10"/>
                              <w:rFonts w:ascii="宋体" w:hAnsi="宋体"/>
                              <w:sz w:val="28"/>
                              <w:szCs w:val="28"/>
                            </w:rPr>
                            <w:fldChar w:fldCharType="end"/>
                          </w:r>
                          <w:r>
                            <w:rPr>
                              <w:rStyle w:val="10"/>
                              <w:rFonts w:hint="eastAsia" w:ascii="宋体" w:hAnsi="宋体"/>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ind w:right="480"/>
                      <w:rPr>
                        <w:rStyle w:val="10"/>
                        <w:sz w:val="24"/>
                        <w:szCs w:val="24"/>
                      </w:rPr>
                    </w:pPr>
                    <w:r>
                      <w:rPr>
                        <w:rStyle w:val="10"/>
                        <w:rFonts w:hint="eastAsia" w:ascii="宋体" w:hAnsi="宋体"/>
                        <w:color w:val="FFFFFF" w:themeColor="background1"/>
                        <w:sz w:val="28"/>
                        <w:szCs w:val="28"/>
                        <w14:textFill>
                          <w14:solidFill>
                            <w14:schemeClr w14:val="bg1"/>
                          </w14:solidFill>
                        </w14:textFill>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- 33 -</w:t>
                    </w:r>
                    <w:r>
                      <w:rPr>
                        <w:rStyle w:val="10"/>
                        <w:rFonts w:ascii="宋体" w:hAnsi="宋体"/>
                        <w:sz w:val="28"/>
                        <w:szCs w:val="28"/>
                      </w:rPr>
                      <w:fldChar w:fldCharType="end"/>
                    </w:r>
                    <w:r>
                      <w:rPr>
                        <w:rStyle w:val="10"/>
                        <w:rFonts w:hint="eastAsia" w:ascii="宋体" w:hAnsi="宋体"/>
                        <w:color w:val="FFFFFF"/>
                        <w:sz w:val="28"/>
                        <w:szCs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- 33 -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- 33 -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- 35 -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- 35 -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F128F"/>
    <w:multiLevelType w:val="multilevel"/>
    <w:tmpl w:val="6DAF128F"/>
    <w:lvl w:ilvl="0" w:tentative="0">
      <w:start w:val="1"/>
      <w:numFmt w:val="decimal"/>
      <w:lvlText w:val="%1"/>
      <w:lvlJc w:val="left"/>
      <w:pPr>
        <w:tabs>
          <w:tab w:val="left" w:pos="0"/>
        </w:tabs>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evenAndOddHeaders w:val="1"/>
  <w:drawingGridHorizontalSpacing w:val="16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DB4"/>
    <w:rsid w:val="00000058"/>
    <w:rsid w:val="000000C3"/>
    <w:rsid w:val="00012338"/>
    <w:rsid w:val="00016E9A"/>
    <w:rsid w:val="00020A91"/>
    <w:rsid w:val="0002192F"/>
    <w:rsid w:val="00022DF1"/>
    <w:rsid w:val="00032015"/>
    <w:rsid w:val="00047297"/>
    <w:rsid w:val="00051D87"/>
    <w:rsid w:val="000523C0"/>
    <w:rsid w:val="00053AA9"/>
    <w:rsid w:val="000715A1"/>
    <w:rsid w:val="0007385A"/>
    <w:rsid w:val="00073EE3"/>
    <w:rsid w:val="00080270"/>
    <w:rsid w:val="00081574"/>
    <w:rsid w:val="0008271F"/>
    <w:rsid w:val="00082E41"/>
    <w:rsid w:val="0009534B"/>
    <w:rsid w:val="00097D80"/>
    <w:rsid w:val="000A0E7F"/>
    <w:rsid w:val="000A33E9"/>
    <w:rsid w:val="000A4702"/>
    <w:rsid w:val="000A4D8D"/>
    <w:rsid w:val="000A7322"/>
    <w:rsid w:val="000C19E6"/>
    <w:rsid w:val="000C5F94"/>
    <w:rsid w:val="000C649B"/>
    <w:rsid w:val="000C65AC"/>
    <w:rsid w:val="000C6C9D"/>
    <w:rsid w:val="000D0AF1"/>
    <w:rsid w:val="000D3988"/>
    <w:rsid w:val="000D3BDC"/>
    <w:rsid w:val="000D4D57"/>
    <w:rsid w:val="000E149D"/>
    <w:rsid w:val="000E153B"/>
    <w:rsid w:val="000E22A8"/>
    <w:rsid w:val="000E78F8"/>
    <w:rsid w:val="000E7D17"/>
    <w:rsid w:val="000F2821"/>
    <w:rsid w:val="000F5D28"/>
    <w:rsid w:val="0010492D"/>
    <w:rsid w:val="00105D9B"/>
    <w:rsid w:val="001124C0"/>
    <w:rsid w:val="00114FCF"/>
    <w:rsid w:val="00117B68"/>
    <w:rsid w:val="00124158"/>
    <w:rsid w:val="0012440D"/>
    <w:rsid w:val="00140944"/>
    <w:rsid w:val="00143660"/>
    <w:rsid w:val="00146BD0"/>
    <w:rsid w:val="00147F02"/>
    <w:rsid w:val="00150731"/>
    <w:rsid w:val="001551DD"/>
    <w:rsid w:val="001634B7"/>
    <w:rsid w:val="00165509"/>
    <w:rsid w:val="0016590E"/>
    <w:rsid w:val="00165C27"/>
    <w:rsid w:val="00177236"/>
    <w:rsid w:val="001A3B87"/>
    <w:rsid w:val="001A40CF"/>
    <w:rsid w:val="001A5F9A"/>
    <w:rsid w:val="001A79F4"/>
    <w:rsid w:val="001B01E9"/>
    <w:rsid w:val="001B7680"/>
    <w:rsid w:val="001B7775"/>
    <w:rsid w:val="001B7D93"/>
    <w:rsid w:val="001C5680"/>
    <w:rsid w:val="001D04D0"/>
    <w:rsid w:val="001D0969"/>
    <w:rsid w:val="001D1945"/>
    <w:rsid w:val="001D4CD1"/>
    <w:rsid w:val="001D7245"/>
    <w:rsid w:val="001E4087"/>
    <w:rsid w:val="001F5165"/>
    <w:rsid w:val="00200BE9"/>
    <w:rsid w:val="00201D7D"/>
    <w:rsid w:val="00203995"/>
    <w:rsid w:val="00203F03"/>
    <w:rsid w:val="0020420F"/>
    <w:rsid w:val="002052F6"/>
    <w:rsid w:val="002065C2"/>
    <w:rsid w:val="0021593A"/>
    <w:rsid w:val="00223743"/>
    <w:rsid w:val="00224692"/>
    <w:rsid w:val="002275F4"/>
    <w:rsid w:val="002341D2"/>
    <w:rsid w:val="00236705"/>
    <w:rsid w:val="00240965"/>
    <w:rsid w:val="00241DE7"/>
    <w:rsid w:val="00245C01"/>
    <w:rsid w:val="002504AD"/>
    <w:rsid w:val="00252D09"/>
    <w:rsid w:val="002606F8"/>
    <w:rsid w:val="00271A84"/>
    <w:rsid w:val="002722E4"/>
    <w:rsid w:val="00277380"/>
    <w:rsid w:val="00277FDF"/>
    <w:rsid w:val="00280C6A"/>
    <w:rsid w:val="00285A3E"/>
    <w:rsid w:val="00285F38"/>
    <w:rsid w:val="00287C96"/>
    <w:rsid w:val="002922B7"/>
    <w:rsid w:val="00293DBC"/>
    <w:rsid w:val="00294A04"/>
    <w:rsid w:val="0029774A"/>
    <w:rsid w:val="002A2FE7"/>
    <w:rsid w:val="002B0424"/>
    <w:rsid w:val="002B4BAA"/>
    <w:rsid w:val="002C2120"/>
    <w:rsid w:val="002C2DDD"/>
    <w:rsid w:val="002D4432"/>
    <w:rsid w:val="002D5A91"/>
    <w:rsid w:val="002E2959"/>
    <w:rsid w:val="002F2BE6"/>
    <w:rsid w:val="002F4847"/>
    <w:rsid w:val="002F59E1"/>
    <w:rsid w:val="002F7DB0"/>
    <w:rsid w:val="003007A0"/>
    <w:rsid w:val="00300E15"/>
    <w:rsid w:val="003015EB"/>
    <w:rsid w:val="003025BF"/>
    <w:rsid w:val="00306F75"/>
    <w:rsid w:val="00313A64"/>
    <w:rsid w:val="0031570C"/>
    <w:rsid w:val="00316222"/>
    <w:rsid w:val="003162C7"/>
    <w:rsid w:val="003169CE"/>
    <w:rsid w:val="003222A3"/>
    <w:rsid w:val="0032339B"/>
    <w:rsid w:val="00324C03"/>
    <w:rsid w:val="00325768"/>
    <w:rsid w:val="00326DD0"/>
    <w:rsid w:val="00335A89"/>
    <w:rsid w:val="00336374"/>
    <w:rsid w:val="00336F21"/>
    <w:rsid w:val="00341381"/>
    <w:rsid w:val="00351DD8"/>
    <w:rsid w:val="00354305"/>
    <w:rsid w:val="00355E70"/>
    <w:rsid w:val="00361F05"/>
    <w:rsid w:val="00370B4B"/>
    <w:rsid w:val="00371722"/>
    <w:rsid w:val="00373739"/>
    <w:rsid w:val="00384367"/>
    <w:rsid w:val="00390FB0"/>
    <w:rsid w:val="0039449C"/>
    <w:rsid w:val="003973E8"/>
    <w:rsid w:val="00397989"/>
    <w:rsid w:val="003A12FD"/>
    <w:rsid w:val="003A3086"/>
    <w:rsid w:val="003A32EA"/>
    <w:rsid w:val="003A3DCE"/>
    <w:rsid w:val="003A4DBB"/>
    <w:rsid w:val="003A6888"/>
    <w:rsid w:val="003B14B3"/>
    <w:rsid w:val="003B435D"/>
    <w:rsid w:val="003C0066"/>
    <w:rsid w:val="003D060F"/>
    <w:rsid w:val="003D39E1"/>
    <w:rsid w:val="003E0625"/>
    <w:rsid w:val="003E20F9"/>
    <w:rsid w:val="003E2FA2"/>
    <w:rsid w:val="003E4586"/>
    <w:rsid w:val="003E599D"/>
    <w:rsid w:val="003E5D26"/>
    <w:rsid w:val="003F16E4"/>
    <w:rsid w:val="003F4453"/>
    <w:rsid w:val="00402E15"/>
    <w:rsid w:val="00403727"/>
    <w:rsid w:val="004044F0"/>
    <w:rsid w:val="00405FCA"/>
    <w:rsid w:val="0041379A"/>
    <w:rsid w:val="004145B1"/>
    <w:rsid w:val="00417DBD"/>
    <w:rsid w:val="00427673"/>
    <w:rsid w:val="0043056E"/>
    <w:rsid w:val="00431418"/>
    <w:rsid w:val="00434B92"/>
    <w:rsid w:val="00434CF6"/>
    <w:rsid w:val="00450A16"/>
    <w:rsid w:val="0045274C"/>
    <w:rsid w:val="00454229"/>
    <w:rsid w:val="004574A9"/>
    <w:rsid w:val="00463B10"/>
    <w:rsid w:val="00467F6D"/>
    <w:rsid w:val="00473304"/>
    <w:rsid w:val="00477335"/>
    <w:rsid w:val="00481C1B"/>
    <w:rsid w:val="00482E40"/>
    <w:rsid w:val="0048385D"/>
    <w:rsid w:val="00486144"/>
    <w:rsid w:val="00487849"/>
    <w:rsid w:val="00490839"/>
    <w:rsid w:val="00491442"/>
    <w:rsid w:val="00491D1F"/>
    <w:rsid w:val="00493E12"/>
    <w:rsid w:val="00493E2C"/>
    <w:rsid w:val="00497950"/>
    <w:rsid w:val="00497C5E"/>
    <w:rsid w:val="004A1334"/>
    <w:rsid w:val="004A3B7C"/>
    <w:rsid w:val="004A5B63"/>
    <w:rsid w:val="004A5C80"/>
    <w:rsid w:val="004A6931"/>
    <w:rsid w:val="004A69C2"/>
    <w:rsid w:val="004B1E02"/>
    <w:rsid w:val="004C0129"/>
    <w:rsid w:val="004D3837"/>
    <w:rsid w:val="004E1C33"/>
    <w:rsid w:val="004E2318"/>
    <w:rsid w:val="004F08C0"/>
    <w:rsid w:val="004F1988"/>
    <w:rsid w:val="004F4EF1"/>
    <w:rsid w:val="00506B04"/>
    <w:rsid w:val="00511F6E"/>
    <w:rsid w:val="00516284"/>
    <w:rsid w:val="00516FA9"/>
    <w:rsid w:val="005259F2"/>
    <w:rsid w:val="00532EED"/>
    <w:rsid w:val="00545160"/>
    <w:rsid w:val="005451E6"/>
    <w:rsid w:val="0054737D"/>
    <w:rsid w:val="00570A6E"/>
    <w:rsid w:val="00571849"/>
    <w:rsid w:val="005830B6"/>
    <w:rsid w:val="005834E4"/>
    <w:rsid w:val="0058386A"/>
    <w:rsid w:val="00584D3A"/>
    <w:rsid w:val="00585366"/>
    <w:rsid w:val="005877EB"/>
    <w:rsid w:val="00596D2A"/>
    <w:rsid w:val="00596DBC"/>
    <w:rsid w:val="005973AC"/>
    <w:rsid w:val="005A0B1E"/>
    <w:rsid w:val="005B4466"/>
    <w:rsid w:val="005B52C6"/>
    <w:rsid w:val="005B6D77"/>
    <w:rsid w:val="005C1D69"/>
    <w:rsid w:val="005C3A6B"/>
    <w:rsid w:val="005D0C92"/>
    <w:rsid w:val="005D18E8"/>
    <w:rsid w:val="005D42AA"/>
    <w:rsid w:val="005D665F"/>
    <w:rsid w:val="005E43B1"/>
    <w:rsid w:val="005F1DE0"/>
    <w:rsid w:val="005F3A1A"/>
    <w:rsid w:val="005F493F"/>
    <w:rsid w:val="0060583E"/>
    <w:rsid w:val="00606D58"/>
    <w:rsid w:val="00611EEE"/>
    <w:rsid w:val="006122F5"/>
    <w:rsid w:val="006173BC"/>
    <w:rsid w:val="00627061"/>
    <w:rsid w:val="006300E3"/>
    <w:rsid w:val="00637812"/>
    <w:rsid w:val="00640992"/>
    <w:rsid w:val="006572A5"/>
    <w:rsid w:val="00661A81"/>
    <w:rsid w:val="006641B1"/>
    <w:rsid w:val="00664DE0"/>
    <w:rsid w:val="00667720"/>
    <w:rsid w:val="00674057"/>
    <w:rsid w:val="00684A93"/>
    <w:rsid w:val="00691396"/>
    <w:rsid w:val="00691AE4"/>
    <w:rsid w:val="00692343"/>
    <w:rsid w:val="006974CA"/>
    <w:rsid w:val="006A2AA8"/>
    <w:rsid w:val="006A4992"/>
    <w:rsid w:val="006A6CD6"/>
    <w:rsid w:val="006C1C86"/>
    <w:rsid w:val="006C2215"/>
    <w:rsid w:val="006D1028"/>
    <w:rsid w:val="006E347C"/>
    <w:rsid w:val="006E3A60"/>
    <w:rsid w:val="006E54D0"/>
    <w:rsid w:val="006E6C16"/>
    <w:rsid w:val="006F314E"/>
    <w:rsid w:val="007045E5"/>
    <w:rsid w:val="007063D2"/>
    <w:rsid w:val="00707168"/>
    <w:rsid w:val="00707624"/>
    <w:rsid w:val="00710BEB"/>
    <w:rsid w:val="00710CB0"/>
    <w:rsid w:val="00712526"/>
    <w:rsid w:val="007143B7"/>
    <w:rsid w:val="007257C8"/>
    <w:rsid w:val="00737228"/>
    <w:rsid w:val="00737503"/>
    <w:rsid w:val="00737809"/>
    <w:rsid w:val="00747A2F"/>
    <w:rsid w:val="007507D6"/>
    <w:rsid w:val="0076056C"/>
    <w:rsid w:val="00763FED"/>
    <w:rsid w:val="00770844"/>
    <w:rsid w:val="0077104D"/>
    <w:rsid w:val="007771F9"/>
    <w:rsid w:val="00780D51"/>
    <w:rsid w:val="00780DB4"/>
    <w:rsid w:val="0078162D"/>
    <w:rsid w:val="00787564"/>
    <w:rsid w:val="00787B93"/>
    <w:rsid w:val="00792AF7"/>
    <w:rsid w:val="00797E9C"/>
    <w:rsid w:val="007A13D1"/>
    <w:rsid w:val="007A4BFD"/>
    <w:rsid w:val="007B0F67"/>
    <w:rsid w:val="007B5320"/>
    <w:rsid w:val="007B5518"/>
    <w:rsid w:val="007E55B8"/>
    <w:rsid w:val="007E65C1"/>
    <w:rsid w:val="007F5A29"/>
    <w:rsid w:val="007F7509"/>
    <w:rsid w:val="008002BA"/>
    <w:rsid w:val="00805027"/>
    <w:rsid w:val="00810351"/>
    <w:rsid w:val="008112CB"/>
    <w:rsid w:val="008125FE"/>
    <w:rsid w:val="00813368"/>
    <w:rsid w:val="00814AE4"/>
    <w:rsid w:val="00820B30"/>
    <w:rsid w:val="00822826"/>
    <w:rsid w:val="00822D6C"/>
    <w:rsid w:val="0082342A"/>
    <w:rsid w:val="00825F66"/>
    <w:rsid w:val="0082736A"/>
    <w:rsid w:val="00836D2B"/>
    <w:rsid w:val="008463DA"/>
    <w:rsid w:val="00847664"/>
    <w:rsid w:val="00852296"/>
    <w:rsid w:val="008537FE"/>
    <w:rsid w:val="00854810"/>
    <w:rsid w:val="00856340"/>
    <w:rsid w:val="00860777"/>
    <w:rsid w:val="00871E69"/>
    <w:rsid w:val="00872AA0"/>
    <w:rsid w:val="00875BE7"/>
    <w:rsid w:val="008767F8"/>
    <w:rsid w:val="008770CE"/>
    <w:rsid w:val="00881A0F"/>
    <w:rsid w:val="008830B7"/>
    <w:rsid w:val="008861A3"/>
    <w:rsid w:val="008861D9"/>
    <w:rsid w:val="00893D26"/>
    <w:rsid w:val="00894E3C"/>
    <w:rsid w:val="008975B8"/>
    <w:rsid w:val="008A246C"/>
    <w:rsid w:val="008B66A3"/>
    <w:rsid w:val="008B7DBA"/>
    <w:rsid w:val="008C027C"/>
    <w:rsid w:val="008C06D2"/>
    <w:rsid w:val="008C17E3"/>
    <w:rsid w:val="008C51CD"/>
    <w:rsid w:val="008D59E7"/>
    <w:rsid w:val="008D7CF9"/>
    <w:rsid w:val="008E14BC"/>
    <w:rsid w:val="008F073B"/>
    <w:rsid w:val="008F7320"/>
    <w:rsid w:val="00902933"/>
    <w:rsid w:val="0090628B"/>
    <w:rsid w:val="00910A9D"/>
    <w:rsid w:val="00913A9E"/>
    <w:rsid w:val="00913C14"/>
    <w:rsid w:val="00914ECD"/>
    <w:rsid w:val="00915BD1"/>
    <w:rsid w:val="0092568A"/>
    <w:rsid w:val="0092599A"/>
    <w:rsid w:val="00931192"/>
    <w:rsid w:val="009330D8"/>
    <w:rsid w:val="00937CD2"/>
    <w:rsid w:val="0094013F"/>
    <w:rsid w:val="009467B7"/>
    <w:rsid w:val="00952875"/>
    <w:rsid w:val="009550C5"/>
    <w:rsid w:val="009605AA"/>
    <w:rsid w:val="009610D4"/>
    <w:rsid w:val="0096600C"/>
    <w:rsid w:val="0097114E"/>
    <w:rsid w:val="00971230"/>
    <w:rsid w:val="00972422"/>
    <w:rsid w:val="00976CE6"/>
    <w:rsid w:val="0097775B"/>
    <w:rsid w:val="00981F9F"/>
    <w:rsid w:val="009836E8"/>
    <w:rsid w:val="00993BA9"/>
    <w:rsid w:val="00995867"/>
    <w:rsid w:val="009A458D"/>
    <w:rsid w:val="009B0D81"/>
    <w:rsid w:val="009B134B"/>
    <w:rsid w:val="009B19C6"/>
    <w:rsid w:val="009B64F6"/>
    <w:rsid w:val="009C4D7C"/>
    <w:rsid w:val="009C7652"/>
    <w:rsid w:val="009D7304"/>
    <w:rsid w:val="009E2F02"/>
    <w:rsid w:val="009F1378"/>
    <w:rsid w:val="009F2E39"/>
    <w:rsid w:val="009F41FD"/>
    <w:rsid w:val="009F6A9A"/>
    <w:rsid w:val="00A052AE"/>
    <w:rsid w:val="00A2065E"/>
    <w:rsid w:val="00A318E5"/>
    <w:rsid w:val="00A31FFE"/>
    <w:rsid w:val="00A3406F"/>
    <w:rsid w:val="00A340F8"/>
    <w:rsid w:val="00A3616E"/>
    <w:rsid w:val="00A4002E"/>
    <w:rsid w:val="00A40A70"/>
    <w:rsid w:val="00A47C72"/>
    <w:rsid w:val="00A506B9"/>
    <w:rsid w:val="00A5750A"/>
    <w:rsid w:val="00A57C5A"/>
    <w:rsid w:val="00A60B11"/>
    <w:rsid w:val="00A61791"/>
    <w:rsid w:val="00A644B2"/>
    <w:rsid w:val="00A73790"/>
    <w:rsid w:val="00A763FF"/>
    <w:rsid w:val="00A7735C"/>
    <w:rsid w:val="00A804A5"/>
    <w:rsid w:val="00A82644"/>
    <w:rsid w:val="00A835E8"/>
    <w:rsid w:val="00A91A22"/>
    <w:rsid w:val="00A93EE7"/>
    <w:rsid w:val="00A948D0"/>
    <w:rsid w:val="00A9524D"/>
    <w:rsid w:val="00A97955"/>
    <w:rsid w:val="00AA6C74"/>
    <w:rsid w:val="00AB5166"/>
    <w:rsid w:val="00AB5E02"/>
    <w:rsid w:val="00AB5FC0"/>
    <w:rsid w:val="00AC1188"/>
    <w:rsid w:val="00AC652C"/>
    <w:rsid w:val="00AD36D2"/>
    <w:rsid w:val="00AE74B4"/>
    <w:rsid w:val="00AF4E80"/>
    <w:rsid w:val="00AF612B"/>
    <w:rsid w:val="00B05654"/>
    <w:rsid w:val="00B06FDC"/>
    <w:rsid w:val="00B1211B"/>
    <w:rsid w:val="00B152F3"/>
    <w:rsid w:val="00B2059F"/>
    <w:rsid w:val="00B21BBF"/>
    <w:rsid w:val="00B36383"/>
    <w:rsid w:val="00B37E66"/>
    <w:rsid w:val="00B40E9C"/>
    <w:rsid w:val="00B4163C"/>
    <w:rsid w:val="00B46FB1"/>
    <w:rsid w:val="00B50795"/>
    <w:rsid w:val="00B529C9"/>
    <w:rsid w:val="00B55FF1"/>
    <w:rsid w:val="00B57A7D"/>
    <w:rsid w:val="00B60647"/>
    <w:rsid w:val="00B71E6E"/>
    <w:rsid w:val="00B71F55"/>
    <w:rsid w:val="00B77709"/>
    <w:rsid w:val="00B83679"/>
    <w:rsid w:val="00B84E3E"/>
    <w:rsid w:val="00B93D69"/>
    <w:rsid w:val="00BA3714"/>
    <w:rsid w:val="00BA5A05"/>
    <w:rsid w:val="00BC332D"/>
    <w:rsid w:val="00BD167E"/>
    <w:rsid w:val="00BD7006"/>
    <w:rsid w:val="00BE6039"/>
    <w:rsid w:val="00BE6911"/>
    <w:rsid w:val="00BE7698"/>
    <w:rsid w:val="00BF7EF9"/>
    <w:rsid w:val="00C04855"/>
    <w:rsid w:val="00C06DC2"/>
    <w:rsid w:val="00C06DF9"/>
    <w:rsid w:val="00C11A3C"/>
    <w:rsid w:val="00C16A9D"/>
    <w:rsid w:val="00C2409E"/>
    <w:rsid w:val="00C403BB"/>
    <w:rsid w:val="00C443B7"/>
    <w:rsid w:val="00C45D85"/>
    <w:rsid w:val="00C54194"/>
    <w:rsid w:val="00C61163"/>
    <w:rsid w:val="00C7213B"/>
    <w:rsid w:val="00C7258E"/>
    <w:rsid w:val="00C849DB"/>
    <w:rsid w:val="00C8680B"/>
    <w:rsid w:val="00C91A26"/>
    <w:rsid w:val="00C94770"/>
    <w:rsid w:val="00C94D38"/>
    <w:rsid w:val="00C94E0D"/>
    <w:rsid w:val="00C96762"/>
    <w:rsid w:val="00CA33C0"/>
    <w:rsid w:val="00CA4644"/>
    <w:rsid w:val="00CB5597"/>
    <w:rsid w:val="00CC0ABB"/>
    <w:rsid w:val="00CC4EB6"/>
    <w:rsid w:val="00CC5C67"/>
    <w:rsid w:val="00CC744C"/>
    <w:rsid w:val="00CD75DF"/>
    <w:rsid w:val="00CE3674"/>
    <w:rsid w:val="00CE6C4F"/>
    <w:rsid w:val="00CE7F5F"/>
    <w:rsid w:val="00CF127B"/>
    <w:rsid w:val="00CF269E"/>
    <w:rsid w:val="00D02A5B"/>
    <w:rsid w:val="00D05845"/>
    <w:rsid w:val="00D1190F"/>
    <w:rsid w:val="00D14A8A"/>
    <w:rsid w:val="00D24959"/>
    <w:rsid w:val="00D25221"/>
    <w:rsid w:val="00D363B8"/>
    <w:rsid w:val="00D36D1B"/>
    <w:rsid w:val="00D431F1"/>
    <w:rsid w:val="00D43D30"/>
    <w:rsid w:val="00D5075C"/>
    <w:rsid w:val="00D54EBA"/>
    <w:rsid w:val="00D556CA"/>
    <w:rsid w:val="00D60232"/>
    <w:rsid w:val="00D60BAD"/>
    <w:rsid w:val="00D61D4A"/>
    <w:rsid w:val="00D72C88"/>
    <w:rsid w:val="00D73A93"/>
    <w:rsid w:val="00D76591"/>
    <w:rsid w:val="00D82171"/>
    <w:rsid w:val="00D84AE7"/>
    <w:rsid w:val="00DA0D94"/>
    <w:rsid w:val="00DA1206"/>
    <w:rsid w:val="00DA3D8F"/>
    <w:rsid w:val="00DB10E2"/>
    <w:rsid w:val="00DB3F38"/>
    <w:rsid w:val="00DB5C7A"/>
    <w:rsid w:val="00DB6568"/>
    <w:rsid w:val="00DB6E96"/>
    <w:rsid w:val="00DC00A3"/>
    <w:rsid w:val="00DC5784"/>
    <w:rsid w:val="00DD0BD5"/>
    <w:rsid w:val="00DD395F"/>
    <w:rsid w:val="00DD595F"/>
    <w:rsid w:val="00DD7F4D"/>
    <w:rsid w:val="00DE5AD5"/>
    <w:rsid w:val="00DE6466"/>
    <w:rsid w:val="00DE7562"/>
    <w:rsid w:val="00DF22D9"/>
    <w:rsid w:val="00DF2B9F"/>
    <w:rsid w:val="00E05EBB"/>
    <w:rsid w:val="00E05F95"/>
    <w:rsid w:val="00E06BE2"/>
    <w:rsid w:val="00E12487"/>
    <w:rsid w:val="00E15DDE"/>
    <w:rsid w:val="00E266A5"/>
    <w:rsid w:val="00E3304E"/>
    <w:rsid w:val="00E35AAD"/>
    <w:rsid w:val="00E41682"/>
    <w:rsid w:val="00E471F4"/>
    <w:rsid w:val="00E52310"/>
    <w:rsid w:val="00E543C9"/>
    <w:rsid w:val="00E548FD"/>
    <w:rsid w:val="00E6349D"/>
    <w:rsid w:val="00E67E0F"/>
    <w:rsid w:val="00E7155F"/>
    <w:rsid w:val="00E71987"/>
    <w:rsid w:val="00E74342"/>
    <w:rsid w:val="00E7674C"/>
    <w:rsid w:val="00E7783C"/>
    <w:rsid w:val="00E813EF"/>
    <w:rsid w:val="00E825FC"/>
    <w:rsid w:val="00E82F84"/>
    <w:rsid w:val="00E86702"/>
    <w:rsid w:val="00E87378"/>
    <w:rsid w:val="00E93621"/>
    <w:rsid w:val="00E94080"/>
    <w:rsid w:val="00E97C23"/>
    <w:rsid w:val="00EA2541"/>
    <w:rsid w:val="00EB3865"/>
    <w:rsid w:val="00EB3D9E"/>
    <w:rsid w:val="00EB7685"/>
    <w:rsid w:val="00EC23B8"/>
    <w:rsid w:val="00ED163D"/>
    <w:rsid w:val="00ED451D"/>
    <w:rsid w:val="00ED5280"/>
    <w:rsid w:val="00ED608F"/>
    <w:rsid w:val="00ED7EC2"/>
    <w:rsid w:val="00EE2BB4"/>
    <w:rsid w:val="00EE4FFB"/>
    <w:rsid w:val="00EF0C24"/>
    <w:rsid w:val="00EF1D56"/>
    <w:rsid w:val="00EF6492"/>
    <w:rsid w:val="00EF6B60"/>
    <w:rsid w:val="00F12327"/>
    <w:rsid w:val="00F15530"/>
    <w:rsid w:val="00F2023D"/>
    <w:rsid w:val="00F2753A"/>
    <w:rsid w:val="00F34484"/>
    <w:rsid w:val="00F4162C"/>
    <w:rsid w:val="00F430D2"/>
    <w:rsid w:val="00F4727C"/>
    <w:rsid w:val="00F474EC"/>
    <w:rsid w:val="00F53461"/>
    <w:rsid w:val="00F66174"/>
    <w:rsid w:val="00F76B2D"/>
    <w:rsid w:val="00F7732A"/>
    <w:rsid w:val="00F83782"/>
    <w:rsid w:val="00F85BE4"/>
    <w:rsid w:val="00F90F76"/>
    <w:rsid w:val="00FB0026"/>
    <w:rsid w:val="00FB0EAA"/>
    <w:rsid w:val="00FB408C"/>
    <w:rsid w:val="00FB4793"/>
    <w:rsid w:val="00FB540A"/>
    <w:rsid w:val="00FC0DD7"/>
    <w:rsid w:val="00FC257D"/>
    <w:rsid w:val="00FC7707"/>
    <w:rsid w:val="00FF1D97"/>
    <w:rsid w:val="00FF27C8"/>
    <w:rsid w:val="00FF29BA"/>
    <w:rsid w:val="00FF34F5"/>
    <w:rsid w:val="0A095D89"/>
    <w:rsid w:val="0EF535A5"/>
    <w:rsid w:val="10AB21D2"/>
    <w:rsid w:val="10E9002F"/>
    <w:rsid w:val="118F5FCE"/>
    <w:rsid w:val="13741F5F"/>
    <w:rsid w:val="147A5193"/>
    <w:rsid w:val="18087A72"/>
    <w:rsid w:val="18576C6F"/>
    <w:rsid w:val="187D6048"/>
    <w:rsid w:val="200E6041"/>
    <w:rsid w:val="207560AE"/>
    <w:rsid w:val="24F407CC"/>
    <w:rsid w:val="25AF2130"/>
    <w:rsid w:val="28744081"/>
    <w:rsid w:val="2CA17487"/>
    <w:rsid w:val="2CB96B21"/>
    <w:rsid w:val="31232DF8"/>
    <w:rsid w:val="34626755"/>
    <w:rsid w:val="369113FB"/>
    <w:rsid w:val="3D6C6CEF"/>
    <w:rsid w:val="411A24F3"/>
    <w:rsid w:val="417F57C8"/>
    <w:rsid w:val="41CE1187"/>
    <w:rsid w:val="41D56211"/>
    <w:rsid w:val="4BFE1177"/>
    <w:rsid w:val="4F7C157F"/>
    <w:rsid w:val="4FEF6BE2"/>
    <w:rsid w:val="52E25B4C"/>
    <w:rsid w:val="52FA39AE"/>
    <w:rsid w:val="58730694"/>
    <w:rsid w:val="58E329EE"/>
    <w:rsid w:val="5A50595F"/>
    <w:rsid w:val="5A9F490C"/>
    <w:rsid w:val="5B366EF0"/>
    <w:rsid w:val="5BAC3598"/>
    <w:rsid w:val="5DB10049"/>
    <w:rsid w:val="5FFA1ADD"/>
    <w:rsid w:val="6181037D"/>
    <w:rsid w:val="650F3451"/>
    <w:rsid w:val="654C7405"/>
    <w:rsid w:val="6CE532BE"/>
    <w:rsid w:val="6F391FA1"/>
    <w:rsid w:val="708A64CE"/>
    <w:rsid w:val="71D85940"/>
    <w:rsid w:val="73710B2C"/>
    <w:rsid w:val="7504074F"/>
    <w:rsid w:val="77C60A13"/>
    <w:rsid w:val="7D7A1FA5"/>
    <w:rsid w:val="7FAE06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5"/>
    <w:qFormat/>
    <w:uiPriority w:val="99"/>
    <w:pPr>
      <w:ind w:left="100" w:leftChars="2500"/>
    </w:pPr>
  </w:style>
  <w:style w:type="paragraph" w:styleId="3">
    <w:name w:val="Balloon Text"/>
    <w:basedOn w:val="1"/>
    <w:link w:val="19"/>
    <w:qFormat/>
    <w:uiPriority w:val="99"/>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basedOn w:val="8"/>
    <w:qFormat/>
    <w:uiPriority w:val="99"/>
    <w:rPr>
      <w:rFonts w:cs="Times New Roman"/>
      <w:b/>
      <w:bCs/>
    </w:rPr>
  </w:style>
  <w:style w:type="character" w:styleId="10">
    <w:name w:val="page number"/>
    <w:basedOn w:val="8"/>
    <w:qFormat/>
    <w:uiPriority w:val="99"/>
    <w:rPr>
      <w:rFonts w:cs="Times New Roman"/>
    </w:rPr>
  </w:style>
  <w:style w:type="character" w:styleId="11">
    <w:name w:val="HTML Variable"/>
    <w:basedOn w:val="8"/>
    <w:qFormat/>
    <w:uiPriority w:val="99"/>
    <w:rPr>
      <w:rFonts w:cs="Times New Roman"/>
      <w:i/>
      <w:iCs/>
    </w:rPr>
  </w:style>
  <w:style w:type="character" w:customStyle="1" w:styleId="12">
    <w:name w:val="批注框文本 Char"/>
    <w:basedOn w:val="8"/>
    <w:link w:val="3"/>
    <w:semiHidden/>
    <w:qFormat/>
    <w:locked/>
    <w:uiPriority w:val="99"/>
    <w:rPr>
      <w:rFonts w:ascii="Times New Roman" w:hAnsi="Times New Roman" w:cs="Times New Roman"/>
      <w:kern w:val="2"/>
      <w:sz w:val="18"/>
      <w:szCs w:val="18"/>
    </w:rPr>
  </w:style>
  <w:style w:type="character" w:customStyle="1" w:styleId="13">
    <w:name w:val="页脚 Char"/>
    <w:basedOn w:val="8"/>
    <w:link w:val="4"/>
    <w:qFormat/>
    <w:locked/>
    <w:uiPriority w:val="99"/>
    <w:rPr>
      <w:rFonts w:eastAsia="宋体" w:cs="Times New Roman"/>
      <w:kern w:val="2"/>
      <w:sz w:val="18"/>
      <w:szCs w:val="18"/>
      <w:lang w:val="en-US" w:eastAsia="zh-CN" w:bidi="ar-SA"/>
    </w:rPr>
  </w:style>
  <w:style w:type="paragraph" w:customStyle="1" w:styleId="14">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character" w:customStyle="1" w:styleId="15">
    <w:name w:val="日期 Char"/>
    <w:basedOn w:val="8"/>
    <w:link w:val="2"/>
    <w:semiHidden/>
    <w:qFormat/>
    <w:uiPriority w:val="99"/>
    <w:rPr>
      <w:rFonts w:ascii="Times New Roman" w:hAnsi="Times New Roman"/>
      <w:sz w:val="32"/>
      <w:szCs w:val="32"/>
    </w:rPr>
  </w:style>
  <w:style w:type="paragraph" w:customStyle="1" w:styleId="16">
    <w:name w:val="正文（正式）"/>
    <w:basedOn w:val="1"/>
    <w:qFormat/>
    <w:uiPriority w:val="99"/>
    <w:pPr>
      <w:widowControl/>
      <w:spacing w:after="160" w:line="240" w:lineRule="exact"/>
      <w:jc w:val="left"/>
    </w:pPr>
    <w:rPr>
      <w:rFonts w:ascii="Verdana" w:hAnsi="Verdana" w:eastAsia="仿宋_GB2312"/>
      <w:kern w:val="0"/>
      <w:sz w:val="28"/>
      <w:szCs w:val="20"/>
      <w:lang w:eastAsia="en-US"/>
    </w:rPr>
  </w:style>
  <w:style w:type="character" w:customStyle="1" w:styleId="17">
    <w:name w:val="Footer Char1"/>
    <w:basedOn w:val="8"/>
    <w:link w:val="4"/>
    <w:semiHidden/>
    <w:qFormat/>
    <w:uiPriority w:val="99"/>
    <w:rPr>
      <w:rFonts w:ascii="Times New Roman" w:hAnsi="Times New Roman"/>
      <w:sz w:val="18"/>
      <w:szCs w:val="18"/>
    </w:rPr>
  </w:style>
  <w:style w:type="character" w:customStyle="1" w:styleId="18">
    <w:name w:val="页眉 Char"/>
    <w:basedOn w:val="8"/>
    <w:link w:val="5"/>
    <w:semiHidden/>
    <w:qFormat/>
    <w:uiPriority w:val="99"/>
    <w:rPr>
      <w:rFonts w:ascii="Times New Roman" w:hAnsi="Times New Roman"/>
      <w:sz w:val="18"/>
      <w:szCs w:val="18"/>
    </w:rPr>
  </w:style>
  <w:style w:type="character" w:customStyle="1" w:styleId="19">
    <w:name w:val="Balloon Text Char1"/>
    <w:basedOn w:val="8"/>
    <w:link w:val="3"/>
    <w:semiHidden/>
    <w:qFormat/>
    <w:uiPriority w:val="99"/>
    <w:rPr>
      <w:rFonts w:ascii="Times New Roman" w:hAnsi="Times New Roman"/>
      <w:sz w:val="0"/>
      <w:szCs w:val="0"/>
    </w:rPr>
  </w:style>
  <w:style w:type="paragraph" w:customStyle="1" w:styleId="20">
    <w:name w:val="Char Char Char Char Char Char Char Char Char Char Char Char Char Char Char Char Char"/>
    <w:basedOn w:val="1"/>
    <w:qFormat/>
    <w:uiPriority w:val="99"/>
    <w:pPr>
      <w:widowControl/>
      <w:spacing w:after="160" w:line="240" w:lineRule="exact"/>
      <w:jc w:val="left"/>
    </w:pPr>
    <w:rPr>
      <w:sz w:val="21"/>
      <w:szCs w:val="21"/>
    </w:rPr>
  </w:style>
  <w:style w:type="paragraph" w:customStyle="1" w:styleId="21">
    <w:name w:val="Char Char Char Char Char Char"/>
    <w:basedOn w:val="1"/>
    <w:qFormat/>
    <w:uiPriority w:val="99"/>
    <w:rPr>
      <w:rFonts w:ascii="Tahoma" w:hAnsi="Tahoma"/>
      <w:sz w:val="30"/>
      <w:szCs w:val="30"/>
    </w:rPr>
  </w:style>
  <w:style w:type="paragraph" w:customStyle="1" w:styleId="22">
    <w:name w:val="Char Char Char Char Char Char Char Char Char Char Char Char Char Char Char Char Char Char Char Char Char Char Char Char Char Char Char Char Char Char Char Char Char Char Char Char Char Char Char Char Char Char Char Char Char Char Char Char Char"/>
    <w:basedOn w:val="1"/>
    <w:qFormat/>
    <w:uiPriority w:val="99"/>
    <w:rPr>
      <w:sz w:val="21"/>
      <w:szCs w:val="20"/>
    </w:rPr>
  </w:style>
  <w:style w:type="table" w:customStyle="1" w:styleId="23">
    <w:name w:val="网格型1"/>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5B54FC-06CE-4DA1-ABA1-91710442F13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19730</Words>
  <Characters>2110</Characters>
  <Lines>17</Lines>
  <Paragraphs>43</Paragraphs>
  <TotalTime>48</TotalTime>
  <ScaleCrop>false</ScaleCrop>
  <LinksUpToDate>false</LinksUpToDate>
  <CharactersWithSpaces>21797</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2019-05-30T01:21:00Z</dcterms:created>
  <dc:creator>LSK</dc:creator>
  <dc:description>Shankar's Birthday falls on 25th July.  Don't Forget to wish him</dc:description>
  <cp:keywords>Birthday</cp:keywords>
  <cp:lastModifiedBy>域佳</cp:lastModifiedBy>
  <cp:lastPrinted>2019-08-09T09:05:03Z</cp:lastPrinted>
  <dcterms:modified xsi:type="dcterms:W3CDTF">2019-08-09T09:11:34Z</dcterms:modified>
  <dc:subject>Birthday</dc:subject>
  <dc:title>Are You suprised ?</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