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301908">
      <w:pPr>
        <w:spacing w:line="56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30D2B67E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惠安县卫生健康局</w:t>
      </w:r>
    </w:p>
    <w:p w14:paraId="27C8A653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年度法治政府建设工作情况报告</w:t>
      </w:r>
    </w:p>
    <w:p w14:paraId="66643CDD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4414DC0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2025年，我局在县委县政府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领导下，坚持以习近平新时代中国特色社会主义思想为指导，深入学习领会党的二十届三中全会精神、习近平法治思想及习近平总书记在福建考察时的重要讲话精神，全面贯彻县委十四届七次全会部署要求，严格落实《法治惠安建设规划（2021-2025年）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县委全面依法治县委员会2025年工作要点，以法治服务保障经济社会发展大局，扎实推进法治宣传教育，深化依法治理实践，着力营造我县卫生健康事业发展的良好法治环境。现将全年工作情况报告如下：</w:t>
      </w:r>
    </w:p>
    <w:p w14:paraId="36E23C9F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一、聚焦政治统领，坚定法治政府正确方向</w:t>
      </w:r>
    </w:p>
    <w:p w14:paraId="623A3C92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（一）坚持思想引领，筑牢政治忠诚根基。</w:t>
      </w:r>
      <w:r>
        <w:rPr>
          <w:rFonts w:hint="eastAsia" w:ascii="仿宋_GB2312" w:hAnsi="仿宋_GB2312" w:eastAsia="仿宋_GB2312" w:cs="仿宋_GB2312"/>
          <w:sz w:val="32"/>
          <w:szCs w:val="32"/>
        </w:rPr>
        <w:t>深学细悟党的二十届三中全会及县委十四届七次全会精神，深刻领悟“两个确立”的决定性意义，增强“四个意识”、坚定“四个自信”、做到“两个维护”。以习近平新时代中国特色社会主义思想为指引，统一思想、意志与行动，坚持学思用贯通、知信行统一，熟练运用贯穿其中的立场观点方法。严格执行县委、县政府各项决策部署，将学习成效转化为推动卫健事业发展的实际成果；依托党组（系统党委）理论学习中心组平台，发挥领导干部“关键少数”领学促学作用，推动理论学习常态长效。</w:t>
      </w:r>
    </w:p>
    <w:p w14:paraId="589C7545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（二）压实第一责任，推进依法行政提质。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落实党政主要负责人履行推进法治建设第一责任人职责，将依法行政纳入重点工作部署，与卫健业务同推进、同考核。聚焦执法规范化建设，健全执法权责清单，细化执法程序标准，强化行政执法全流程监管；严格执行行政执法责任追究制，健全“有权必有责、失责必追究”的闭环机制，持续规范本系统行政执法行为，全面提升卫健领域依法行政水平。</w:t>
      </w:r>
    </w:p>
    <w:p w14:paraId="3C536E34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二、聚焦全面履职，护航经济社会发展大局</w:t>
      </w:r>
    </w:p>
    <w:p w14:paraId="48165625">
      <w:pPr>
        <w:spacing w:line="560" w:lineRule="exact"/>
        <w:ind w:firstLine="640" w:firstLineChars="20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（一）提升政务服务效能</w:t>
      </w:r>
    </w:p>
    <w:p w14:paraId="6EB995BD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1.优化审批服务流程。一是优化审批流程。对行政审批和公共服务事项审批服务流程动态梳理，审批服务流程统一整合为“受理、审查、决定”3个环节。即办件统一实行“一审一核”两环节制。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截至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2025年11月，行政审批股共受理并办结各类行政审批和公共服务事项1010件，均严格执行限时承诺制，总办结率100%，未出现群众投诉情况。</w:t>
      </w:r>
    </w:p>
    <w:p w14:paraId="558AF35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2.梳理</w:t>
      </w:r>
      <w:r>
        <w:rPr>
          <w:rFonts w:ascii="仿宋_GB2312" w:hAnsi="仿宋_GB2312" w:eastAsia="仿宋_GB2312" w:cs="仿宋_GB2312"/>
          <w:sz w:val="32"/>
          <w:szCs w:val="32"/>
        </w:rPr>
        <w:t>行政审批自由裁量</w:t>
      </w:r>
      <w:r>
        <w:rPr>
          <w:rFonts w:hint="eastAsia" w:ascii="仿宋_GB2312" w:hAnsi="仿宋_GB2312" w:eastAsia="仿宋_GB2312" w:cs="仿宋_GB2312"/>
          <w:sz w:val="32"/>
          <w:szCs w:val="32"/>
        </w:rPr>
        <w:t>权</w:t>
      </w:r>
      <w:r>
        <w:rPr>
          <w:rFonts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</w:t>
      </w:r>
      <w:r>
        <w:rPr>
          <w:rFonts w:ascii="仿宋_GB2312" w:hAnsi="仿宋_GB2312" w:eastAsia="仿宋_GB2312" w:cs="仿宋_GB2312"/>
          <w:sz w:val="32"/>
          <w:szCs w:val="32"/>
        </w:rPr>
        <w:t>上级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</w:t>
      </w:r>
      <w:r>
        <w:rPr>
          <w:rFonts w:ascii="仿宋_GB2312" w:hAnsi="仿宋_GB2312" w:eastAsia="仿宋_GB2312" w:cs="仿宋_GB2312"/>
          <w:sz w:val="32"/>
          <w:szCs w:val="32"/>
        </w:rPr>
        <w:t>精神，在“</w:t>
      </w:r>
      <w:r>
        <w:rPr>
          <w:rFonts w:hint="eastAsia" w:ascii="仿宋_GB2312" w:hAnsi="仿宋_GB2312" w:eastAsia="仿宋_GB2312" w:cs="仿宋_GB2312"/>
          <w:sz w:val="32"/>
          <w:szCs w:val="32"/>
        </w:rPr>
        <w:t>五级</w:t>
      </w:r>
      <w:r>
        <w:rPr>
          <w:rFonts w:ascii="仿宋_GB2312" w:hAnsi="仿宋_GB2312" w:eastAsia="仿宋_GB2312" w:cs="仿宋_GB2312"/>
          <w:sz w:val="32"/>
          <w:szCs w:val="32"/>
        </w:rPr>
        <w:t>十五同”</w:t>
      </w:r>
      <w:r>
        <w:rPr>
          <w:rFonts w:hint="eastAsia" w:ascii="仿宋_GB2312" w:hAnsi="仿宋_GB2312" w:eastAsia="仿宋_GB2312" w:cs="仿宋_GB2312"/>
          <w:sz w:val="32"/>
          <w:szCs w:val="32"/>
        </w:rPr>
        <w:t>基础</w:t>
      </w:r>
      <w:r>
        <w:rPr>
          <w:rFonts w:ascii="仿宋_GB2312" w:hAnsi="仿宋_GB2312" w:eastAsia="仿宋_GB2312" w:cs="仿宋_GB2312"/>
          <w:sz w:val="32"/>
          <w:szCs w:val="32"/>
        </w:rPr>
        <w:t>上，</w:t>
      </w:r>
      <w:r>
        <w:rPr>
          <w:rFonts w:hint="eastAsia" w:ascii="仿宋_GB2312" w:hAnsi="仿宋_GB2312" w:eastAsia="仿宋_GB2312" w:cs="仿宋_GB2312"/>
          <w:sz w:val="32"/>
          <w:szCs w:val="32"/>
        </w:rPr>
        <w:t>细化</w:t>
      </w:r>
      <w:r>
        <w:rPr>
          <w:rFonts w:ascii="仿宋_GB2312" w:hAnsi="仿宋_GB2312" w:eastAsia="仿宋_GB2312" w:cs="仿宋_GB2312"/>
          <w:sz w:val="32"/>
          <w:szCs w:val="32"/>
        </w:rPr>
        <w:t>行政审批服务自由裁量标准，进一步规范窗口行政审批服务事权，细化量化技术审查标准</w:t>
      </w:r>
      <w:r>
        <w:rPr>
          <w:rFonts w:hint="eastAsia" w:ascii="仿宋_GB2312" w:hAnsi="仿宋_GB2312" w:eastAsia="仿宋_GB2312" w:cs="仿宋_GB2312"/>
          <w:sz w:val="32"/>
          <w:szCs w:val="32"/>
        </w:rPr>
        <w:t>及</w:t>
      </w:r>
      <w:r>
        <w:rPr>
          <w:rFonts w:ascii="仿宋_GB2312" w:hAnsi="仿宋_GB2312" w:eastAsia="仿宋_GB2312" w:cs="仿宋_GB2312"/>
          <w:sz w:val="32"/>
          <w:szCs w:val="32"/>
        </w:rPr>
        <w:t>现场踏勘标准清单。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梳理现有行政审批事项流程，并按照权力行使层级完成重新授权工作，授权给单位主要领导事项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8件，分管领导17件，审批股长及窗口负责人69件，即办件全部在窗口办结。</w:t>
      </w:r>
    </w:p>
    <w:p w14:paraId="04B4A932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3.深化诊所备案制改革。依照《诊所备案管理暂行办法》（国卫医政发〔2022〕33号）深化诊所备案制改革，深化</w:t>
      </w:r>
      <w:r>
        <w:rPr>
          <w:rFonts w:ascii="仿宋_GB2312" w:hAnsi="仿宋_GB2312" w:eastAsia="仿宋_GB2312" w:cs="仿宋_GB2312"/>
          <w:sz w:val="32"/>
          <w:szCs w:val="32"/>
        </w:rPr>
        <w:t>诊所备案制改革工作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，202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年度共计备案诊所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家，目前全县共有诊所1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47</w:t>
      </w:r>
      <w:r>
        <w:rPr>
          <w:rFonts w:hint="eastAsia" w:ascii="仿宋_GB2312" w:hAnsi="仿宋_GB2312" w:eastAsia="仿宋_GB2312" w:cs="仿宋_GB2312"/>
          <w:sz w:val="32"/>
          <w:szCs w:val="32"/>
        </w:rPr>
        <w:t>家诊所执业备案，诊所备案制改革有序进行。</w:t>
      </w:r>
    </w:p>
    <w:p w14:paraId="609451FC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（二）打造法治化营商环境</w:t>
      </w:r>
    </w:p>
    <w:p w14:paraId="0F9E18F0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全面落实县委、县政府《惠安县创新</w:t>
      </w:r>
      <w:r>
        <w:rPr>
          <w:rFonts w:ascii="仿宋_GB2312" w:hAnsi="仿宋_GB2312" w:eastAsia="仿宋_GB2312" w:cs="仿宋_GB2312"/>
          <w:sz w:val="32"/>
          <w:szCs w:val="32"/>
        </w:rPr>
        <w:t>发展“</w:t>
      </w:r>
      <w:r>
        <w:rPr>
          <w:rFonts w:hint="eastAsia" w:ascii="仿宋_GB2312" w:hAnsi="仿宋_GB2312" w:eastAsia="仿宋_GB2312" w:cs="仿宋_GB2312"/>
          <w:sz w:val="32"/>
          <w:szCs w:val="32"/>
        </w:rPr>
        <w:t>晋江经验</w:t>
      </w:r>
      <w:r>
        <w:rPr>
          <w:rFonts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凝聚</w:t>
      </w:r>
      <w:r>
        <w:rPr>
          <w:rFonts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要简单</w:t>
      </w:r>
      <w:r>
        <w:rPr>
          <w:rFonts w:ascii="仿宋_GB2312" w:hAnsi="仿宋_GB2312" w:eastAsia="仿宋_GB2312" w:cs="仿宋_GB2312"/>
          <w:sz w:val="32"/>
          <w:szCs w:val="32"/>
        </w:rPr>
        <w:t>、来惠安”</w:t>
      </w:r>
      <w:r>
        <w:rPr>
          <w:rFonts w:hint="eastAsia" w:ascii="仿宋_GB2312" w:hAnsi="仿宋_GB2312" w:eastAsia="仿宋_GB2312" w:cs="仿宋_GB2312"/>
          <w:sz w:val="32"/>
          <w:szCs w:val="32"/>
        </w:rPr>
        <w:t>共识 进一步</w:t>
      </w:r>
      <w:r>
        <w:rPr>
          <w:rFonts w:ascii="仿宋_GB2312" w:hAnsi="仿宋_GB2312" w:eastAsia="仿宋_GB2312" w:cs="仿宋_GB2312"/>
          <w:sz w:val="32"/>
          <w:szCs w:val="32"/>
        </w:rPr>
        <w:t>优化营商环境</w:t>
      </w:r>
      <w:r>
        <w:rPr>
          <w:rFonts w:hint="eastAsia" w:ascii="仿宋_GB2312" w:hAnsi="仿宋_GB2312" w:eastAsia="仿宋_GB2312" w:cs="仿宋_GB2312"/>
          <w:sz w:val="32"/>
          <w:szCs w:val="32"/>
        </w:rPr>
        <w:t>行动</w:t>
      </w:r>
      <w:r>
        <w:rPr>
          <w:rFonts w:ascii="仿宋_GB2312" w:hAnsi="仿宋_GB2312" w:eastAsia="仿宋_GB2312" w:cs="仿宋_GB2312"/>
          <w:sz w:val="32"/>
          <w:szCs w:val="32"/>
        </w:rPr>
        <w:t>方案（</w:t>
      </w:r>
      <w:r>
        <w:rPr>
          <w:rFonts w:hint="eastAsia" w:ascii="仿宋_GB2312" w:hAnsi="仿宋_GB2312" w:eastAsia="仿宋_GB2312" w:cs="仿宋_GB2312"/>
          <w:sz w:val="32"/>
          <w:szCs w:val="32"/>
        </w:rPr>
        <w:t>2024-2025年</w:t>
      </w:r>
      <w:r>
        <w:rPr>
          <w:rFonts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》及《惠安县202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年优化营商环境创新行动十大措施》，工作</w:t>
      </w:r>
      <w:r>
        <w:rPr>
          <w:rFonts w:ascii="仿宋_GB2312" w:hAnsi="仿宋_GB2312" w:eastAsia="仿宋_GB2312" w:cs="仿宋_GB2312"/>
          <w:sz w:val="32"/>
          <w:szCs w:val="32"/>
        </w:rPr>
        <w:t>要求，</w:t>
      </w:r>
      <w:r>
        <w:rPr>
          <w:rFonts w:hint="eastAsia" w:ascii="仿宋_GB2312" w:hAnsi="仿宋_GB2312" w:eastAsia="仿宋_GB2312" w:cs="仿宋_GB2312"/>
          <w:sz w:val="32"/>
          <w:szCs w:val="32"/>
        </w:rPr>
        <w:t>着力构建良法善治的法治化</w:t>
      </w:r>
      <w:r>
        <w:rPr>
          <w:rFonts w:ascii="仿宋_GB2312" w:hAnsi="仿宋_GB2312" w:eastAsia="仿宋_GB2312" w:cs="仿宋_GB2312"/>
          <w:sz w:val="32"/>
          <w:szCs w:val="32"/>
        </w:rPr>
        <w:t>营商</w:t>
      </w:r>
      <w:r>
        <w:rPr>
          <w:rFonts w:hint="eastAsia" w:ascii="仿宋_GB2312" w:hAnsi="仿宋_GB2312" w:eastAsia="仿宋_GB2312" w:cs="仿宋_GB2312"/>
          <w:sz w:val="32"/>
          <w:szCs w:val="32"/>
        </w:rPr>
        <w:t>环境。对涉及民营经济的规范性文件开展专项清理，及时清除妨碍统一市场和公平竞争、不适应促进民营经济发展壮大的规定。</w:t>
      </w:r>
    </w:p>
    <w:p w14:paraId="057EF22D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（三）健全突发事件应对体系</w:t>
      </w:r>
    </w:p>
    <w:p w14:paraId="042B22FA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平战结合原则,完善公共卫生突发事件应急响应处置程序和协调联动机制,定期开展突发公共卫生事件应急演练,提升依法预防处置突发公共卫生事件、先期处置和快速反应能力。同时加强突发公共卫生事件信息公开和危机沟通，完善公共舆情应对机制。加强《中华人民共和国传染病防治法》等法律法规教育培训，增强干部职工应急处置突发传染病等公共卫生事件法治意识。</w:t>
      </w:r>
    </w:p>
    <w:p w14:paraId="0C1BDA35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三、依法行政制度体系保障日趋完善</w:t>
      </w:r>
    </w:p>
    <w:p w14:paraId="55BD48F6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 xml:space="preserve"> 动态</w:t>
      </w:r>
      <w:r>
        <w:rPr>
          <w:rFonts w:ascii="仿宋_GB2312" w:eastAsia="仿宋_GB2312"/>
          <w:sz w:val="32"/>
          <w:szCs w:val="32"/>
        </w:rPr>
        <w:t>调整权责清单</w:t>
      </w:r>
      <w:r>
        <w:rPr>
          <w:rFonts w:hint="eastAsia" w:ascii="仿宋_GB2312" w:eastAsia="仿宋_GB2312"/>
          <w:sz w:val="32"/>
          <w:szCs w:val="32"/>
        </w:rPr>
        <w:t>。</w:t>
      </w:r>
      <w:r>
        <w:rPr>
          <w:rFonts w:hint="eastAsia" w:ascii="仿宋_GB2312" w:hAnsi="宋体" w:eastAsia="仿宋_GB2312" w:cstheme="minorBidi"/>
          <w:b w:val="0"/>
          <w:snapToGrid w:val="0"/>
          <w:kern w:val="0"/>
          <w:sz w:val="32"/>
          <w:szCs w:val="32"/>
          <w:highlight w:val="none"/>
          <w:lang w:val="en-US" w:eastAsia="zh-CN" w:bidi="ar-SA"/>
        </w:rPr>
        <w:t>依据法律法规规章立改废释等对《惠安县卫生健康局权责清单》进行动态调整，本次权责清单调整3项，删除3项。于3月28日发布《惠安县卫生健康局关于动态调整权责清单的通知》（ 惠卫健〔2025〕2号）并在政府网站上公示。根据编办工作要求，继续对</w:t>
      </w:r>
      <w:r>
        <w:rPr>
          <w:rFonts w:eastAsia="仿宋_GB2312"/>
          <w:snapToGrid w:val="0"/>
          <w:kern w:val="0"/>
          <w:sz w:val="32"/>
          <w:szCs w:val="32"/>
        </w:rPr>
        <w:t>《惠安县卫生健康局权责清单》动态调整，本次权责清单调整39项，其中新增17项，修改12项，删除10项。</w:t>
      </w:r>
      <w:r>
        <w:rPr>
          <w:rFonts w:hint="eastAsia" w:ascii="仿宋_GB2312" w:hAnsi="宋体" w:eastAsia="仿宋_GB2312" w:cstheme="minorBidi"/>
          <w:b w:val="0"/>
          <w:snapToGrid w:val="0"/>
          <w:kern w:val="0"/>
          <w:sz w:val="32"/>
          <w:szCs w:val="32"/>
          <w:highlight w:val="none"/>
          <w:lang w:val="en-US" w:eastAsia="zh-CN" w:bidi="ar-SA"/>
        </w:rPr>
        <w:t>于9月28日发布《惠安县卫生健康局关于动态调整权责清单的通知》（ 惠卫健〔2025〕9号）并在政府网站上公示。</w:t>
      </w:r>
    </w:p>
    <w:p w14:paraId="148014E3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</w:t>
      </w:r>
      <w:r>
        <w:rPr>
          <w:rFonts w:ascii="仿宋_GB2312" w:hAnsi="仿宋_GB2312" w:eastAsia="仿宋_GB2312" w:cs="仿宋_GB2312"/>
          <w:sz w:val="32"/>
          <w:szCs w:val="32"/>
        </w:rPr>
        <w:t>规范性文件审查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。聚焦行政规范性文件监督管理，按照“谁制定、谁清理，谁起草、谁清理”的原则，充分认识此次清理工作的重要性，加强组织领导，组织专门力量，开展规范性文件清理工作，本年度完成规范性文件备案审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件，提出修改意见0件，予以撤销0件。</w:t>
      </w:r>
    </w:p>
    <w:p w14:paraId="0ED5721B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四、严格规范公正文明执法扎实推进</w:t>
      </w:r>
    </w:p>
    <w:p w14:paraId="0A3A89BB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（一）深化行政执法体制改革</w:t>
      </w:r>
    </w:p>
    <w:p w14:paraId="2C5CC428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1.推进卫健行政执法体系建设。梳理、整合行政执法职能，充分利用基层资源，着力加强卫健行政执法能力建设。做好县疾控中心机构改革期间执法过渡工作，本年度组织局机关及县疾控中心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人报名行政执法综合考试，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人报名卫健专业行政执法考试，加强执法力量。进一步完善行政部门、监督机构与有关部门、社会组织之间的信息沟通和工作联动机制，提升依法行政力度。</w:t>
      </w:r>
    </w:p>
    <w:p w14:paraId="509776E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进一步加强行政审批管理。重点落实推行政府部门权责清单制度，制定行政审批事项办事指南并向社会公布，强化行政审批窗口规范化管理，简化优化工作流程，深入实施审批提速，服务办事群众，提升行政审批效能，推动卫生行政审批由重事前审批向强化事中事后监管转变。</w:t>
      </w:r>
    </w:p>
    <w:p w14:paraId="09DE0F2F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（二）加强重点领域执法力度</w:t>
      </w:r>
    </w:p>
    <w:p w14:paraId="2BFA46A4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1.全面推进“双随机、一公开”。为进一步构建权责明确、透明高效的事中事后监管机制，提升卫生监督执法的公平性、规范性和有效性，根据上级工作要求，202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年我县疾控中心在日常监督检查、专项检查、监督抽验中全面推进“双随机、一公开”工作。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医疗卫生监督方面，开展医疗机构依法执业、传染病防控、疫情信息报告质量、“断骨增高术”等禁止类、限制类技术、生活美容场所等专项监督检查，共检查818家次，出具卫生监督意见41份，立案查处医疗机构违法违规行为14起。公共卫生监督方面，开展餐饮具消毒、节前公共场所卫生、生活饮用水、消毒产品、美容场所、</w:t>
      </w:r>
      <w:r>
        <w:rPr>
          <w:rFonts w:hint="default" w:ascii="仿宋_GB2312" w:hAnsi="仿宋_GB2312" w:eastAsia="仿宋_GB2312" w:cs="仿宋_GB2312"/>
          <w:sz w:val="32"/>
          <w:szCs w:val="32"/>
        </w:rPr>
        <w:t>歌舞娱乐场所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、游泳场所等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专项监督检查，共检查683家次，</w:t>
      </w:r>
      <w:r>
        <w:rPr>
          <w:rFonts w:hint="default" w:ascii="仿宋_GB2312" w:hAnsi="仿宋_GB2312" w:eastAsia="仿宋_GB2312" w:cs="仿宋_GB2312"/>
          <w:sz w:val="32"/>
          <w:szCs w:val="32"/>
        </w:rPr>
        <w:t>依法按简易程序立案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sz w:val="32"/>
          <w:szCs w:val="32"/>
        </w:rPr>
        <w:t>起、一般程序立案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default" w:ascii="仿宋_GB2312" w:hAnsi="仿宋_GB2312" w:eastAsia="仿宋_GB2312" w:cs="仿宋_GB2312"/>
          <w:sz w:val="32"/>
          <w:szCs w:val="32"/>
        </w:rPr>
        <w:t>起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。职业卫生监督方面，开展学校健康健康素养调查、工作场所职业病危害因素监测、职业卫生分类监督、放射卫生监督、校验等专项监督检查，共检查246家次，立案查处违规违法行为5起。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我局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按照2025年度“双随机”工作方案，依时序推进监督检查工作，已100%完成抽查任务。</w:t>
      </w:r>
    </w:p>
    <w:p w14:paraId="724CE0DA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2.加强卫生</w:t>
      </w:r>
      <w:r>
        <w:rPr>
          <w:rFonts w:ascii="仿宋_GB2312" w:hAnsi="仿宋_GB2312" w:eastAsia="仿宋_GB2312" w:cs="仿宋_GB2312"/>
          <w:sz w:val="32"/>
          <w:szCs w:val="32"/>
        </w:rPr>
        <w:t>健康领域</w:t>
      </w:r>
      <w:r>
        <w:rPr>
          <w:rFonts w:hint="eastAsia" w:ascii="仿宋_GB2312" w:hAnsi="仿宋_GB2312" w:eastAsia="仿宋_GB2312" w:cs="仿宋_GB2312"/>
          <w:sz w:val="32"/>
          <w:szCs w:val="32"/>
        </w:rPr>
        <w:t>监督检查力度。加强系统行业监督检查，规范行业行为，切实推动系统法治建设工作。组织安排县疾控中心持续</w:t>
      </w:r>
      <w:r>
        <w:rPr>
          <w:rFonts w:ascii="仿宋_GB2312" w:hAnsi="仿宋_GB2312" w:eastAsia="仿宋_GB2312" w:cs="仿宋_GB2312"/>
          <w:sz w:val="32"/>
          <w:szCs w:val="32"/>
        </w:rPr>
        <w:t>加强执法监督力度，扎实推进各项重点监督工作，积极开展公共场所、生活饮用水、消毒产品、医疗机构、传染病防控、</w:t>
      </w:r>
      <w:r>
        <w:rPr>
          <w:rFonts w:hint="eastAsia" w:ascii="仿宋_GB2312" w:hAnsi="仿宋_GB2312" w:eastAsia="仿宋_GB2312" w:cs="仿宋_GB2312"/>
          <w:sz w:val="32"/>
          <w:szCs w:val="32"/>
        </w:rPr>
        <w:t>职业</w:t>
      </w:r>
      <w:r>
        <w:rPr>
          <w:rFonts w:ascii="仿宋_GB2312" w:hAnsi="仿宋_GB2312" w:eastAsia="仿宋_GB2312" w:cs="仿宋_GB2312"/>
          <w:sz w:val="32"/>
          <w:szCs w:val="32"/>
        </w:rPr>
        <w:t>卫生、放射卫生、学校卫生等卫生</w:t>
      </w:r>
      <w:r>
        <w:rPr>
          <w:rFonts w:hint="eastAsia" w:ascii="仿宋_GB2312" w:hAnsi="仿宋_GB2312" w:eastAsia="仿宋_GB2312" w:cs="仿宋_GB2312"/>
          <w:sz w:val="32"/>
          <w:szCs w:val="32"/>
        </w:rPr>
        <w:t>健康</w:t>
      </w:r>
      <w:r>
        <w:rPr>
          <w:rFonts w:ascii="仿宋_GB2312" w:hAnsi="仿宋_GB2312" w:eastAsia="仿宋_GB2312" w:cs="仿宋_GB2312"/>
          <w:sz w:val="32"/>
          <w:szCs w:val="32"/>
        </w:rPr>
        <w:t>领域的监督检查工作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。2</w:t>
      </w:r>
      <w:r>
        <w:rPr>
          <w:rFonts w:ascii="仿宋_GB2312" w:hAnsi="仿宋_GB2312" w:eastAsia="仿宋_GB2312" w:cs="仿宋_GB2312"/>
          <w:sz w:val="32"/>
          <w:szCs w:val="32"/>
        </w:rPr>
        <w:t>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</w:t>
      </w:r>
      <w:r>
        <w:rPr>
          <w:rFonts w:ascii="仿宋_GB2312" w:hAnsi="仿宋_GB2312" w:eastAsia="仿宋_GB2312" w:cs="仿宋_GB2312"/>
          <w:sz w:val="32"/>
          <w:szCs w:val="32"/>
        </w:rPr>
        <w:t>累计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立案数24起，处罚数16起，其中医疗卫生7起、传染病卫生1起、公共场所卫生9起，职业卫生7起，没收违法所得1.211万元，罚款16.29万元。</w:t>
      </w:r>
    </w:p>
    <w:p w14:paraId="71D3B678">
      <w:pPr>
        <w:spacing w:line="560" w:lineRule="exact"/>
        <w:ind w:firstLine="640" w:firstLineChars="20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（三）强化行政执法规范化建设</w:t>
      </w:r>
    </w:p>
    <w:p w14:paraId="5877D12D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扎实推进执法全过程记录制度。一是落实行政执法过程记录。按照《泉州市行政执法全过程记录规定》统一执法文书管理，明确执法文书制作规范、执法过程中现场拍照记录入卷规范、执法记录仪及其他录音录像设备录制的音像资料保管方式、记录入卷办法和要求等。确保每件行政执法案件有记录、有案卷，保障执法全过程文字记录完整，执法文书规范，案卷完整齐全。二是加强人员培训，组织开展行政执法三项制度规范学习、行政执法文书填写规范、行政处罚法等行政法律法规和卫生专业知识培训。三是加强执法装备建设，配置相机、执法手机、手提电脑、执法记录仪，并装备调查询问室、听证室，配置同程录音录像设施，基本满足行政执法全过程记录工作需要。</w:t>
      </w:r>
    </w:p>
    <w:p w14:paraId="36B4DDCD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严格落实行政执法公示制度。一是做好事前公开。编制权责清单，并对权责清单进行动态调整，及时在县人民政府网站，福建省网上办事大厅公开。按时在县人民政府网站、单位微信公众号上公示执法人员基本信息。二是做到事中公示。在开展执法检查时，要求所有执法人员都持证上岗、亮证执法，按规定着装和佩戴标识，开展监督检查、调查取证、送达执法文书等执法活动时出示行政执法证件，表明身份，以及出具行政执法文书时告知当事人执法事由、执法依据、权利义务等内容。三是及时事后公示。对行政许可、行政处罚等行政执法决定及时在泉州市公共</w:t>
      </w:r>
      <w:r>
        <w:rPr>
          <w:rFonts w:ascii="仿宋_GB2312" w:hAnsi="仿宋_GB2312" w:eastAsia="仿宋_GB2312" w:cs="仿宋_GB2312"/>
          <w:sz w:val="32"/>
          <w:szCs w:val="32"/>
        </w:rPr>
        <w:t>信用信息平台</w:t>
      </w:r>
      <w:r>
        <w:rPr>
          <w:rFonts w:hint="eastAsia" w:ascii="仿宋_GB2312" w:hAnsi="仿宋_GB2312" w:eastAsia="仿宋_GB2312" w:cs="仿宋_GB2312"/>
          <w:sz w:val="32"/>
          <w:szCs w:val="32"/>
        </w:rPr>
        <w:t>网站上进行主动公开，建立行政执法统计年报制度，每年度公开本机关行政执法总体情况。</w:t>
      </w:r>
    </w:p>
    <w:p w14:paraId="25814B18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五、行政决策公信力执行力稳步提升</w:t>
      </w:r>
    </w:p>
    <w:p w14:paraId="30DF008A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（一）严格落实重大行政决策制度</w:t>
      </w:r>
    </w:p>
    <w:p w14:paraId="474F518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严格落实重大行政决策制度，规范权力运行。能坚持按照“行政权力进清单，清单之内全上网”的原则，指导梳理行政权力事项，优化行政事项流程，按照行政执法公示的要求，按行政许可、行政处罚等执法类别，在政务服务网站全面公布权责清单，本年度梳理完成后，我局共计发布事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94</w:t>
      </w:r>
      <w:r>
        <w:rPr>
          <w:rFonts w:hint="eastAsia" w:ascii="仿宋_GB2312" w:hAnsi="仿宋_GB2312" w:eastAsia="仿宋_GB2312" w:cs="仿宋_GB2312"/>
          <w:sz w:val="32"/>
          <w:szCs w:val="32"/>
        </w:rPr>
        <w:t>项。政务服务大厅窗口设置咨询窗口、岗位公示牌及投诉举报等信息，提供申请材料示范文本和服务指南及办事流程。</w:t>
      </w:r>
    </w:p>
    <w:p w14:paraId="37FCFA01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落实法律顾问制度。建立健全县卫生健康领域法律顾问制度，持续稳步推进依法行政工作。支持系统各单位聘用法律顾问参与日常工作法律问题处理，提供法律意见和建议，处理医疗纠纷，化解与群众的矛盾，更好履行依宪行政、依法行政、依规行政。</w:t>
      </w:r>
    </w:p>
    <w:p w14:paraId="5F8909B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（二）深化政务公开和政务诚信建设</w:t>
      </w:r>
    </w:p>
    <w:p w14:paraId="6DA4C51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执行政务公开程序。坚持“以公开为常态，不公开为例外”的原则，进一步落实决策公开、执行公开、管理公开、服务公开、结果公开的“五公开”要求，重点推进行政权力运行，重大建设项目，政务收支、民生等重点领域信息公开，严格执行重大行政决策法定程序，充分保障公众知情权、参与权、表达权和监督权，增强政府公信力执行力，提升政府治理能力。</w:t>
      </w:r>
    </w:p>
    <w:p w14:paraId="70F26C99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六、社会治理体系能力建设持续深化</w:t>
      </w:r>
    </w:p>
    <w:p w14:paraId="0A80CB2F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（一）健全纠纷预防化解体系</w:t>
      </w:r>
    </w:p>
    <w:p w14:paraId="6BBDEC94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贯彻落实《医疗纠纷预防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处理条例》，预防和妥善处置医疗纠纷，保护医患双方的合法权益，保障医疗安全。要求各医疗机构建立健全医疗纠纷治理工作制度，制定医疗纠纷预防与处理预案，医务部门每季度至少开展一次医疗纠纷分析工作会议，总结工作经验，分析存在问题，举一反三，持续改进。</w:t>
      </w:r>
    </w:p>
    <w:p w14:paraId="710C88EF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（二）全方位开展普法工作</w:t>
      </w:r>
    </w:p>
    <w:p w14:paraId="5389C05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做好法治宣传。结合“宪法宣传周”“世界艾滋病日”等开展法治宣传，并以此为契机积极宣传《中华人民共和国宪法》《中华人民共和国献血法》《中华人民共和国传染病防治法》等法律法规，引导党员干部和广大职工牢固树立依法治国、执法为民、公平正义、服务大局的理念。</w:t>
      </w:r>
    </w:p>
    <w:p w14:paraId="5029C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二是坚持领导学法和干部职工学法相结合。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40"/>
          <w:highlight w:val="none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40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40"/>
          <w:highlight w:val="none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40"/>
          <w:highlight w:val="none"/>
          <w:lang w:val="en-US" w:eastAsia="zh-CN"/>
        </w:rPr>
        <w:t>我系统疾控中心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40"/>
          <w:highlight w:val="none"/>
          <w:lang w:val="en-US" w:eastAsia="zh-CN"/>
        </w:rPr>
        <w:t>各科室承办单位内部培训课程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40"/>
          <w:highlight w:val="none"/>
          <w:lang w:val="en-US" w:eastAsia="zh-CN"/>
        </w:rPr>
        <w:t>33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40"/>
          <w:highlight w:val="none"/>
          <w:lang w:val="en-US" w:eastAsia="zh-CN"/>
        </w:rPr>
        <w:t>期，参训人员累计达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40"/>
          <w:highlight w:val="none"/>
          <w:lang w:val="en-US" w:eastAsia="zh-CN"/>
        </w:rPr>
        <w:t>990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40"/>
          <w:highlight w:val="none"/>
          <w:lang w:val="en-US" w:eastAsia="zh-CN"/>
        </w:rPr>
        <w:t>人次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40"/>
          <w:highlight w:val="none"/>
          <w:lang w:val="en-US" w:eastAsia="zh-CN"/>
        </w:rPr>
        <w:t>，其中卫生监督执法方面培训课程6期，组织全体专业技术人员参加网络继续教育培训，开展科室内部案例学习讨论28场次，累计派出16人次外出参与上级监督执法培训、情景模拟等理论与实操课程学习，持续提升执法水平。</w:t>
      </w:r>
    </w:p>
    <w:p w14:paraId="4DC75E4F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是完善日常学法制度，坚持集中培训和个人自学相结合，要求全局职工干部学法时间不少于40小时，通过学习，增强干部法律意识。以典型案例为“镜鉴”，深入剖析了违反党内法规的严重后果，进一步增强了党员的纪律意识和底线思维。让全体党员深刻认识到违纪违法的严重后果，从而筑牢拒腐防变的思想防线。</w:t>
      </w:r>
    </w:p>
    <w:p w14:paraId="3EFE0518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七、存在困难和问题</w:t>
      </w:r>
    </w:p>
    <w:p w14:paraId="35835175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（一）法治意识仍需深化。</w:t>
      </w:r>
      <w:r>
        <w:rPr>
          <w:rFonts w:hint="eastAsia" w:ascii="仿宋_GB2312" w:hAnsi="仿宋_GB2312" w:eastAsia="仿宋_GB2312" w:cs="仿宋_GB2312"/>
          <w:sz w:val="32"/>
          <w:szCs w:val="32"/>
        </w:rPr>
        <w:t>部分干部职工对普法工作重要性认识不足，参与积极性有待提升；少数行政执法人员依法行政理念树得不牢，“谁执法谁普法”责任制落实不到位，运用法律手段解决问题、管理事务的能力需进一步增强。部分医疗机构管理人员存在“普法耗时费力”的片面认知，自身法律学习及员工法治教育推进不够扎实。</w:t>
      </w:r>
    </w:p>
    <w:p w14:paraId="79C8B6BD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（二）普法机制尚需完善。</w:t>
      </w:r>
      <w:r>
        <w:rPr>
          <w:rFonts w:hint="eastAsia" w:ascii="仿宋_GB2312" w:hAnsi="仿宋_GB2312" w:eastAsia="仿宋_GB2312" w:cs="仿宋_GB2312"/>
          <w:sz w:val="32"/>
          <w:szCs w:val="32"/>
        </w:rPr>
        <w:t>普法工作队伍力量薄弱，经费保障存在缺口；普法宣传针对性不足，围绕群众关心的卫健领域热点难点问题开展法律咨询较少，未能精准匹配不同群体的法律知识需求，贴近实际、贴近生活的宣传形式和内容挖掘不深。</w:t>
      </w:r>
    </w:p>
    <w:p w14:paraId="2168D6E7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（三）执法能力亟待提升。</w:t>
      </w:r>
      <w:r>
        <w:rPr>
          <w:rFonts w:hint="eastAsia" w:ascii="仿宋_GB2312" w:hAnsi="仿宋_GB2312" w:eastAsia="仿宋_GB2312" w:cs="仿宋_GB2312"/>
          <w:sz w:val="32"/>
          <w:szCs w:val="32"/>
        </w:rPr>
        <w:t>依法行政配套制度仍需健全，干部队伍依法履职氛围不够浓厚、意识不够强烈，尤其在执法程序规范方面仍存在短板。基层执法人员服务型执法理念转变不彻底，工作效率与执行效能有待进一步提高。</w:t>
      </w:r>
    </w:p>
    <w:p w14:paraId="72373FEC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八、202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</w:rPr>
        <w:t>年的工作安排</w:t>
      </w:r>
    </w:p>
    <w:p w14:paraId="39961BE9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年，我们将继续有针对性加大普法工作力度，不断扩大法律法规规章的宣传覆盖面，提高卫健系统工作人员法治意识以及依法行政、依法行医的能力水平。</w:t>
      </w:r>
    </w:p>
    <w:p w14:paraId="5267F323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（一）规范决策程序，提升决策质效。</w:t>
      </w:r>
      <w:r>
        <w:rPr>
          <w:rFonts w:hint="eastAsia" w:ascii="仿宋_GB2312" w:hAnsi="仿宋_GB2312" w:eastAsia="仿宋_GB2312" w:cs="仿宋_GB2312"/>
          <w:sz w:val="32"/>
          <w:szCs w:val="32"/>
        </w:rPr>
        <w:t>强化科学民主决策，重要决策、重大工作部署及重大行政处罚案件等事项，均需经集体讨论决定；特别重大事项严格履行合法性审查、事前听证、专家论证、公开公示及责任追究程序，确保依法决策、集体决策。完善决策监督机制，保障决策合法有效、落地见效。</w:t>
      </w:r>
    </w:p>
    <w:p w14:paraId="1CB66FC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（二）建强执法体系，强化协同联动。</w:t>
      </w:r>
      <w:r>
        <w:rPr>
          <w:rFonts w:hint="eastAsia" w:ascii="仿宋_GB2312" w:hAnsi="仿宋_GB2312" w:eastAsia="仿宋_GB2312" w:cs="仿宋_GB2312"/>
          <w:sz w:val="32"/>
          <w:szCs w:val="32"/>
        </w:rPr>
        <w:t>梳理整合行政执法职能，依托基层资源夯实综合行政执法能力。健全行政部门、监督机构与相关部门、社会组织的信息互通与工作联动机制，形成执法合力，提升依法行政效能。</w:t>
      </w:r>
    </w:p>
    <w:p w14:paraId="320A5844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（三）优化审批管理，推动监管转型。</w:t>
      </w:r>
      <w:r>
        <w:rPr>
          <w:rFonts w:hint="eastAsia" w:ascii="仿宋_GB2312" w:hAnsi="仿宋_GB2312" w:eastAsia="仿宋_GB2312" w:cs="仿宋_GB2312"/>
          <w:sz w:val="32"/>
          <w:szCs w:val="32"/>
        </w:rPr>
        <w:t>全面落实政府部门权责清单制度，厘清卫生行政审批项目并向社会公开。规范行政审批窗口管理，简化优化办事流程，深化审批提速，提升服务群众质效；推动卫生行政审批从“重事前审批”向“强事中事后监管”转变。</w:t>
      </w:r>
    </w:p>
    <w:p w14:paraId="484F5317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（四）严格执法规范，提升执法质量。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卫生健康行政执法责任制，健全责任追究机制，规范执法行为。加强执法绩效考评，确保履职到位、管理有效，提升社会满意度。开展执法工作稽查，严格规范执法程序、文书管理及自由裁量权使用；组织行政许可与行政处罚案卷评析，切实提高案卷质量。</w:t>
      </w:r>
    </w:p>
    <w:p w14:paraId="25713B44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（五）加强队伍建设，锻造执法铁军。</w:t>
      </w:r>
      <w:r>
        <w:rPr>
          <w:rFonts w:hint="eastAsia" w:ascii="仿宋_GB2312" w:hAnsi="仿宋_GB2312" w:eastAsia="仿宋_GB2312" w:cs="仿宋_GB2312"/>
          <w:sz w:val="32"/>
          <w:szCs w:val="32"/>
        </w:rPr>
        <w:t>常态化开展卫生健康行政执法业务培训，提升队伍执法能力与大案要案查处水平。推动执法人员转变工作作风，创新工作方法，提高工作效率与执行能力；严防渎职行为，打造人民满意的卫生监督队伍。</w:t>
      </w:r>
    </w:p>
    <w:p w14:paraId="1AE66AF2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（六））聚焦重点领域，强化执法监管</w:t>
      </w:r>
      <w:r>
        <w:rPr>
          <w:rFonts w:ascii="楷体_GB2312" w:hAnsi="楷体_GB2312" w:eastAsia="楷体_GB2312" w:cs="楷体_GB2312"/>
          <w:sz w:val="32"/>
          <w:szCs w:val="32"/>
        </w:rPr>
        <w:t>。</w:t>
      </w:r>
      <w:r>
        <w:rPr>
          <w:rFonts w:hint="eastAsia" w:ascii="仿宋_GB2312" w:hAnsi="楷体_GB2312" w:eastAsia="仿宋_GB2312" w:cs="楷体_GB2312"/>
          <w:sz w:val="32"/>
          <w:szCs w:val="32"/>
        </w:rPr>
        <w:t>加大公共卫生领域执法力度，针对群众反映强烈的突出问题开展集中专项整治；对潜在风险高、可能引发严重后果的领域，加密日常监管与执法巡查频次。畅通违法投诉举报渠道，对举报严重违法违规行为及重大风险隐患的有功人员，依法予以奖励并严格保护。</w:t>
      </w:r>
    </w:p>
    <w:p w14:paraId="67F2F7E7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53C1FF1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3FD62CF2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09401C5">
      <w:pPr>
        <w:spacing w:line="560" w:lineRule="exact"/>
        <w:ind w:firstLine="5120" w:firstLineChars="1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惠安县卫生健康局</w:t>
      </w:r>
    </w:p>
    <w:p w14:paraId="730A3DB8">
      <w:pPr>
        <w:spacing w:line="560" w:lineRule="exact"/>
        <w:ind w:firstLine="5120" w:firstLineChars="1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72B38203">
      <w:pPr>
        <w:spacing w:line="560" w:lineRule="exact"/>
        <w:ind w:firstLine="5120" w:firstLineChars="1600"/>
        <w:rPr>
          <w:rFonts w:ascii="仿宋_GB2312" w:hAnsi="仿宋_GB2312" w:eastAsia="仿宋_GB2312" w:cs="仿宋_GB2312"/>
          <w:sz w:val="32"/>
          <w:szCs w:val="32"/>
        </w:rPr>
      </w:pPr>
    </w:p>
    <w:p w14:paraId="4BBA5CB9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2098" w:right="1474" w:bottom="1985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D9DADB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A3E4F5">
                          <w:pPr>
                            <w:pStyle w:val="6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- 11 -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ENd9csBAACcAwAADgAAAGRycy9lMm9Eb2MueG1srVPNjtMwEL4j8Q6W&#10;79RpJ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7Ks&#10;Vq+zQ32AGhsfAram4c4PuXvKAyaz8EFFm98oiWAd/T1f/ZVDIiJ/tF6t1xWWBNbmA+Kwx89DhPRW&#10;ekty0NCIF1h85af3kMbWuSVPc/5eG4N5Xhv3VwIxc4Zl7iPHHKVhP0zE9749o54e776hDledEvPO&#10;obV5TeYgzsF+Do4h6kOH1JaFF4TbY0IShVueMMJOg/HSirppwfJW/HkuXY8/1f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RDXfX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EA3E4F5">
                    <w:pPr>
                      <w:pStyle w:val="6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- 11 -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zNWNjYjM2N2IyNTViZjNkYjQ0ODk0NmFjMTU3YjMifQ=="/>
  </w:docVars>
  <w:rsids>
    <w:rsidRoot w:val="52F96FC1"/>
    <w:rsid w:val="000113AF"/>
    <w:rsid w:val="00014C98"/>
    <w:rsid w:val="000312DD"/>
    <w:rsid w:val="000408C6"/>
    <w:rsid w:val="00070A8E"/>
    <w:rsid w:val="0008524A"/>
    <w:rsid w:val="0008597F"/>
    <w:rsid w:val="000B5EC1"/>
    <w:rsid w:val="000C0243"/>
    <w:rsid w:val="000D3E07"/>
    <w:rsid w:val="0010332C"/>
    <w:rsid w:val="00114ED6"/>
    <w:rsid w:val="0018756A"/>
    <w:rsid w:val="001A7EE2"/>
    <w:rsid w:val="002012AF"/>
    <w:rsid w:val="00216D55"/>
    <w:rsid w:val="0022578D"/>
    <w:rsid w:val="00264C8E"/>
    <w:rsid w:val="0026725B"/>
    <w:rsid w:val="00273B2E"/>
    <w:rsid w:val="0029103C"/>
    <w:rsid w:val="002B7FB2"/>
    <w:rsid w:val="002C35EC"/>
    <w:rsid w:val="002D70EC"/>
    <w:rsid w:val="002F2DCD"/>
    <w:rsid w:val="002F40AF"/>
    <w:rsid w:val="00304F64"/>
    <w:rsid w:val="00316180"/>
    <w:rsid w:val="00370973"/>
    <w:rsid w:val="00375256"/>
    <w:rsid w:val="003B6D2F"/>
    <w:rsid w:val="003B7414"/>
    <w:rsid w:val="003E0852"/>
    <w:rsid w:val="004055FB"/>
    <w:rsid w:val="004214E2"/>
    <w:rsid w:val="00421B75"/>
    <w:rsid w:val="00441FD5"/>
    <w:rsid w:val="00470DB5"/>
    <w:rsid w:val="00470EB1"/>
    <w:rsid w:val="0047681C"/>
    <w:rsid w:val="004B5145"/>
    <w:rsid w:val="004C7683"/>
    <w:rsid w:val="004E1382"/>
    <w:rsid w:val="004E48FD"/>
    <w:rsid w:val="00501647"/>
    <w:rsid w:val="00516697"/>
    <w:rsid w:val="00520409"/>
    <w:rsid w:val="00523B9A"/>
    <w:rsid w:val="005423F0"/>
    <w:rsid w:val="00576724"/>
    <w:rsid w:val="005865CD"/>
    <w:rsid w:val="00591AC8"/>
    <w:rsid w:val="00595A09"/>
    <w:rsid w:val="005C3FCD"/>
    <w:rsid w:val="005C7633"/>
    <w:rsid w:val="005F7FC6"/>
    <w:rsid w:val="00633256"/>
    <w:rsid w:val="00637474"/>
    <w:rsid w:val="00640BD3"/>
    <w:rsid w:val="00644A09"/>
    <w:rsid w:val="00646488"/>
    <w:rsid w:val="00673727"/>
    <w:rsid w:val="0067408C"/>
    <w:rsid w:val="006805C7"/>
    <w:rsid w:val="006A7B1B"/>
    <w:rsid w:val="006B7D47"/>
    <w:rsid w:val="006E0E8B"/>
    <w:rsid w:val="006E6652"/>
    <w:rsid w:val="00706BB5"/>
    <w:rsid w:val="0070719C"/>
    <w:rsid w:val="007163B5"/>
    <w:rsid w:val="007166E8"/>
    <w:rsid w:val="007276CC"/>
    <w:rsid w:val="00743EAC"/>
    <w:rsid w:val="00763DDA"/>
    <w:rsid w:val="00766C15"/>
    <w:rsid w:val="00791ADF"/>
    <w:rsid w:val="007C2B22"/>
    <w:rsid w:val="0082239C"/>
    <w:rsid w:val="00827B9B"/>
    <w:rsid w:val="008319F6"/>
    <w:rsid w:val="0086541E"/>
    <w:rsid w:val="008762AC"/>
    <w:rsid w:val="0088116B"/>
    <w:rsid w:val="008C6AF4"/>
    <w:rsid w:val="008C727B"/>
    <w:rsid w:val="008E5EB8"/>
    <w:rsid w:val="008F1176"/>
    <w:rsid w:val="008F419A"/>
    <w:rsid w:val="008F4933"/>
    <w:rsid w:val="009302C0"/>
    <w:rsid w:val="009317F9"/>
    <w:rsid w:val="00942FB1"/>
    <w:rsid w:val="00954404"/>
    <w:rsid w:val="00971A1B"/>
    <w:rsid w:val="00992B23"/>
    <w:rsid w:val="009B5623"/>
    <w:rsid w:val="009B67BE"/>
    <w:rsid w:val="009C4C5F"/>
    <w:rsid w:val="009F218C"/>
    <w:rsid w:val="00A315BB"/>
    <w:rsid w:val="00A35D90"/>
    <w:rsid w:val="00A42971"/>
    <w:rsid w:val="00A42BD0"/>
    <w:rsid w:val="00A45DEA"/>
    <w:rsid w:val="00A53EAF"/>
    <w:rsid w:val="00A72D9A"/>
    <w:rsid w:val="00A80040"/>
    <w:rsid w:val="00A91A88"/>
    <w:rsid w:val="00A94CF2"/>
    <w:rsid w:val="00AB0FAD"/>
    <w:rsid w:val="00AC6F3D"/>
    <w:rsid w:val="00AD278B"/>
    <w:rsid w:val="00B02F4E"/>
    <w:rsid w:val="00B6679A"/>
    <w:rsid w:val="00B76F7B"/>
    <w:rsid w:val="00B931BC"/>
    <w:rsid w:val="00B93A4A"/>
    <w:rsid w:val="00BC3BCB"/>
    <w:rsid w:val="00C02FCB"/>
    <w:rsid w:val="00C1351E"/>
    <w:rsid w:val="00C17202"/>
    <w:rsid w:val="00C20A37"/>
    <w:rsid w:val="00C26FD6"/>
    <w:rsid w:val="00C650EB"/>
    <w:rsid w:val="00C809FD"/>
    <w:rsid w:val="00C87411"/>
    <w:rsid w:val="00C92DCC"/>
    <w:rsid w:val="00CB5CA2"/>
    <w:rsid w:val="00CB7898"/>
    <w:rsid w:val="00CD6269"/>
    <w:rsid w:val="00CF371C"/>
    <w:rsid w:val="00D12AAD"/>
    <w:rsid w:val="00D54CAC"/>
    <w:rsid w:val="00D604BE"/>
    <w:rsid w:val="00DB2FAB"/>
    <w:rsid w:val="00DD68AD"/>
    <w:rsid w:val="00E30977"/>
    <w:rsid w:val="00E37790"/>
    <w:rsid w:val="00E3794B"/>
    <w:rsid w:val="00E42D47"/>
    <w:rsid w:val="00E42F93"/>
    <w:rsid w:val="00E77601"/>
    <w:rsid w:val="00E87D3E"/>
    <w:rsid w:val="00E96DCF"/>
    <w:rsid w:val="00EC7B01"/>
    <w:rsid w:val="00ED1B5D"/>
    <w:rsid w:val="00EE5452"/>
    <w:rsid w:val="00EF4430"/>
    <w:rsid w:val="00F11B6B"/>
    <w:rsid w:val="00F40EB3"/>
    <w:rsid w:val="00F5188F"/>
    <w:rsid w:val="00F55336"/>
    <w:rsid w:val="00F57D25"/>
    <w:rsid w:val="00F640BE"/>
    <w:rsid w:val="00F72526"/>
    <w:rsid w:val="00F841DF"/>
    <w:rsid w:val="00FA1E57"/>
    <w:rsid w:val="00FB5B9F"/>
    <w:rsid w:val="00FC1872"/>
    <w:rsid w:val="00FE454D"/>
    <w:rsid w:val="011849D5"/>
    <w:rsid w:val="01612BF1"/>
    <w:rsid w:val="017E2B14"/>
    <w:rsid w:val="01F20E61"/>
    <w:rsid w:val="02C87C96"/>
    <w:rsid w:val="04223B99"/>
    <w:rsid w:val="064D378A"/>
    <w:rsid w:val="06F11F1B"/>
    <w:rsid w:val="072A2979"/>
    <w:rsid w:val="073629D1"/>
    <w:rsid w:val="0BE67D80"/>
    <w:rsid w:val="0C5B5B66"/>
    <w:rsid w:val="1036359A"/>
    <w:rsid w:val="10E52678"/>
    <w:rsid w:val="132C0678"/>
    <w:rsid w:val="134C7967"/>
    <w:rsid w:val="16714E5C"/>
    <w:rsid w:val="17EF447C"/>
    <w:rsid w:val="19134653"/>
    <w:rsid w:val="1AEC6AB0"/>
    <w:rsid w:val="1B835A07"/>
    <w:rsid w:val="1BF9747E"/>
    <w:rsid w:val="1C5E4A87"/>
    <w:rsid w:val="1CB54A69"/>
    <w:rsid w:val="1D4A2E0A"/>
    <w:rsid w:val="21A31D4F"/>
    <w:rsid w:val="21F134AA"/>
    <w:rsid w:val="2326607E"/>
    <w:rsid w:val="24F15917"/>
    <w:rsid w:val="266202FE"/>
    <w:rsid w:val="2A5A5E58"/>
    <w:rsid w:val="2A6423D0"/>
    <w:rsid w:val="2C7E7D2B"/>
    <w:rsid w:val="2E3A2088"/>
    <w:rsid w:val="308F5D8B"/>
    <w:rsid w:val="30A20D00"/>
    <w:rsid w:val="33A02148"/>
    <w:rsid w:val="362F5C03"/>
    <w:rsid w:val="36CE56FA"/>
    <w:rsid w:val="36F8006E"/>
    <w:rsid w:val="37256135"/>
    <w:rsid w:val="372F1019"/>
    <w:rsid w:val="38953C40"/>
    <w:rsid w:val="39506E5B"/>
    <w:rsid w:val="3CE006E9"/>
    <w:rsid w:val="3D8F3892"/>
    <w:rsid w:val="3E7F23E5"/>
    <w:rsid w:val="3F762CE0"/>
    <w:rsid w:val="406A5515"/>
    <w:rsid w:val="41DC45B6"/>
    <w:rsid w:val="42E646A2"/>
    <w:rsid w:val="43613F80"/>
    <w:rsid w:val="473F764B"/>
    <w:rsid w:val="47F6649C"/>
    <w:rsid w:val="4862161C"/>
    <w:rsid w:val="496F3C27"/>
    <w:rsid w:val="4AAB167D"/>
    <w:rsid w:val="4F5D7FBD"/>
    <w:rsid w:val="505A7368"/>
    <w:rsid w:val="50DA0653"/>
    <w:rsid w:val="5177007E"/>
    <w:rsid w:val="52452DE6"/>
    <w:rsid w:val="52F96FC1"/>
    <w:rsid w:val="53476C5F"/>
    <w:rsid w:val="53DD34BD"/>
    <w:rsid w:val="5416322F"/>
    <w:rsid w:val="54F05880"/>
    <w:rsid w:val="55414BBA"/>
    <w:rsid w:val="55D02F74"/>
    <w:rsid w:val="56282FD1"/>
    <w:rsid w:val="574E6D21"/>
    <w:rsid w:val="5A5A2257"/>
    <w:rsid w:val="5AE84CD3"/>
    <w:rsid w:val="5AF10D4E"/>
    <w:rsid w:val="5B4138AE"/>
    <w:rsid w:val="5B5E0630"/>
    <w:rsid w:val="5D8B6CCD"/>
    <w:rsid w:val="5EA22A81"/>
    <w:rsid w:val="5EFE4D2D"/>
    <w:rsid w:val="5FBF79DE"/>
    <w:rsid w:val="60181C2B"/>
    <w:rsid w:val="610F7225"/>
    <w:rsid w:val="630A285C"/>
    <w:rsid w:val="63354C8C"/>
    <w:rsid w:val="6B405EEA"/>
    <w:rsid w:val="6B876A23"/>
    <w:rsid w:val="6B9D23DD"/>
    <w:rsid w:val="6F7D5D4D"/>
    <w:rsid w:val="6FB11FB0"/>
    <w:rsid w:val="704A3FA5"/>
    <w:rsid w:val="724A1332"/>
    <w:rsid w:val="7395615D"/>
    <w:rsid w:val="73F34AC3"/>
    <w:rsid w:val="740D4443"/>
    <w:rsid w:val="746C5AA6"/>
    <w:rsid w:val="74B877A4"/>
    <w:rsid w:val="783830F2"/>
    <w:rsid w:val="78E2050D"/>
    <w:rsid w:val="791F283C"/>
    <w:rsid w:val="794B223C"/>
    <w:rsid w:val="79E36E7D"/>
    <w:rsid w:val="7A9674E6"/>
    <w:rsid w:val="7C0B5CB2"/>
    <w:rsid w:val="7D5F76CD"/>
    <w:rsid w:val="7DC73AA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qFormat="1"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99" w:semiHidden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6"/>
    <w:basedOn w:val="1"/>
    <w:next w:val="1"/>
    <w:autoRedefine/>
    <w:semiHidden/>
    <w:unhideWhenUsed/>
    <w:qFormat/>
    <w:uiPriority w:val="0"/>
    <w:pPr>
      <w:ind w:left="1000" w:leftChars="1000"/>
    </w:pPr>
  </w:style>
  <w:style w:type="paragraph" w:styleId="4">
    <w:name w:val="Body Text Indent 2"/>
    <w:basedOn w:val="1"/>
    <w:next w:val="3"/>
    <w:link w:val="15"/>
    <w:autoRedefine/>
    <w:qFormat/>
    <w:uiPriority w:val="99"/>
    <w:pPr>
      <w:spacing w:after="120" w:line="480" w:lineRule="auto"/>
      <w:ind w:left="420" w:leftChars="200"/>
    </w:pPr>
    <w:rPr>
      <w:rFonts w:ascii="Times New Roman" w:hAnsi="Times New Roman" w:eastAsia="仿宋_GB2312" w:cs="Times New Roman"/>
      <w:sz w:val="32"/>
      <w:szCs w:val="22"/>
    </w:rPr>
  </w:style>
  <w:style w:type="paragraph" w:styleId="5">
    <w:name w:val="Balloon Text"/>
    <w:basedOn w:val="1"/>
    <w:link w:val="14"/>
    <w:semiHidden/>
    <w:unhideWhenUsed/>
    <w:qFormat/>
    <w:uiPriority w:val="0"/>
    <w:rPr>
      <w:sz w:val="18"/>
      <w:szCs w:val="18"/>
    </w:rPr>
  </w:style>
  <w:style w:type="paragraph" w:styleId="6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customStyle="1" w:styleId="11">
    <w:name w:val="页眉 字符"/>
    <w:basedOn w:val="10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  <w:rPr>
      <w:rFonts w:ascii="Calibri" w:hAnsi="Calibri" w:eastAsia="宋体" w:cs="Times New Roman"/>
      <w:szCs w:val="22"/>
    </w:rPr>
  </w:style>
  <w:style w:type="character" w:customStyle="1" w:styleId="14">
    <w:name w:val="批注框文本 字符"/>
    <w:basedOn w:val="10"/>
    <w:link w:val="5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正文文本缩进 2 字符"/>
    <w:basedOn w:val="10"/>
    <w:link w:val="4"/>
    <w:qFormat/>
    <w:uiPriority w:val="99"/>
    <w:rPr>
      <w:rFonts w:eastAsia="仿宋_GB2312"/>
      <w:kern w:val="2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11</Pages>
  <Words>5646</Words>
  <Characters>5771</Characters>
  <Lines>39</Lines>
  <Paragraphs>11</Paragraphs>
  <TotalTime>9</TotalTime>
  <ScaleCrop>false</ScaleCrop>
  <LinksUpToDate>false</LinksUpToDate>
  <CharactersWithSpaces>5775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2019-12-24T03:20:00Z</dcterms:created>
  <dc:creator>Mo</dc:creator>
  <cp:lastModifiedBy>qzuser</cp:lastModifiedBy>
  <cp:lastPrinted>2024-02-27T07:17:00Z</cp:lastPrinted>
  <dcterms:modified xsi:type="dcterms:W3CDTF">2026-07-27T09:08:23Z</dcterms:modified>
  <cp:revision>117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42C5F9A2BB414904B8A65AEE7746AE86_13</vt:lpwstr>
  </property>
  <property fmtid="{D5CDD505-2E9C-101B-9397-08002B2CF9AE}" pid="4" name="KSOTemplateDocerSaveRecord">
    <vt:lpwstr>eyJoZGlkIjoiOTQ2ZDAxOGY2YmVjZDIxODY3NDE2MDhjMDg5NGRhZjEiLCJ1c2VySWQiOiIzMDk1MDQxNzYifQ==</vt:lpwstr>
  </property>
</Properties>
</file>